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r>
        <w:t xml:space="preserve">Einleitung bleibt gleich.</w:t>
      </w:r>
    </w:p>
    <w:p>
      <w:r>
        <w:t xml:space="preserve">Die Verwaltungsbehörde führt Verwaltungskontrollen nach Art. 74 durch.</w:t>
      </w:r>
    </w:p>
    <w:p>
      <w:r>
        <w:t xml:space="preserve">Die Prüfbehörde führt Vorhabenprüfungen nach Art. 77 durch.</w:t>
      </w:r>
    </w:p>
    <w:p>
      <w:r>
        <w:t xml:space="preserve">Die Kommission erhält den Kontrollbericht.</w:t>
      </w:r>
    </w:p>
    <w:p>
      <w:r>
        <w:t xml:space="preserve">Schluss bleibt gleich.</w:t>
      </w:r>
    </w:p>
    <w:sectPr/>
  </w:body>
</w:document>
</file>