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Einleitung bleibt gleich.</w:t>
      </w:r>
    </w:p>
    <w:p>
      <w:r>
        <w:t xml:space="preserve">Die Verwaltungsbehörde führt risikobasierte Verwaltungskontrollen nach Art. 74 durch.</w:t>
      </w:r>
    </w:p>
    <w:p>
      <w:r>
        <w:t xml:space="preserve">Ein vollständig neuer Absatz über Stichproben.</w:t>
      </w:r>
    </w:p>
    <w:p>
      <w:r>
        <w:t xml:space="preserve">Die Prüfbehörde führt Vorhabenprüfungen nach Art. 77 Abs. 2 durch.</w:t>
      </w:r>
    </w:p>
    <w:p>
      <w:r>
        <w:t xml:space="preserve">Schluss bleibt gleich.</w:t>
      </w:r>
    </w:p>
    <w:sectPr/>
  </w:body>
</w:document>
</file>