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74C09B" w14:textId="68F7CC8B" w:rsidR="007C4A70" w:rsidRPr="00F41296" w:rsidRDefault="00BC5172" w:rsidP="007C4A70">
      <w:pPr>
        <w:spacing w:after="160" w:line="259" w:lineRule="auto"/>
        <w:jc w:val="center"/>
        <w:rPr>
          <w:b/>
          <w:sz w:val="28"/>
          <w:szCs w:val="24"/>
        </w:rPr>
      </w:pPr>
      <w:bookmarkStart w:id="0" w:name="_GoBack"/>
      <w:bookmarkEnd w:id="0"/>
      <w:r>
        <w:rPr>
          <w:b/>
          <w:sz w:val="28"/>
          <w:szCs w:val="24"/>
        </w:rPr>
        <w:t>A</w:t>
      </w:r>
      <w:r w:rsidR="007C4A70" w:rsidRPr="00F41296">
        <w:rPr>
          <w:b/>
          <w:sz w:val="28"/>
          <w:szCs w:val="24"/>
        </w:rPr>
        <w:t>ssessment of the SCO methodology by the AA</w:t>
      </w:r>
    </w:p>
    <w:p w14:paraId="1A0DA1B9" w14:textId="77777777" w:rsidR="00F41296" w:rsidRDefault="00F41296" w:rsidP="0005634C">
      <w:pPr>
        <w:spacing w:after="160" w:line="259" w:lineRule="auto"/>
        <w:jc w:val="both"/>
        <w:rPr>
          <w:szCs w:val="24"/>
        </w:rPr>
      </w:pPr>
    </w:p>
    <w:p w14:paraId="1801FE84" w14:textId="35E3DEF9" w:rsidR="00B406F3" w:rsidRDefault="00ED3191" w:rsidP="0005634C">
      <w:pPr>
        <w:spacing w:after="160" w:line="259" w:lineRule="auto"/>
        <w:jc w:val="both"/>
        <w:rPr>
          <w:szCs w:val="24"/>
        </w:rPr>
      </w:pPr>
      <w:r>
        <w:rPr>
          <w:szCs w:val="24"/>
        </w:rPr>
        <w:t xml:space="preserve">This annex </w:t>
      </w:r>
      <w:r w:rsidR="0043780C">
        <w:rPr>
          <w:szCs w:val="24"/>
        </w:rPr>
        <w:t>constitutes</w:t>
      </w:r>
      <w:r w:rsidR="001C7AB0">
        <w:rPr>
          <w:szCs w:val="24"/>
        </w:rPr>
        <w:t xml:space="preserve"> </w:t>
      </w:r>
      <w:r w:rsidR="00F41296">
        <w:rPr>
          <w:szCs w:val="24"/>
        </w:rPr>
        <w:t xml:space="preserve">a </w:t>
      </w:r>
      <w:r w:rsidR="007C4A70">
        <w:rPr>
          <w:szCs w:val="24"/>
        </w:rPr>
        <w:t xml:space="preserve">template for </w:t>
      </w:r>
      <w:r w:rsidR="008B42CF">
        <w:rPr>
          <w:szCs w:val="24"/>
        </w:rPr>
        <w:t xml:space="preserve">the </w:t>
      </w:r>
      <w:r w:rsidR="007C4A70">
        <w:rPr>
          <w:szCs w:val="24"/>
        </w:rPr>
        <w:t xml:space="preserve">assessment of the audit authority in section C.5 of Appendix 1 of Annex V </w:t>
      </w:r>
      <w:r w:rsidR="00F41296">
        <w:rPr>
          <w:szCs w:val="24"/>
        </w:rPr>
        <w:t>CPR</w:t>
      </w:r>
      <w:r w:rsidR="005B630A">
        <w:rPr>
          <w:rStyle w:val="FootnoteReference"/>
          <w:szCs w:val="24"/>
        </w:rPr>
        <w:footnoteReference w:id="1"/>
      </w:r>
      <w:r w:rsidR="008B42CF">
        <w:rPr>
          <w:szCs w:val="24"/>
        </w:rPr>
        <w:t xml:space="preserve">. It has been designed </w:t>
      </w:r>
      <w:r w:rsidR="007C4A70" w:rsidRPr="007C4A70">
        <w:rPr>
          <w:szCs w:val="24"/>
        </w:rPr>
        <w:t>for</w:t>
      </w:r>
      <w:r w:rsidR="008B42CF">
        <w:rPr>
          <w:szCs w:val="24"/>
        </w:rPr>
        <w:t xml:space="preserve"> </w:t>
      </w:r>
      <w:r w:rsidR="0005634C">
        <w:rPr>
          <w:szCs w:val="24"/>
        </w:rPr>
        <w:t xml:space="preserve">the </w:t>
      </w:r>
      <w:r w:rsidR="008B42CF">
        <w:rPr>
          <w:szCs w:val="24"/>
        </w:rPr>
        <w:t>assess</w:t>
      </w:r>
      <w:r w:rsidR="00F41296">
        <w:rPr>
          <w:szCs w:val="24"/>
        </w:rPr>
        <w:t>ment of</w:t>
      </w:r>
      <w:r w:rsidR="007C4A70" w:rsidRPr="007C4A70">
        <w:rPr>
          <w:szCs w:val="24"/>
        </w:rPr>
        <w:t xml:space="preserve"> SCOs implemente</w:t>
      </w:r>
      <w:r w:rsidR="009D5068">
        <w:rPr>
          <w:szCs w:val="24"/>
        </w:rPr>
        <w:t>d in the framework of Article 94</w:t>
      </w:r>
      <w:r w:rsidR="009D3962">
        <w:rPr>
          <w:szCs w:val="24"/>
        </w:rPr>
        <w:t xml:space="preserve"> </w:t>
      </w:r>
      <w:r w:rsidR="00E21826">
        <w:rPr>
          <w:szCs w:val="24"/>
        </w:rPr>
        <w:t>of Regulation 1060/2021</w:t>
      </w:r>
      <w:r w:rsidR="00E21826">
        <w:rPr>
          <w:rStyle w:val="FootnoteReference"/>
          <w:szCs w:val="24"/>
        </w:rPr>
        <w:footnoteReference w:id="2"/>
      </w:r>
      <w:r w:rsidR="00E21826">
        <w:rPr>
          <w:szCs w:val="24"/>
        </w:rPr>
        <w:t xml:space="preserve"> </w:t>
      </w:r>
      <w:r w:rsidR="009D3962">
        <w:rPr>
          <w:szCs w:val="24"/>
        </w:rPr>
        <w:t>(</w:t>
      </w:r>
      <w:r w:rsidR="0005634C">
        <w:rPr>
          <w:szCs w:val="24"/>
        </w:rPr>
        <w:t>with submission of the SCO information in the programme/programme amendment proposal</w:t>
      </w:r>
      <w:r w:rsidR="00903493">
        <w:rPr>
          <w:szCs w:val="24"/>
        </w:rPr>
        <w:t xml:space="preserve"> for EC approval</w:t>
      </w:r>
      <w:r w:rsidR="0005634C">
        <w:rPr>
          <w:szCs w:val="24"/>
        </w:rPr>
        <w:t>)</w:t>
      </w:r>
      <w:r w:rsidR="009D3962">
        <w:rPr>
          <w:szCs w:val="24"/>
        </w:rPr>
        <w:t xml:space="preserve">. </w:t>
      </w:r>
    </w:p>
    <w:p w14:paraId="1F8DD7CC" w14:textId="358E3099" w:rsidR="0005634C" w:rsidRPr="0005634C" w:rsidRDefault="009D3962" w:rsidP="0005634C">
      <w:pPr>
        <w:spacing w:after="160" w:line="259" w:lineRule="auto"/>
        <w:jc w:val="both"/>
        <w:rPr>
          <w:szCs w:val="24"/>
        </w:rPr>
      </w:pPr>
      <w:r>
        <w:rPr>
          <w:szCs w:val="24"/>
        </w:rPr>
        <w:t xml:space="preserve">As far as standard SCOs implemented in the framework of </w:t>
      </w:r>
      <w:r w:rsidR="00DE7B00">
        <w:rPr>
          <w:szCs w:val="24"/>
        </w:rPr>
        <w:t>Article 53</w:t>
      </w:r>
      <w:r w:rsidR="0005634C" w:rsidRPr="0005634C">
        <w:rPr>
          <w:szCs w:val="24"/>
        </w:rPr>
        <w:t xml:space="preserve"> CPR </w:t>
      </w:r>
      <w:r w:rsidR="00903493">
        <w:rPr>
          <w:szCs w:val="24"/>
        </w:rPr>
        <w:t xml:space="preserve">are concerned </w:t>
      </w:r>
      <w:r w:rsidR="0005634C" w:rsidRPr="0005634C">
        <w:rPr>
          <w:szCs w:val="24"/>
        </w:rPr>
        <w:t>(which do not require an acceptance of the SCO methodology by the EC in the fram</w:t>
      </w:r>
      <w:r w:rsidR="00903493">
        <w:rPr>
          <w:szCs w:val="24"/>
        </w:rPr>
        <w:t>ework of OP adoption/amendment), the interested AAs carrying out ex-ante assessment of the SCOs (or assessing the methodology at later stage) might also wish to use this template</w:t>
      </w:r>
      <w:r w:rsidR="00A63906">
        <w:rPr>
          <w:szCs w:val="24"/>
        </w:rPr>
        <w:t>/a version adjusted to their needs</w:t>
      </w:r>
      <w:r w:rsidR="00903493">
        <w:rPr>
          <w:szCs w:val="24"/>
        </w:rPr>
        <w:t xml:space="preserve"> </w:t>
      </w:r>
      <w:r w:rsidR="00B406F3">
        <w:rPr>
          <w:szCs w:val="24"/>
        </w:rPr>
        <w:t xml:space="preserve">(for example </w:t>
      </w:r>
      <w:r w:rsidR="00903493">
        <w:rPr>
          <w:szCs w:val="24"/>
        </w:rPr>
        <w:t>for the purpose of their internal rep</w:t>
      </w:r>
      <w:r w:rsidR="00B406F3">
        <w:rPr>
          <w:szCs w:val="24"/>
        </w:rPr>
        <w:t xml:space="preserve">orting or </w:t>
      </w:r>
      <w:r w:rsidR="00F41296">
        <w:rPr>
          <w:szCs w:val="24"/>
        </w:rPr>
        <w:t xml:space="preserve">the </w:t>
      </w:r>
      <w:r w:rsidR="00903493">
        <w:rPr>
          <w:szCs w:val="24"/>
        </w:rPr>
        <w:t>ACR</w:t>
      </w:r>
      <w:r w:rsidR="00B406F3">
        <w:rPr>
          <w:szCs w:val="24"/>
        </w:rPr>
        <w:t>)</w:t>
      </w:r>
      <w:r w:rsidR="00903493">
        <w:rPr>
          <w:szCs w:val="24"/>
        </w:rPr>
        <w:t>.</w:t>
      </w:r>
    </w:p>
    <w:p w14:paraId="1F9C7408" w14:textId="77777777" w:rsidR="007C4A70" w:rsidRDefault="007C4A70" w:rsidP="007C4A70">
      <w:pPr>
        <w:spacing w:after="160" w:line="259" w:lineRule="auto"/>
        <w:jc w:val="both"/>
        <w:rPr>
          <w:szCs w:val="24"/>
        </w:rPr>
      </w:pPr>
    </w:p>
    <w:p w14:paraId="501C1A9A" w14:textId="0513E6A2" w:rsidR="006B0D45" w:rsidRDefault="006B0D45" w:rsidP="007C4A70">
      <w:pPr>
        <w:spacing w:after="160" w:line="259" w:lineRule="auto"/>
        <w:jc w:val="both"/>
        <w:rPr>
          <w:szCs w:val="24"/>
        </w:rPr>
      </w:pPr>
      <w:r>
        <w:rPr>
          <w:szCs w:val="24"/>
        </w:rPr>
        <w:t xml:space="preserve">Section C.5 of Appendix 1 of Annex V </w:t>
      </w:r>
      <w:r w:rsidR="00F41296">
        <w:rPr>
          <w:szCs w:val="24"/>
        </w:rPr>
        <w:t>CPR</w:t>
      </w:r>
      <w:r>
        <w:rPr>
          <w:szCs w:val="24"/>
        </w:rPr>
        <w:t xml:space="preserve"> (</w:t>
      </w:r>
      <w:r w:rsidR="00313059" w:rsidRPr="00313059">
        <w:rPr>
          <w:i/>
          <w:szCs w:val="24"/>
        </w:rPr>
        <w:t>A</w:t>
      </w:r>
      <w:r w:rsidRPr="00313059">
        <w:rPr>
          <w:i/>
          <w:szCs w:val="24"/>
        </w:rPr>
        <w:t>ssessment of the audit authority</w:t>
      </w:r>
      <w:r w:rsidR="00313059" w:rsidRPr="00313059">
        <w:rPr>
          <w:i/>
          <w:szCs w:val="24"/>
        </w:rPr>
        <w:t>(ies)</w:t>
      </w:r>
      <w:r w:rsidRPr="00313059">
        <w:rPr>
          <w:i/>
          <w:szCs w:val="24"/>
        </w:rPr>
        <w:t xml:space="preserve"> of the calculation methodology and amounts and the arrangements to ensure the verification, quality, collection and storage of data</w:t>
      </w:r>
      <w:r>
        <w:rPr>
          <w:szCs w:val="24"/>
        </w:rPr>
        <w:t>)</w:t>
      </w:r>
    </w:p>
    <w:p w14:paraId="5BB3A00B" w14:textId="77777777" w:rsidR="00303359" w:rsidRDefault="00303359" w:rsidP="007C4A70">
      <w:pPr>
        <w:spacing w:after="160" w:line="259" w:lineRule="auto"/>
        <w:jc w:val="both"/>
        <w:rPr>
          <w:b/>
          <w:szCs w:val="24"/>
        </w:rPr>
      </w:pPr>
    </w:p>
    <w:p w14:paraId="2FED72A1" w14:textId="5C488323" w:rsidR="00C76361" w:rsidRDefault="007C4A70" w:rsidP="007C4A70">
      <w:pPr>
        <w:spacing w:after="160" w:line="259" w:lineRule="auto"/>
        <w:jc w:val="both"/>
        <w:rPr>
          <w:szCs w:val="24"/>
        </w:rPr>
      </w:pPr>
      <w:r w:rsidRPr="006B0D45">
        <w:rPr>
          <w:b/>
          <w:szCs w:val="24"/>
        </w:rPr>
        <w:t xml:space="preserve">Overall </w:t>
      </w:r>
      <w:r w:rsidR="00E417A9">
        <w:rPr>
          <w:b/>
          <w:szCs w:val="24"/>
        </w:rPr>
        <w:t>assessment</w:t>
      </w:r>
      <w:r w:rsidR="00E417A9" w:rsidRPr="006B0D45">
        <w:rPr>
          <w:b/>
          <w:szCs w:val="24"/>
        </w:rPr>
        <w:t xml:space="preserve"> </w:t>
      </w:r>
      <w:r w:rsidR="006B0D45" w:rsidRPr="006B0D45">
        <w:rPr>
          <w:b/>
          <w:szCs w:val="24"/>
        </w:rPr>
        <w:t>on the set-up of the SCO</w:t>
      </w:r>
      <w:r>
        <w:rPr>
          <w:szCs w:val="24"/>
        </w:rPr>
        <w:t xml:space="preserve">: positive </w:t>
      </w:r>
    </w:p>
    <w:p w14:paraId="61357746" w14:textId="51B599D3" w:rsidR="007C4A70" w:rsidRDefault="00DA6E29" w:rsidP="007C4A70">
      <w:pPr>
        <w:spacing w:after="160" w:line="259" w:lineRule="auto"/>
        <w:jc w:val="both"/>
        <w:rPr>
          <w:i/>
          <w:szCs w:val="24"/>
        </w:rPr>
      </w:pPr>
      <w:r>
        <w:rPr>
          <w:i/>
          <w:szCs w:val="24"/>
        </w:rPr>
        <w:t>(in the case of reservation</w:t>
      </w:r>
      <w:r w:rsidR="00C76361">
        <w:rPr>
          <w:i/>
          <w:szCs w:val="24"/>
        </w:rPr>
        <w:t xml:space="preserve"> of the AA</w:t>
      </w:r>
      <w:r>
        <w:rPr>
          <w:i/>
          <w:szCs w:val="24"/>
        </w:rPr>
        <w:t>,</w:t>
      </w:r>
      <w:r w:rsidR="00ED3191">
        <w:rPr>
          <w:i/>
          <w:szCs w:val="24"/>
        </w:rPr>
        <w:t xml:space="preserve"> </w:t>
      </w:r>
      <w:r w:rsidR="00C76361">
        <w:rPr>
          <w:i/>
          <w:szCs w:val="24"/>
        </w:rPr>
        <w:t xml:space="preserve">the </w:t>
      </w:r>
      <w:r w:rsidR="00ED3191">
        <w:rPr>
          <w:i/>
          <w:szCs w:val="24"/>
        </w:rPr>
        <w:t xml:space="preserve">required adjustments should be carried out before </w:t>
      </w:r>
      <w:r w:rsidR="00F41296">
        <w:rPr>
          <w:i/>
          <w:szCs w:val="24"/>
        </w:rPr>
        <w:t xml:space="preserve">the </w:t>
      </w:r>
      <w:r w:rsidR="00ED3191">
        <w:rPr>
          <w:i/>
          <w:szCs w:val="24"/>
        </w:rPr>
        <w:t xml:space="preserve">submission of </w:t>
      </w:r>
      <w:r w:rsidR="00F41296">
        <w:rPr>
          <w:i/>
          <w:szCs w:val="24"/>
        </w:rPr>
        <w:t>the</w:t>
      </w:r>
      <w:r w:rsidR="00ED3191">
        <w:rPr>
          <w:i/>
          <w:szCs w:val="24"/>
        </w:rPr>
        <w:t xml:space="preserve"> </w:t>
      </w:r>
      <w:r w:rsidR="00C76361">
        <w:rPr>
          <w:i/>
          <w:szCs w:val="24"/>
        </w:rPr>
        <w:t>SCO</w:t>
      </w:r>
      <w:r w:rsidR="00A85C47">
        <w:rPr>
          <w:i/>
          <w:szCs w:val="24"/>
        </w:rPr>
        <w:t xml:space="preserve"> information</w:t>
      </w:r>
      <w:r w:rsidR="00C76361">
        <w:rPr>
          <w:i/>
          <w:szCs w:val="24"/>
        </w:rPr>
        <w:t xml:space="preserve"> in the </w:t>
      </w:r>
      <w:r w:rsidR="00ED3191">
        <w:rPr>
          <w:i/>
          <w:szCs w:val="24"/>
        </w:rPr>
        <w:t>programme</w:t>
      </w:r>
      <w:r w:rsidR="00C76361">
        <w:rPr>
          <w:i/>
          <w:szCs w:val="24"/>
        </w:rPr>
        <w:t xml:space="preserve"> or in the </w:t>
      </w:r>
      <w:r w:rsidR="00ED3191">
        <w:rPr>
          <w:i/>
          <w:szCs w:val="24"/>
        </w:rPr>
        <w:t>programme amendment</w:t>
      </w:r>
      <w:r w:rsidR="00F73D96">
        <w:rPr>
          <w:i/>
          <w:szCs w:val="24"/>
        </w:rPr>
        <w:t xml:space="preserve"> (i.e. only following adjustments to the methodology by the MA allowing the AA to issue a positive assessment without any reservations)</w:t>
      </w:r>
      <w:r w:rsidR="00C76361">
        <w:rPr>
          <w:i/>
          <w:szCs w:val="24"/>
        </w:rPr>
        <w:t>; consequently</w:t>
      </w:r>
      <w:r w:rsidR="007E6411">
        <w:rPr>
          <w:i/>
          <w:szCs w:val="24"/>
        </w:rPr>
        <w:t xml:space="preserve"> it is expected that</w:t>
      </w:r>
      <w:r w:rsidR="00C76361">
        <w:rPr>
          <w:i/>
          <w:szCs w:val="24"/>
        </w:rPr>
        <w:t xml:space="preserve"> SCO information in the programme based on Appendix 1 of Annex V </w:t>
      </w:r>
      <w:r w:rsidR="00F73D96">
        <w:rPr>
          <w:i/>
          <w:szCs w:val="24"/>
        </w:rPr>
        <w:t>is submitted only for</w:t>
      </w:r>
      <w:r w:rsidR="00C76361">
        <w:rPr>
          <w:i/>
          <w:szCs w:val="24"/>
        </w:rPr>
        <w:t xml:space="preserve"> SCO methodologies which have already received a positive assessment of the AA</w:t>
      </w:r>
      <w:r w:rsidR="004359BF">
        <w:rPr>
          <w:i/>
          <w:szCs w:val="24"/>
        </w:rPr>
        <w:t>)</w:t>
      </w:r>
    </w:p>
    <w:p w14:paraId="3BB5DA20" w14:textId="77777777" w:rsidR="00303359" w:rsidRDefault="00303359" w:rsidP="00977F66">
      <w:pPr>
        <w:spacing w:after="160" w:line="259" w:lineRule="auto"/>
        <w:jc w:val="both"/>
        <w:rPr>
          <w:b/>
          <w:szCs w:val="24"/>
        </w:rPr>
      </w:pPr>
    </w:p>
    <w:p w14:paraId="5B2D9B2F" w14:textId="50EA3186" w:rsidR="00977F66" w:rsidRPr="00977F66" w:rsidRDefault="00ED3191" w:rsidP="00977F66">
      <w:pPr>
        <w:spacing w:after="160" w:line="259" w:lineRule="auto"/>
        <w:jc w:val="both"/>
        <w:rPr>
          <w:szCs w:val="24"/>
        </w:rPr>
      </w:pPr>
      <w:r w:rsidRPr="006B0D45">
        <w:rPr>
          <w:b/>
          <w:szCs w:val="24"/>
        </w:rPr>
        <w:t>The lump sum/unit cost/flat rate financing</w:t>
      </w:r>
      <w:r w:rsidR="00E53317">
        <w:rPr>
          <w:szCs w:val="24"/>
        </w:rPr>
        <w:t xml:space="preserve"> …</w:t>
      </w:r>
      <w:r>
        <w:rPr>
          <w:szCs w:val="24"/>
        </w:rPr>
        <w:t xml:space="preserve"> </w:t>
      </w:r>
      <w:r w:rsidRPr="00ED3191">
        <w:rPr>
          <w:i/>
          <w:szCs w:val="24"/>
        </w:rPr>
        <w:t>(choose as relevant</w:t>
      </w:r>
      <w:r w:rsidR="00E53317">
        <w:rPr>
          <w:i/>
          <w:szCs w:val="24"/>
        </w:rPr>
        <w:t xml:space="preserve"> and add a short description/definition enabl</w:t>
      </w:r>
      <w:r w:rsidR="00F41296">
        <w:rPr>
          <w:i/>
          <w:szCs w:val="24"/>
        </w:rPr>
        <w:t>ing</w:t>
      </w:r>
      <w:r w:rsidR="00E53317">
        <w:rPr>
          <w:i/>
          <w:szCs w:val="24"/>
        </w:rPr>
        <w:t xml:space="preserve"> to identify the SCO</w:t>
      </w:r>
      <w:r w:rsidRPr="00ED3191">
        <w:rPr>
          <w:i/>
          <w:szCs w:val="24"/>
        </w:rPr>
        <w:t>)</w:t>
      </w:r>
      <w:r w:rsidR="00977F66">
        <w:rPr>
          <w:i/>
          <w:szCs w:val="24"/>
        </w:rPr>
        <w:t xml:space="preserve"> </w:t>
      </w:r>
      <w:r w:rsidR="00977F66" w:rsidRPr="006B0D45">
        <w:rPr>
          <w:b/>
          <w:szCs w:val="24"/>
        </w:rPr>
        <w:t>has been established in line with Articl</w:t>
      </w:r>
      <w:r w:rsidR="00842899" w:rsidRPr="006B0D45">
        <w:rPr>
          <w:b/>
          <w:szCs w:val="24"/>
        </w:rPr>
        <w:t>e</w:t>
      </w:r>
      <w:r w:rsidR="006B0D45">
        <w:rPr>
          <w:szCs w:val="24"/>
        </w:rPr>
        <w:t xml:space="preserve"> </w:t>
      </w:r>
      <w:r w:rsidR="009D5068">
        <w:rPr>
          <w:b/>
          <w:szCs w:val="24"/>
        </w:rPr>
        <w:t>94</w:t>
      </w:r>
      <w:r w:rsidR="00977F66" w:rsidRPr="0033574B">
        <w:rPr>
          <w:b/>
          <w:szCs w:val="24"/>
        </w:rPr>
        <w:t>(2) on</w:t>
      </w:r>
      <w:r w:rsidR="00977F66" w:rsidRPr="006B0D45">
        <w:rPr>
          <w:b/>
          <w:szCs w:val="24"/>
        </w:rPr>
        <w:t xml:space="preserve"> the basis of</w:t>
      </w:r>
      <w:r w:rsidR="00977F66">
        <w:rPr>
          <w:szCs w:val="24"/>
        </w:rPr>
        <w:t xml:space="preserve"> </w:t>
      </w:r>
      <w:r w:rsidR="00E53317">
        <w:rPr>
          <w:i/>
          <w:szCs w:val="24"/>
        </w:rPr>
        <w:t>(choose</w:t>
      </w:r>
      <w:r w:rsidR="00977F66" w:rsidRPr="00977F66">
        <w:rPr>
          <w:i/>
          <w:szCs w:val="24"/>
        </w:rPr>
        <w:t xml:space="preserve"> as relevant)</w:t>
      </w:r>
      <w:r w:rsidR="00977F66" w:rsidRPr="00977F66">
        <w:rPr>
          <w:szCs w:val="24"/>
        </w:rPr>
        <w:t>:</w:t>
      </w:r>
    </w:p>
    <w:p w14:paraId="7FA74358" w14:textId="77777777" w:rsidR="00977F66" w:rsidRPr="00977F66" w:rsidRDefault="00977F66" w:rsidP="0099520C">
      <w:pPr>
        <w:spacing w:after="160" w:line="259" w:lineRule="auto"/>
        <w:ind w:left="284"/>
        <w:jc w:val="both"/>
        <w:rPr>
          <w:szCs w:val="24"/>
        </w:rPr>
      </w:pPr>
      <w:r w:rsidRPr="00977F66">
        <w:rPr>
          <w:szCs w:val="24"/>
        </w:rPr>
        <w:t>(a) a fair, equitable and verifiable calculation method based on any of the following:</w:t>
      </w:r>
    </w:p>
    <w:p w14:paraId="4ECF8F0A" w14:textId="77777777" w:rsidR="00977F66" w:rsidRPr="00977F66" w:rsidRDefault="00977F66" w:rsidP="0099520C">
      <w:pPr>
        <w:tabs>
          <w:tab w:val="left" w:pos="284"/>
        </w:tabs>
        <w:spacing w:after="160" w:line="259" w:lineRule="auto"/>
        <w:ind w:left="284" w:firstLine="283"/>
        <w:jc w:val="both"/>
        <w:rPr>
          <w:szCs w:val="24"/>
        </w:rPr>
      </w:pPr>
      <w:r w:rsidRPr="00977F66">
        <w:rPr>
          <w:szCs w:val="24"/>
        </w:rPr>
        <w:t xml:space="preserve">(i) statistical data, other objective information or an expert judgement; </w:t>
      </w:r>
    </w:p>
    <w:p w14:paraId="0BAF4715" w14:textId="77777777" w:rsidR="00977F66" w:rsidRPr="00977F66" w:rsidRDefault="00977F66" w:rsidP="0099520C">
      <w:pPr>
        <w:tabs>
          <w:tab w:val="left" w:pos="284"/>
        </w:tabs>
        <w:spacing w:after="160" w:line="259" w:lineRule="auto"/>
        <w:ind w:left="284" w:firstLine="283"/>
        <w:jc w:val="both"/>
        <w:rPr>
          <w:szCs w:val="24"/>
        </w:rPr>
      </w:pPr>
      <w:r w:rsidRPr="00977F66">
        <w:rPr>
          <w:szCs w:val="24"/>
        </w:rPr>
        <w:t xml:space="preserve">(ii) verified historical data; </w:t>
      </w:r>
    </w:p>
    <w:p w14:paraId="5E4698F0" w14:textId="77777777" w:rsidR="00977F66" w:rsidRPr="00977F66" w:rsidRDefault="00977F66" w:rsidP="0099520C">
      <w:pPr>
        <w:tabs>
          <w:tab w:val="left" w:pos="284"/>
        </w:tabs>
        <w:spacing w:after="160" w:line="259" w:lineRule="auto"/>
        <w:ind w:left="284" w:firstLine="283"/>
        <w:jc w:val="both"/>
        <w:rPr>
          <w:szCs w:val="24"/>
        </w:rPr>
      </w:pPr>
      <w:r w:rsidRPr="00977F66">
        <w:rPr>
          <w:szCs w:val="24"/>
        </w:rPr>
        <w:t>(iii) the application of usual cost accounting practices;</w:t>
      </w:r>
    </w:p>
    <w:p w14:paraId="556624C0" w14:textId="77777777" w:rsidR="00977F66" w:rsidRPr="00977F66" w:rsidRDefault="00977F66" w:rsidP="0099520C">
      <w:pPr>
        <w:spacing w:after="160" w:line="259" w:lineRule="auto"/>
        <w:ind w:left="284"/>
        <w:jc w:val="both"/>
        <w:rPr>
          <w:szCs w:val="24"/>
        </w:rPr>
      </w:pPr>
      <w:r w:rsidRPr="00977F66">
        <w:rPr>
          <w:szCs w:val="24"/>
        </w:rPr>
        <w:lastRenderedPageBreak/>
        <w:t>(b) draft budgets;</w:t>
      </w:r>
    </w:p>
    <w:p w14:paraId="4A9CB35D" w14:textId="721DD7B8" w:rsidR="00977F66" w:rsidRPr="00977F66" w:rsidRDefault="00977F66" w:rsidP="0099520C">
      <w:pPr>
        <w:spacing w:after="160" w:line="259" w:lineRule="auto"/>
        <w:ind w:left="284"/>
        <w:jc w:val="both"/>
        <w:rPr>
          <w:szCs w:val="24"/>
        </w:rPr>
      </w:pPr>
      <w:r w:rsidRPr="00977F66">
        <w:rPr>
          <w:szCs w:val="24"/>
        </w:rPr>
        <w:t>(c) the rules</w:t>
      </w:r>
      <w:r w:rsidR="00720D5B">
        <w:rPr>
          <w:szCs w:val="24"/>
        </w:rPr>
        <w:t xml:space="preserve"> on corresponding unit costs</w:t>
      </w:r>
      <w:r w:rsidRPr="00977F66">
        <w:rPr>
          <w:szCs w:val="24"/>
        </w:rPr>
        <w:t>, lump sums and flat rates applicable in Union policies for a similar type of operation;</w:t>
      </w:r>
    </w:p>
    <w:p w14:paraId="7899D9EA" w14:textId="5D0172F5" w:rsidR="00ED3191" w:rsidRPr="00977F66" w:rsidRDefault="00977F66" w:rsidP="0099520C">
      <w:pPr>
        <w:spacing w:after="160" w:line="259" w:lineRule="auto"/>
        <w:ind w:left="284"/>
        <w:jc w:val="both"/>
        <w:rPr>
          <w:szCs w:val="24"/>
        </w:rPr>
      </w:pPr>
      <w:r w:rsidRPr="00977F66">
        <w:rPr>
          <w:szCs w:val="24"/>
        </w:rPr>
        <w:t>(d) the rules</w:t>
      </w:r>
      <w:r w:rsidR="00720D5B">
        <w:rPr>
          <w:szCs w:val="24"/>
        </w:rPr>
        <w:t xml:space="preserve"> on corresponding unit costs</w:t>
      </w:r>
      <w:r w:rsidRPr="00977F66">
        <w:rPr>
          <w:szCs w:val="24"/>
        </w:rPr>
        <w:t>, lump sums and flat rates applied under schemes for grants funded entirely by the Member State for a similar type of operation.</w:t>
      </w:r>
    </w:p>
    <w:p w14:paraId="54A65BEA" w14:textId="77777777" w:rsidR="00303359" w:rsidRDefault="00303359" w:rsidP="009F5B79">
      <w:pPr>
        <w:spacing w:after="0" w:line="259" w:lineRule="auto"/>
        <w:jc w:val="both"/>
        <w:rPr>
          <w:szCs w:val="24"/>
        </w:rPr>
      </w:pPr>
    </w:p>
    <w:p w14:paraId="471AC517" w14:textId="77777777" w:rsidR="009F5B79" w:rsidRPr="00BF11FD" w:rsidRDefault="00F109B1" w:rsidP="009F5B79">
      <w:pPr>
        <w:spacing w:after="0" w:line="259" w:lineRule="auto"/>
        <w:jc w:val="both"/>
        <w:rPr>
          <w:i/>
          <w:szCs w:val="24"/>
        </w:rPr>
      </w:pPr>
      <w:r w:rsidRPr="00BF11FD">
        <w:rPr>
          <w:i/>
          <w:szCs w:val="24"/>
        </w:rPr>
        <w:t>In the case of a) - fair, equitable and verifiable calculation method</w:t>
      </w:r>
    </w:p>
    <w:p w14:paraId="6907E79B" w14:textId="12FC26B1" w:rsidR="009F5B79" w:rsidRDefault="00570FB1" w:rsidP="009076AF">
      <w:pPr>
        <w:spacing w:after="0" w:line="259" w:lineRule="auto"/>
        <w:jc w:val="both"/>
        <w:rPr>
          <w:szCs w:val="24"/>
        </w:rPr>
      </w:pPr>
      <w:r w:rsidRPr="00B826E8">
        <w:rPr>
          <w:b/>
          <w:szCs w:val="24"/>
        </w:rPr>
        <w:t xml:space="preserve">On the basis of the assessment of the </w:t>
      </w:r>
      <w:r w:rsidR="00DD658A" w:rsidRPr="00B826E8">
        <w:rPr>
          <w:b/>
          <w:szCs w:val="24"/>
        </w:rPr>
        <w:t>methodology used for</w:t>
      </w:r>
      <w:r w:rsidR="00842899" w:rsidRPr="00B826E8">
        <w:rPr>
          <w:b/>
          <w:szCs w:val="24"/>
        </w:rPr>
        <w:t xml:space="preserve"> </w:t>
      </w:r>
      <w:r w:rsidR="00876806" w:rsidRPr="00B826E8">
        <w:rPr>
          <w:b/>
          <w:szCs w:val="24"/>
        </w:rPr>
        <w:t xml:space="preserve">establishing of </w:t>
      </w:r>
      <w:r w:rsidR="00842899" w:rsidRPr="00B826E8">
        <w:rPr>
          <w:b/>
          <w:szCs w:val="24"/>
        </w:rPr>
        <w:t xml:space="preserve">the </w:t>
      </w:r>
      <w:r w:rsidRPr="00B826E8">
        <w:rPr>
          <w:b/>
          <w:szCs w:val="24"/>
        </w:rPr>
        <w:t>SCO</w:t>
      </w:r>
      <w:r w:rsidR="00D55424" w:rsidRPr="00B826E8">
        <w:rPr>
          <w:b/>
          <w:szCs w:val="24"/>
        </w:rPr>
        <w:t xml:space="preserve">, the AA </w:t>
      </w:r>
      <w:r w:rsidR="00BC5172">
        <w:rPr>
          <w:b/>
          <w:szCs w:val="24"/>
        </w:rPr>
        <w:t>can confirm</w:t>
      </w:r>
      <w:r w:rsidR="00D55424" w:rsidRPr="00B826E8">
        <w:rPr>
          <w:b/>
          <w:szCs w:val="24"/>
        </w:rPr>
        <w:t xml:space="preserve"> that</w:t>
      </w:r>
      <w:r w:rsidR="00D878BC" w:rsidRPr="00B826E8">
        <w:rPr>
          <w:b/>
        </w:rPr>
        <w:t xml:space="preserve"> </w:t>
      </w:r>
      <w:r w:rsidR="00D878BC" w:rsidRPr="00B826E8">
        <w:rPr>
          <w:b/>
          <w:szCs w:val="24"/>
        </w:rPr>
        <w:t>the proposed set-up is in line with the regulatory requirements, in particular</w:t>
      </w:r>
      <w:r w:rsidR="00D55424">
        <w:rPr>
          <w:szCs w:val="24"/>
        </w:rPr>
        <w:t>:</w:t>
      </w:r>
    </w:p>
    <w:p w14:paraId="6F4D26DB" w14:textId="77777777" w:rsidR="00EB5D0D" w:rsidRPr="006D018F" w:rsidRDefault="00662CB2" w:rsidP="00EB5D0D">
      <w:pPr>
        <w:pStyle w:val="ListParagraph"/>
        <w:numPr>
          <w:ilvl w:val="0"/>
          <w:numId w:val="3"/>
        </w:numPr>
        <w:spacing w:after="160" w:line="259" w:lineRule="auto"/>
        <w:ind w:left="993" w:hanging="284"/>
        <w:jc w:val="both"/>
        <w:rPr>
          <w:rFonts w:ascii="Times New Roman" w:hAnsi="Times New Roman" w:cs="Times New Roman"/>
          <w:sz w:val="24"/>
          <w:szCs w:val="24"/>
        </w:rPr>
      </w:pPr>
      <w:r>
        <w:rPr>
          <w:rFonts w:ascii="Times New Roman" w:hAnsi="Times New Roman" w:cs="Times New Roman"/>
          <w:sz w:val="24"/>
          <w:szCs w:val="24"/>
        </w:rPr>
        <w:t>T</w:t>
      </w:r>
      <w:r w:rsidR="00EB5D0D" w:rsidRPr="006D018F">
        <w:rPr>
          <w:rFonts w:ascii="Times New Roman" w:hAnsi="Times New Roman" w:cs="Times New Roman"/>
          <w:sz w:val="24"/>
          <w:szCs w:val="24"/>
        </w:rPr>
        <w:t>he calculation method is fair, equitable and verifiable</w:t>
      </w:r>
      <w:r w:rsidR="00645D09">
        <w:rPr>
          <w:rFonts w:ascii="Times New Roman" w:hAnsi="Times New Roman" w:cs="Times New Roman"/>
          <w:sz w:val="24"/>
          <w:szCs w:val="24"/>
        </w:rPr>
        <w:t>.</w:t>
      </w:r>
    </w:p>
    <w:p w14:paraId="7DD8A1EE" w14:textId="77777777" w:rsidR="00EB5D0D" w:rsidRPr="00662CB2" w:rsidRDefault="00662CB2" w:rsidP="00EB5D0D">
      <w:pPr>
        <w:pStyle w:val="ListParagraph"/>
        <w:numPr>
          <w:ilvl w:val="0"/>
          <w:numId w:val="3"/>
        </w:numPr>
        <w:spacing w:after="160" w:line="259" w:lineRule="auto"/>
        <w:ind w:left="993" w:hanging="284"/>
        <w:jc w:val="both"/>
        <w:rPr>
          <w:rFonts w:ascii="Times New Roman" w:hAnsi="Times New Roman" w:cs="Times New Roman"/>
          <w:i/>
          <w:sz w:val="24"/>
          <w:szCs w:val="24"/>
        </w:rPr>
      </w:pPr>
      <w:r w:rsidRPr="00662CB2">
        <w:rPr>
          <w:rFonts w:ascii="Times New Roman" w:hAnsi="Times New Roman" w:cs="Times New Roman"/>
          <w:sz w:val="24"/>
          <w:szCs w:val="24"/>
        </w:rPr>
        <w:t xml:space="preserve">The data used are based on </w:t>
      </w:r>
      <w:r w:rsidRPr="00662CB2">
        <w:rPr>
          <w:rFonts w:ascii="Times New Roman" w:hAnsi="Times New Roman" w:cs="Times New Roman"/>
          <w:i/>
          <w:sz w:val="24"/>
          <w:szCs w:val="24"/>
        </w:rPr>
        <w:t>(indicate as relevant in line with the list below)</w:t>
      </w:r>
    </w:p>
    <w:p w14:paraId="7AC929C2" w14:textId="77777777" w:rsidR="00662CB2" w:rsidRPr="00662CB2" w:rsidRDefault="00662CB2" w:rsidP="009076AF">
      <w:pPr>
        <w:pStyle w:val="ListParagraph"/>
        <w:tabs>
          <w:tab w:val="left" w:pos="284"/>
        </w:tabs>
        <w:spacing w:after="160" w:line="259" w:lineRule="auto"/>
        <w:ind w:left="1440"/>
        <w:jc w:val="both"/>
        <w:rPr>
          <w:rFonts w:ascii="Times New Roman" w:hAnsi="Times New Roman" w:cs="Times New Roman"/>
          <w:sz w:val="24"/>
          <w:szCs w:val="24"/>
        </w:rPr>
      </w:pPr>
      <w:r w:rsidRPr="00662CB2">
        <w:rPr>
          <w:rFonts w:ascii="Times New Roman" w:hAnsi="Times New Roman" w:cs="Times New Roman"/>
          <w:sz w:val="24"/>
          <w:szCs w:val="24"/>
        </w:rPr>
        <w:t xml:space="preserve">(i) statistical data, other objective information or an expert judgement; </w:t>
      </w:r>
    </w:p>
    <w:p w14:paraId="1253F2E3" w14:textId="77777777" w:rsidR="00662CB2" w:rsidRPr="00662CB2" w:rsidRDefault="00662CB2" w:rsidP="009076AF">
      <w:pPr>
        <w:pStyle w:val="ListParagraph"/>
        <w:tabs>
          <w:tab w:val="left" w:pos="284"/>
        </w:tabs>
        <w:spacing w:after="160" w:line="259" w:lineRule="auto"/>
        <w:ind w:left="1440"/>
        <w:jc w:val="both"/>
        <w:rPr>
          <w:rFonts w:ascii="Times New Roman" w:hAnsi="Times New Roman" w:cs="Times New Roman"/>
          <w:sz w:val="24"/>
          <w:szCs w:val="24"/>
        </w:rPr>
      </w:pPr>
      <w:r w:rsidRPr="00662CB2">
        <w:rPr>
          <w:rFonts w:ascii="Times New Roman" w:hAnsi="Times New Roman" w:cs="Times New Roman"/>
          <w:sz w:val="24"/>
          <w:szCs w:val="24"/>
        </w:rPr>
        <w:t xml:space="preserve">(ii) verified historical data; </w:t>
      </w:r>
    </w:p>
    <w:p w14:paraId="3999A83C" w14:textId="77777777" w:rsidR="00662CB2" w:rsidRPr="00662CB2" w:rsidRDefault="00662CB2" w:rsidP="009076AF">
      <w:pPr>
        <w:pStyle w:val="ListParagraph"/>
        <w:tabs>
          <w:tab w:val="left" w:pos="284"/>
        </w:tabs>
        <w:spacing w:after="160" w:line="259" w:lineRule="auto"/>
        <w:ind w:left="1440"/>
        <w:jc w:val="both"/>
        <w:rPr>
          <w:rFonts w:ascii="Times New Roman" w:hAnsi="Times New Roman" w:cs="Times New Roman"/>
          <w:sz w:val="24"/>
          <w:szCs w:val="24"/>
        </w:rPr>
      </w:pPr>
      <w:r w:rsidRPr="00662CB2">
        <w:rPr>
          <w:rFonts w:ascii="Times New Roman" w:hAnsi="Times New Roman" w:cs="Times New Roman"/>
          <w:sz w:val="24"/>
          <w:szCs w:val="24"/>
        </w:rPr>
        <w:t xml:space="preserve">(iii) the application of </w:t>
      </w:r>
      <w:r w:rsidR="00645D09">
        <w:rPr>
          <w:rFonts w:ascii="Times New Roman" w:hAnsi="Times New Roman" w:cs="Times New Roman"/>
          <w:sz w:val="24"/>
          <w:szCs w:val="24"/>
        </w:rPr>
        <w:t>usual cost accounting practices.</w:t>
      </w:r>
    </w:p>
    <w:p w14:paraId="56D7E15C" w14:textId="307A92AC" w:rsidR="00662CB2" w:rsidRDefault="00662CB2" w:rsidP="00662CB2">
      <w:pPr>
        <w:pStyle w:val="ListParagraph"/>
        <w:spacing w:after="160" w:line="259" w:lineRule="auto"/>
        <w:ind w:left="993"/>
        <w:jc w:val="both"/>
        <w:rPr>
          <w:rFonts w:ascii="Times New Roman" w:hAnsi="Times New Roman" w:cs="Times New Roman"/>
          <w:sz w:val="24"/>
          <w:szCs w:val="24"/>
        </w:rPr>
      </w:pPr>
      <w:r>
        <w:rPr>
          <w:rFonts w:ascii="Times New Roman" w:hAnsi="Times New Roman" w:cs="Times New Roman"/>
          <w:sz w:val="24"/>
          <w:szCs w:val="24"/>
        </w:rPr>
        <w:t xml:space="preserve">The data </w:t>
      </w:r>
      <w:r w:rsidR="00FE08CB">
        <w:rPr>
          <w:rFonts w:ascii="Times New Roman" w:hAnsi="Times New Roman" w:cs="Times New Roman"/>
          <w:sz w:val="24"/>
          <w:szCs w:val="24"/>
        </w:rPr>
        <w:t xml:space="preserve">used </w:t>
      </w:r>
      <w:r>
        <w:rPr>
          <w:rFonts w:ascii="Times New Roman" w:hAnsi="Times New Roman" w:cs="Times New Roman"/>
          <w:sz w:val="24"/>
          <w:szCs w:val="24"/>
        </w:rPr>
        <w:t>ha</w:t>
      </w:r>
      <w:r w:rsidR="00FE08CB">
        <w:rPr>
          <w:rFonts w:ascii="Times New Roman" w:hAnsi="Times New Roman" w:cs="Times New Roman"/>
          <w:sz w:val="24"/>
          <w:szCs w:val="24"/>
        </w:rPr>
        <w:t>ve</w:t>
      </w:r>
      <w:r>
        <w:rPr>
          <w:rFonts w:ascii="Times New Roman" w:hAnsi="Times New Roman" w:cs="Times New Roman"/>
          <w:sz w:val="24"/>
          <w:szCs w:val="24"/>
        </w:rPr>
        <w:t xml:space="preserve"> been assessed as reliable and  </w:t>
      </w:r>
      <w:r w:rsidR="00FE08CB">
        <w:rPr>
          <w:rFonts w:ascii="Times New Roman" w:hAnsi="Times New Roman" w:cs="Times New Roman"/>
          <w:sz w:val="24"/>
          <w:szCs w:val="24"/>
        </w:rPr>
        <w:t xml:space="preserve">they </w:t>
      </w:r>
      <w:r>
        <w:rPr>
          <w:rFonts w:ascii="Times New Roman" w:hAnsi="Times New Roman" w:cs="Times New Roman"/>
          <w:sz w:val="24"/>
          <w:szCs w:val="24"/>
        </w:rPr>
        <w:t>are relevant</w:t>
      </w:r>
      <w:r w:rsidR="00200D18">
        <w:rPr>
          <w:rFonts w:ascii="Times New Roman" w:hAnsi="Times New Roman" w:cs="Times New Roman"/>
          <w:sz w:val="24"/>
          <w:szCs w:val="24"/>
        </w:rPr>
        <w:t xml:space="preserve"> to the type of operations</w:t>
      </w:r>
      <w:r>
        <w:rPr>
          <w:rFonts w:ascii="Times New Roman" w:hAnsi="Times New Roman" w:cs="Times New Roman"/>
          <w:sz w:val="24"/>
          <w:szCs w:val="24"/>
        </w:rPr>
        <w:t>.</w:t>
      </w:r>
    </w:p>
    <w:p w14:paraId="32ED5EEA" w14:textId="698217DB" w:rsidR="002A101E" w:rsidRDefault="002A101E" w:rsidP="00037787">
      <w:pPr>
        <w:pStyle w:val="ListParagraph"/>
        <w:numPr>
          <w:ilvl w:val="0"/>
          <w:numId w:val="3"/>
        </w:numPr>
        <w:spacing w:after="160" w:line="259"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The categories/types of costs taken into consideration for establishing the SCO are in line with the </w:t>
      </w:r>
      <w:r w:rsidR="00E57602">
        <w:rPr>
          <w:rFonts w:ascii="Times New Roman" w:hAnsi="Times New Roman" w:cs="Times New Roman"/>
          <w:sz w:val="24"/>
          <w:szCs w:val="24"/>
        </w:rPr>
        <w:t xml:space="preserve">relevant </w:t>
      </w:r>
      <w:r w:rsidR="00E57602" w:rsidRPr="00787143">
        <w:rPr>
          <w:rFonts w:ascii="Times New Roman" w:hAnsi="Times New Roman" w:cs="Times New Roman"/>
          <w:sz w:val="24"/>
          <w:szCs w:val="24"/>
        </w:rPr>
        <w:t>national</w:t>
      </w:r>
      <w:r w:rsidR="00E57602">
        <w:rPr>
          <w:rFonts w:ascii="Times New Roman" w:hAnsi="Times New Roman" w:cs="Times New Roman"/>
          <w:sz w:val="24"/>
          <w:szCs w:val="24"/>
        </w:rPr>
        <w:t xml:space="preserve"> and EU </w:t>
      </w:r>
      <w:r w:rsidR="00037787">
        <w:rPr>
          <w:rFonts w:ascii="Times New Roman" w:hAnsi="Times New Roman" w:cs="Times New Roman"/>
          <w:sz w:val="24"/>
          <w:szCs w:val="24"/>
        </w:rPr>
        <w:t xml:space="preserve">eligibility rules, </w:t>
      </w:r>
      <w:r>
        <w:rPr>
          <w:rFonts w:ascii="Times New Roman" w:hAnsi="Times New Roman" w:cs="Times New Roman"/>
          <w:sz w:val="24"/>
          <w:szCs w:val="24"/>
        </w:rPr>
        <w:t xml:space="preserve">in particular as established </w:t>
      </w:r>
      <w:r w:rsidR="00E57602">
        <w:rPr>
          <w:rFonts w:ascii="Times New Roman" w:hAnsi="Times New Roman" w:cs="Times New Roman"/>
          <w:sz w:val="24"/>
          <w:szCs w:val="24"/>
        </w:rPr>
        <w:t>with</w:t>
      </w:r>
      <w:r w:rsidR="00F06E3F">
        <w:rPr>
          <w:rFonts w:ascii="Times New Roman" w:hAnsi="Times New Roman" w:cs="Times New Roman"/>
          <w:sz w:val="24"/>
          <w:szCs w:val="24"/>
        </w:rPr>
        <w:t>in C</w:t>
      </w:r>
      <w:r w:rsidR="008051D7">
        <w:rPr>
          <w:rFonts w:ascii="Times New Roman" w:hAnsi="Times New Roman" w:cs="Times New Roman"/>
          <w:sz w:val="24"/>
          <w:szCs w:val="24"/>
        </w:rPr>
        <w:t>hapter V of Interreg</w:t>
      </w:r>
      <w:r w:rsidR="00E57602">
        <w:rPr>
          <w:rFonts w:ascii="Times New Roman" w:hAnsi="Times New Roman" w:cs="Times New Roman"/>
          <w:sz w:val="24"/>
          <w:szCs w:val="24"/>
        </w:rPr>
        <w:t xml:space="preserve"> Regulation No </w:t>
      </w:r>
      <w:r w:rsidR="00387035">
        <w:rPr>
          <w:rFonts w:ascii="Times New Roman" w:hAnsi="Times New Roman" w:cs="Times New Roman"/>
          <w:sz w:val="24"/>
          <w:szCs w:val="24"/>
        </w:rPr>
        <w:t>2021/1059</w:t>
      </w:r>
      <w:r w:rsidR="00E57602">
        <w:rPr>
          <w:rFonts w:ascii="Times New Roman" w:hAnsi="Times New Roman" w:cs="Times New Roman"/>
          <w:sz w:val="24"/>
          <w:szCs w:val="24"/>
        </w:rPr>
        <w:t xml:space="preserve"> </w:t>
      </w:r>
      <w:r w:rsidR="00787143">
        <w:rPr>
          <w:rFonts w:ascii="Times New Roman" w:hAnsi="Times New Roman" w:cs="Times New Roman"/>
          <w:sz w:val="24"/>
          <w:szCs w:val="24"/>
        </w:rPr>
        <w:t>(Art. 3</w:t>
      </w:r>
      <w:r w:rsidR="00CE0773">
        <w:rPr>
          <w:rFonts w:ascii="Times New Roman" w:hAnsi="Times New Roman" w:cs="Times New Roman"/>
          <w:sz w:val="24"/>
          <w:szCs w:val="24"/>
        </w:rPr>
        <w:t>7-44</w:t>
      </w:r>
      <w:r w:rsidR="00787143">
        <w:rPr>
          <w:rFonts w:ascii="Times New Roman" w:hAnsi="Times New Roman" w:cs="Times New Roman"/>
          <w:sz w:val="24"/>
          <w:szCs w:val="24"/>
        </w:rPr>
        <w:t xml:space="preserve">) </w:t>
      </w:r>
      <w:r w:rsidR="008051D7">
        <w:rPr>
          <w:rFonts w:ascii="Times New Roman" w:hAnsi="Times New Roman" w:cs="Times New Roman"/>
          <w:sz w:val="24"/>
          <w:szCs w:val="24"/>
        </w:rPr>
        <w:t>for Interreg</w:t>
      </w:r>
      <w:r w:rsidR="0016492F" w:rsidRPr="0016492F">
        <w:rPr>
          <w:rFonts w:ascii="Times New Roman" w:hAnsi="Times New Roman" w:cs="Times New Roman"/>
          <w:sz w:val="24"/>
          <w:szCs w:val="24"/>
        </w:rPr>
        <w:t xml:space="preserve"> programmes </w:t>
      </w:r>
      <w:r w:rsidR="00E57602">
        <w:rPr>
          <w:rFonts w:ascii="Times New Roman" w:hAnsi="Times New Roman" w:cs="Times New Roman"/>
          <w:sz w:val="24"/>
          <w:szCs w:val="24"/>
        </w:rPr>
        <w:t xml:space="preserve">and </w:t>
      </w:r>
      <w:r w:rsidR="0016492F">
        <w:rPr>
          <w:rFonts w:ascii="Times New Roman" w:hAnsi="Times New Roman" w:cs="Times New Roman"/>
          <w:sz w:val="24"/>
          <w:szCs w:val="24"/>
        </w:rPr>
        <w:t xml:space="preserve">Chapter III of the </w:t>
      </w:r>
      <w:r w:rsidR="00E57602">
        <w:rPr>
          <w:rFonts w:ascii="Times New Roman" w:hAnsi="Times New Roman" w:cs="Times New Roman"/>
          <w:sz w:val="24"/>
          <w:szCs w:val="24"/>
        </w:rPr>
        <w:t>C</w:t>
      </w:r>
      <w:r w:rsidR="0016492F">
        <w:rPr>
          <w:rFonts w:ascii="Times New Roman" w:hAnsi="Times New Roman" w:cs="Times New Roman"/>
          <w:sz w:val="24"/>
          <w:szCs w:val="24"/>
        </w:rPr>
        <w:t xml:space="preserve">ommon </w:t>
      </w:r>
      <w:r w:rsidR="00E57602">
        <w:rPr>
          <w:rFonts w:ascii="Times New Roman" w:hAnsi="Times New Roman" w:cs="Times New Roman"/>
          <w:sz w:val="24"/>
          <w:szCs w:val="24"/>
        </w:rPr>
        <w:t>P</w:t>
      </w:r>
      <w:r w:rsidR="0016492F">
        <w:rPr>
          <w:rFonts w:ascii="Times New Roman" w:hAnsi="Times New Roman" w:cs="Times New Roman"/>
          <w:sz w:val="24"/>
          <w:szCs w:val="24"/>
        </w:rPr>
        <w:t xml:space="preserve">rovision </w:t>
      </w:r>
      <w:r w:rsidR="00E57602">
        <w:rPr>
          <w:rFonts w:ascii="Times New Roman" w:hAnsi="Times New Roman" w:cs="Times New Roman"/>
          <w:sz w:val="24"/>
          <w:szCs w:val="24"/>
        </w:rPr>
        <w:t>R</w:t>
      </w:r>
      <w:r w:rsidR="0016492F">
        <w:rPr>
          <w:rFonts w:ascii="Times New Roman" w:hAnsi="Times New Roman" w:cs="Times New Roman"/>
          <w:sz w:val="24"/>
          <w:szCs w:val="24"/>
        </w:rPr>
        <w:t xml:space="preserve">egulation No </w:t>
      </w:r>
      <w:r w:rsidR="00387035">
        <w:rPr>
          <w:rFonts w:ascii="Times New Roman" w:hAnsi="Times New Roman" w:cs="Times New Roman"/>
          <w:sz w:val="24"/>
          <w:szCs w:val="24"/>
        </w:rPr>
        <w:t>2021/1060</w:t>
      </w:r>
      <w:r w:rsidR="00E57602">
        <w:rPr>
          <w:rFonts w:ascii="Times New Roman" w:hAnsi="Times New Roman" w:cs="Times New Roman"/>
          <w:sz w:val="24"/>
          <w:szCs w:val="24"/>
        </w:rPr>
        <w:t xml:space="preserve"> </w:t>
      </w:r>
      <w:r w:rsidR="006135C9">
        <w:rPr>
          <w:rFonts w:ascii="Times New Roman" w:hAnsi="Times New Roman" w:cs="Times New Roman"/>
          <w:sz w:val="24"/>
          <w:szCs w:val="24"/>
        </w:rPr>
        <w:t>(</w:t>
      </w:r>
      <w:r w:rsidR="008051D7">
        <w:rPr>
          <w:rFonts w:ascii="Times New Roman" w:hAnsi="Times New Roman" w:cs="Times New Roman"/>
          <w:sz w:val="24"/>
          <w:szCs w:val="24"/>
        </w:rPr>
        <w:t>Art. 63</w:t>
      </w:r>
      <w:r w:rsidR="00787143">
        <w:rPr>
          <w:rFonts w:ascii="Times New Roman" w:hAnsi="Times New Roman" w:cs="Times New Roman"/>
          <w:sz w:val="24"/>
          <w:szCs w:val="24"/>
        </w:rPr>
        <w:t xml:space="preserve"> </w:t>
      </w:r>
      <w:r w:rsidR="008051D7">
        <w:rPr>
          <w:rFonts w:ascii="Times New Roman" w:hAnsi="Times New Roman" w:cs="Times New Roman"/>
          <w:sz w:val="24"/>
          <w:szCs w:val="24"/>
        </w:rPr>
        <w:t>and 67</w:t>
      </w:r>
      <w:r w:rsidR="00787143">
        <w:rPr>
          <w:rFonts w:ascii="Times New Roman" w:hAnsi="Times New Roman" w:cs="Times New Roman"/>
          <w:sz w:val="24"/>
          <w:szCs w:val="24"/>
        </w:rPr>
        <w:t>).</w:t>
      </w:r>
    </w:p>
    <w:p w14:paraId="575EFE57" w14:textId="63FDEDDC" w:rsidR="00C35DAA" w:rsidRPr="00A2006E" w:rsidRDefault="00C35DAA" w:rsidP="00037787">
      <w:pPr>
        <w:pStyle w:val="ListParagraph"/>
        <w:numPr>
          <w:ilvl w:val="0"/>
          <w:numId w:val="3"/>
        </w:numPr>
        <w:spacing w:after="160" w:line="259" w:lineRule="auto"/>
        <w:ind w:left="993" w:hanging="284"/>
        <w:jc w:val="both"/>
        <w:rPr>
          <w:rFonts w:ascii="Times New Roman" w:hAnsi="Times New Roman" w:cs="Times New Roman"/>
          <w:i/>
          <w:sz w:val="24"/>
          <w:szCs w:val="24"/>
        </w:rPr>
      </w:pPr>
      <w:r>
        <w:rPr>
          <w:rFonts w:ascii="Times New Roman" w:hAnsi="Times New Roman" w:cs="Times New Roman"/>
          <w:sz w:val="24"/>
          <w:szCs w:val="24"/>
        </w:rPr>
        <w:t xml:space="preserve">On the basis of the </w:t>
      </w:r>
      <w:r w:rsidR="00F010B1">
        <w:rPr>
          <w:rFonts w:ascii="Times New Roman" w:hAnsi="Times New Roman" w:cs="Times New Roman"/>
          <w:sz w:val="24"/>
          <w:szCs w:val="24"/>
        </w:rPr>
        <w:t xml:space="preserve">available information on the set-up, there is no </w:t>
      </w:r>
      <w:r w:rsidR="00C40C55">
        <w:rPr>
          <w:rFonts w:ascii="Times New Roman" w:hAnsi="Times New Roman" w:cs="Times New Roman"/>
          <w:sz w:val="24"/>
          <w:szCs w:val="24"/>
        </w:rPr>
        <w:t xml:space="preserve">risk of </w:t>
      </w:r>
      <w:r w:rsidR="00F010B1">
        <w:rPr>
          <w:rFonts w:ascii="Times New Roman" w:hAnsi="Times New Roman" w:cs="Times New Roman"/>
          <w:sz w:val="24"/>
          <w:szCs w:val="24"/>
        </w:rPr>
        <w:t>double funding of the same expenditure</w:t>
      </w:r>
      <w:r w:rsidR="005531DA">
        <w:rPr>
          <w:rFonts w:ascii="Times New Roman" w:hAnsi="Times New Roman" w:cs="Times New Roman"/>
          <w:sz w:val="24"/>
          <w:szCs w:val="24"/>
        </w:rPr>
        <w:t>.</w:t>
      </w:r>
      <w:r w:rsidR="00F010B1">
        <w:rPr>
          <w:rFonts w:ascii="Times New Roman" w:hAnsi="Times New Roman" w:cs="Times New Roman"/>
          <w:sz w:val="24"/>
          <w:szCs w:val="24"/>
        </w:rPr>
        <w:t xml:space="preserve"> </w:t>
      </w:r>
      <w:r w:rsidR="00F010B1" w:rsidRPr="00A2006E">
        <w:rPr>
          <w:rFonts w:ascii="Times New Roman" w:hAnsi="Times New Roman" w:cs="Times New Roman"/>
          <w:i/>
          <w:sz w:val="24"/>
          <w:szCs w:val="24"/>
        </w:rPr>
        <w:t>(if the SCO in question does not cover the whole expenditure of the operation, the additional costs reimbursed as real cost or using another SCOs do not overlap/cover the same costs)</w:t>
      </w:r>
    </w:p>
    <w:p w14:paraId="72502672" w14:textId="77777777" w:rsidR="00EB5D0D" w:rsidRDefault="00645D09" w:rsidP="00EB5D0D">
      <w:pPr>
        <w:pStyle w:val="ListParagraph"/>
        <w:numPr>
          <w:ilvl w:val="0"/>
          <w:numId w:val="3"/>
        </w:numPr>
        <w:spacing w:after="160" w:line="259" w:lineRule="auto"/>
        <w:ind w:left="993" w:hanging="284"/>
        <w:jc w:val="both"/>
        <w:rPr>
          <w:rFonts w:ascii="Times New Roman" w:hAnsi="Times New Roman" w:cs="Times New Roman"/>
          <w:i/>
          <w:sz w:val="24"/>
          <w:szCs w:val="24"/>
        </w:rPr>
      </w:pPr>
      <w:r>
        <w:rPr>
          <w:rFonts w:ascii="Times New Roman" w:hAnsi="Times New Roman" w:cs="Times New Roman"/>
          <w:sz w:val="24"/>
          <w:szCs w:val="24"/>
        </w:rPr>
        <w:t>T</w:t>
      </w:r>
      <w:r w:rsidR="00EB5D0D" w:rsidRPr="006D018F">
        <w:rPr>
          <w:rFonts w:ascii="Times New Roman" w:hAnsi="Times New Roman" w:cs="Times New Roman"/>
          <w:sz w:val="24"/>
          <w:szCs w:val="24"/>
        </w:rPr>
        <w:t xml:space="preserve">he amounts/rates set are in line with the </w:t>
      </w:r>
      <w:r w:rsidR="00037787">
        <w:rPr>
          <w:rFonts w:ascii="Times New Roman" w:hAnsi="Times New Roman" w:cs="Times New Roman"/>
          <w:sz w:val="24"/>
          <w:szCs w:val="24"/>
        </w:rPr>
        <w:t xml:space="preserve">assumptions made and </w:t>
      </w:r>
      <w:r w:rsidR="00ED71DB">
        <w:rPr>
          <w:rFonts w:ascii="Times New Roman" w:hAnsi="Times New Roman" w:cs="Times New Roman"/>
          <w:sz w:val="24"/>
          <w:szCs w:val="24"/>
        </w:rPr>
        <w:t xml:space="preserve">the </w:t>
      </w:r>
      <w:r w:rsidR="00037787">
        <w:rPr>
          <w:rFonts w:ascii="Times New Roman" w:hAnsi="Times New Roman" w:cs="Times New Roman"/>
          <w:sz w:val="24"/>
          <w:szCs w:val="24"/>
        </w:rPr>
        <w:t>data</w:t>
      </w:r>
      <w:r w:rsidR="00EB5D0D" w:rsidRPr="006D018F">
        <w:rPr>
          <w:rFonts w:ascii="Times New Roman" w:hAnsi="Times New Roman" w:cs="Times New Roman"/>
          <w:sz w:val="24"/>
          <w:szCs w:val="24"/>
        </w:rPr>
        <w:t xml:space="preserve"> used for establishing the </w:t>
      </w:r>
      <w:r w:rsidR="00037787">
        <w:rPr>
          <w:rFonts w:ascii="Times New Roman" w:hAnsi="Times New Roman" w:cs="Times New Roman"/>
          <w:sz w:val="24"/>
          <w:szCs w:val="24"/>
        </w:rPr>
        <w:t>amounts/</w:t>
      </w:r>
      <w:r w:rsidR="00EB5D0D" w:rsidRPr="006D018F">
        <w:rPr>
          <w:rFonts w:ascii="Times New Roman" w:hAnsi="Times New Roman" w:cs="Times New Roman"/>
          <w:sz w:val="24"/>
          <w:szCs w:val="24"/>
        </w:rPr>
        <w:t>rates</w:t>
      </w:r>
      <w:r w:rsidR="005531DA">
        <w:rPr>
          <w:rFonts w:ascii="Times New Roman" w:hAnsi="Times New Roman" w:cs="Times New Roman"/>
          <w:sz w:val="24"/>
          <w:szCs w:val="24"/>
        </w:rPr>
        <w:t>.</w:t>
      </w:r>
      <w:r w:rsidR="00EB5D0D" w:rsidRPr="006D018F">
        <w:rPr>
          <w:rFonts w:ascii="Times New Roman" w:hAnsi="Times New Roman" w:cs="Times New Roman"/>
          <w:sz w:val="24"/>
          <w:szCs w:val="24"/>
        </w:rPr>
        <w:t xml:space="preserve"> </w:t>
      </w:r>
      <w:r w:rsidR="00EB5D0D" w:rsidRPr="00B826C9">
        <w:rPr>
          <w:rFonts w:ascii="Times New Roman" w:hAnsi="Times New Roman" w:cs="Times New Roman"/>
          <w:i/>
          <w:sz w:val="24"/>
          <w:szCs w:val="24"/>
        </w:rPr>
        <w:t>(review of the data/calculation could be carried out on a sample basis if needed)</w:t>
      </w:r>
    </w:p>
    <w:p w14:paraId="07DFD143" w14:textId="77777777" w:rsidR="00CD72FE" w:rsidRPr="00787143" w:rsidRDefault="002A04A3" w:rsidP="00CD72FE">
      <w:pPr>
        <w:pStyle w:val="ListParagraph"/>
        <w:numPr>
          <w:ilvl w:val="0"/>
          <w:numId w:val="3"/>
        </w:numPr>
        <w:spacing w:after="160" w:line="259" w:lineRule="auto"/>
        <w:ind w:left="993" w:hanging="284"/>
        <w:jc w:val="both"/>
        <w:rPr>
          <w:rFonts w:ascii="Times New Roman" w:hAnsi="Times New Roman" w:cs="Times New Roman"/>
          <w:sz w:val="24"/>
          <w:szCs w:val="24"/>
        </w:rPr>
      </w:pPr>
      <w:r w:rsidRPr="00787143">
        <w:rPr>
          <w:rFonts w:ascii="Times New Roman" w:hAnsi="Times New Roman" w:cs="Times New Roman"/>
          <w:sz w:val="24"/>
          <w:szCs w:val="24"/>
        </w:rPr>
        <w:t xml:space="preserve">The description of the adjustment method include sufficient information on the conditions and timing of its application, the conditions are clear and measurable and the method is considered </w:t>
      </w:r>
      <w:r w:rsidR="00DD658A" w:rsidRPr="00787143">
        <w:rPr>
          <w:rFonts w:ascii="Times New Roman" w:hAnsi="Times New Roman" w:cs="Times New Roman"/>
          <w:sz w:val="24"/>
          <w:szCs w:val="24"/>
        </w:rPr>
        <w:t>appropriate</w:t>
      </w:r>
      <w:r w:rsidR="008B42CF" w:rsidRPr="00787143">
        <w:rPr>
          <w:rFonts w:ascii="Times New Roman" w:hAnsi="Times New Roman" w:cs="Times New Roman"/>
          <w:sz w:val="24"/>
          <w:szCs w:val="24"/>
        </w:rPr>
        <w:t>.</w:t>
      </w:r>
    </w:p>
    <w:p w14:paraId="2F2E5275" w14:textId="6A77076E" w:rsidR="00876806" w:rsidRDefault="00876806" w:rsidP="00323B57">
      <w:pPr>
        <w:pStyle w:val="ListParagraph"/>
        <w:spacing w:after="160" w:line="259" w:lineRule="auto"/>
        <w:ind w:left="993"/>
        <w:jc w:val="both"/>
        <w:rPr>
          <w:rFonts w:ascii="Times New Roman" w:hAnsi="Times New Roman" w:cs="Times New Roman"/>
          <w:i/>
          <w:sz w:val="24"/>
          <w:szCs w:val="24"/>
        </w:rPr>
      </w:pPr>
    </w:p>
    <w:p w14:paraId="7364F7CD" w14:textId="77777777" w:rsidR="004A21EE" w:rsidRPr="005E11C3" w:rsidRDefault="004A21EE" w:rsidP="00323B57">
      <w:pPr>
        <w:pStyle w:val="ListParagraph"/>
        <w:spacing w:after="160" w:line="259" w:lineRule="auto"/>
        <w:ind w:left="993"/>
        <w:jc w:val="both"/>
        <w:rPr>
          <w:rFonts w:ascii="Times New Roman" w:hAnsi="Times New Roman" w:cs="Times New Roman"/>
          <w:i/>
          <w:sz w:val="24"/>
          <w:szCs w:val="24"/>
        </w:rPr>
      </w:pPr>
    </w:p>
    <w:p w14:paraId="1F1E2FCB" w14:textId="23909970" w:rsidR="001C4851" w:rsidRPr="00796AD2" w:rsidRDefault="001C4851" w:rsidP="001C4851">
      <w:pPr>
        <w:spacing w:after="0" w:line="259" w:lineRule="auto"/>
        <w:jc w:val="both"/>
        <w:rPr>
          <w:i/>
          <w:szCs w:val="24"/>
        </w:rPr>
      </w:pPr>
      <w:r w:rsidRPr="00796AD2">
        <w:rPr>
          <w:i/>
          <w:szCs w:val="24"/>
        </w:rPr>
        <w:t xml:space="preserve">In the case of </w:t>
      </w:r>
      <w:r w:rsidR="00D76B88">
        <w:rPr>
          <w:i/>
          <w:szCs w:val="24"/>
        </w:rPr>
        <w:t>b</w:t>
      </w:r>
      <w:r w:rsidRPr="00796AD2">
        <w:rPr>
          <w:i/>
          <w:szCs w:val="24"/>
        </w:rPr>
        <w:t xml:space="preserve">) </w:t>
      </w:r>
      <w:r w:rsidR="00E20EBF" w:rsidRPr="00796AD2">
        <w:rPr>
          <w:i/>
          <w:szCs w:val="24"/>
        </w:rPr>
        <w:t>–</w:t>
      </w:r>
      <w:r w:rsidRPr="00796AD2">
        <w:rPr>
          <w:i/>
          <w:szCs w:val="24"/>
        </w:rPr>
        <w:t xml:space="preserve"> </w:t>
      </w:r>
      <w:r w:rsidR="00E20EBF" w:rsidRPr="00796AD2">
        <w:rPr>
          <w:i/>
          <w:szCs w:val="24"/>
        </w:rPr>
        <w:t>draft budget</w:t>
      </w:r>
    </w:p>
    <w:p w14:paraId="641C37B1" w14:textId="6959A154" w:rsidR="001C4851" w:rsidRDefault="001C4851" w:rsidP="001C4851">
      <w:pPr>
        <w:spacing w:after="0" w:line="259" w:lineRule="auto"/>
        <w:jc w:val="both"/>
        <w:rPr>
          <w:szCs w:val="24"/>
        </w:rPr>
      </w:pPr>
      <w:r w:rsidRPr="00B826E8">
        <w:rPr>
          <w:b/>
          <w:szCs w:val="24"/>
        </w:rPr>
        <w:t>On the basis of th</w:t>
      </w:r>
      <w:r w:rsidR="00DD658A" w:rsidRPr="00B826E8">
        <w:rPr>
          <w:b/>
          <w:szCs w:val="24"/>
        </w:rPr>
        <w:t>e assessment of the proposed amount of unit cost/lump sum/flat rate</w:t>
      </w:r>
      <w:r w:rsidR="00876806" w:rsidRPr="00B826E8">
        <w:rPr>
          <w:b/>
          <w:szCs w:val="24"/>
        </w:rPr>
        <w:t xml:space="preserve"> established based on</w:t>
      </w:r>
      <w:r w:rsidR="00DD658A" w:rsidRPr="00B826E8">
        <w:rPr>
          <w:b/>
          <w:szCs w:val="24"/>
        </w:rPr>
        <w:t xml:space="preserve"> a draft budget</w:t>
      </w:r>
      <w:r w:rsidRPr="00B826E8">
        <w:rPr>
          <w:b/>
          <w:szCs w:val="24"/>
        </w:rPr>
        <w:t xml:space="preserve">, the AA </w:t>
      </w:r>
      <w:r w:rsidR="00BC5172">
        <w:rPr>
          <w:b/>
          <w:szCs w:val="24"/>
        </w:rPr>
        <w:t>can confirm</w:t>
      </w:r>
      <w:r w:rsidRPr="00B826E8">
        <w:rPr>
          <w:b/>
          <w:szCs w:val="24"/>
        </w:rPr>
        <w:t xml:space="preserve"> that</w:t>
      </w:r>
      <w:r>
        <w:rPr>
          <w:szCs w:val="24"/>
        </w:rPr>
        <w:t>:</w:t>
      </w:r>
    </w:p>
    <w:p w14:paraId="29915CF1" w14:textId="3FDC9082" w:rsidR="001C4851" w:rsidRPr="00CF19CE" w:rsidRDefault="001C4851" w:rsidP="00CF19CE">
      <w:pPr>
        <w:pStyle w:val="ListParagraph"/>
        <w:numPr>
          <w:ilvl w:val="0"/>
          <w:numId w:val="6"/>
        </w:numPr>
        <w:spacing w:after="160" w:line="259" w:lineRule="auto"/>
        <w:ind w:left="993" w:hanging="284"/>
        <w:jc w:val="both"/>
        <w:rPr>
          <w:rFonts w:ascii="Times New Roman" w:hAnsi="Times New Roman" w:cs="Times New Roman"/>
          <w:sz w:val="24"/>
          <w:szCs w:val="24"/>
        </w:rPr>
      </w:pPr>
      <w:r w:rsidRPr="00CF19CE">
        <w:rPr>
          <w:rFonts w:ascii="Times New Roman" w:hAnsi="Times New Roman" w:cs="Times New Roman"/>
          <w:sz w:val="24"/>
          <w:szCs w:val="24"/>
        </w:rPr>
        <w:t>The categories/types of costs taken into consideration for establishing the SCO are in line with the relevant national and EU eligibility rules, in particular as est</w:t>
      </w:r>
      <w:r w:rsidR="008051D7">
        <w:rPr>
          <w:rFonts w:ascii="Times New Roman" w:hAnsi="Times New Roman" w:cs="Times New Roman"/>
          <w:sz w:val="24"/>
          <w:szCs w:val="24"/>
        </w:rPr>
        <w:t>ablished within Chapter V of Interreg</w:t>
      </w:r>
      <w:r w:rsidRPr="00CF19CE">
        <w:rPr>
          <w:rFonts w:ascii="Times New Roman" w:hAnsi="Times New Roman" w:cs="Times New Roman"/>
          <w:sz w:val="24"/>
          <w:szCs w:val="24"/>
        </w:rPr>
        <w:t xml:space="preserve"> Regulation No </w:t>
      </w:r>
      <w:r w:rsidR="00387035">
        <w:rPr>
          <w:rFonts w:ascii="Times New Roman" w:hAnsi="Times New Roman" w:cs="Times New Roman"/>
          <w:sz w:val="24"/>
          <w:szCs w:val="24"/>
        </w:rPr>
        <w:t>2021/1059</w:t>
      </w:r>
      <w:r w:rsidRPr="00CF19CE">
        <w:rPr>
          <w:rFonts w:ascii="Times New Roman" w:hAnsi="Times New Roman" w:cs="Times New Roman"/>
          <w:sz w:val="24"/>
          <w:szCs w:val="24"/>
        </w:rPr>
        <w:t xml:space="preserve"> </w:t>
      </w:r>
      <w:r w:rsidR="008051D7">
        <w:rPr>
          <w:rFonts w:ascii="Times New Roman" w:hAnsi="Times New Roman" w:cs="Times New Roman"/>
          <w:sz w:val="24"/>
          <w:szCs w:val="24"/>
        </w:rPr>
        <w:t>(Art. 37-44</w:t>
      </w:r>
      <w:r w:rsidR="000C4F48">
        <w:rPr>
          <w:rFonts w:ascii="Times New Roman" w:hAnsi="Times New Roman" w:cs="Times New Roman"/>
          <w:sz w:val="24"/>
          <w:szCs w:val="24"/>
        </w:rPr>
        <w:t xml:space="preserve">) </w:t>
      </w:r>
      <w:r w:rsidR="008051D7">
        <w:rPr>
          <w:rFonts w:ascii="Times New Roman" w:hAnsi="Times New Roman" w:cs="Times New Roman"/>
          <w:sz w:val="24"/>
          <w:szCs w:val="24"/>
        </w:rPr>
        <w:t>for Interreg</w:t>
      </w:r>
      <w:r w:rsidRPr="00CF19CE">
        <w:rPr>
          <w:rFonts w:ascii="Times New Roman" w:hAnsi="Times New Roman" w:cs="Times New Roman"/>
          <w:sz w:val="24"/>
          <w:szCs w:val="24"/>
        </w:rPr>
        <w:t xml:space="preserve"> programmes and Chapter III of the Common Provision Regulation No </w:t>
      </w:r>
      <w:r w:rsidR="00387035">
        <w:rPr>
          <w:rFonts w:ascii="Times New Roman" w:hAnsi="Times New Roman" w:cs="Times New Roman"/>
          <w:sz w:val="24"/>
          <w:szCs w:val="24"/>
        </w:rPr>
        <w:t>2021/1060</w:t>
      </w:r>
      <w:r w:rsidRPr="00CF19CE">
        <w:rPr>
          <w:rFonts w:ascii="Times New Roman" w:hAnsi="Times New Roman" w:cs="Times New Roman"/>
          <w:sz w:val="24"/>
          <w:szCs w:val="24"/>
        </w:rPr>
        <w:t xml:space="preserve"> </w:t>
      </w:r>
      <w:r w:rsidR="008051D7">
        <w:rPr>
          <w:rFonts w:ascii="Times New Roman" w:hAnsi="Times New Roman" w:cs="Times New Roman"/>
          <w:sz w:val="24"/>
          <w:szCs w:val="24"/>
        </w:rPr>
        <w:t>(Art. 63</w:t>
      </w:r>
      <w:r w:rsidR="000C4F48">
        <w:rPr>
          <w:rFonts w:ascii="Times New Roman" w:hAnsi="Times New Roman" w:cs="Times New Roman"/>
          <w:sz w:val="24"/>
          <w:szCs w:val="24"/>
        </w:rPr>
        <w:t xml:space="preserve"> and 6</w:t>
      </w:r>
      <w:r w:rsidR="008051D7">
        <w:rPr>
          <w:rFonts w:ascii="Times New Roman" w:hAnsi="Times New Roman" w:cs="Times New Roman"/>
          <w:sz w:val="24"/>
          <w:szCs w:val="24"/>
        </w:rPr>
        <w:t>7</w:t>
      </w:r>
      <w:r w:rsidR="000C4F48">
        <w:rPr>
          <w:rFonts w:ascii="Times New Roman" w:hAnsi="Times New Roman" w:cs="Times New Roman"/>
          <w:sz w:val="24"/>
          <w:szCs w:val="24"/>
        </w:rPr>
        <w:t>).</w:t>
      </w:r>
    </w:p>
    <w:p w14:paraId="48A742A5" w14:textId="2E8F1358" w:rsidR="001C4851" w:rsidRPr="003E1D6B" w:rsidRDefault="003E1D6B" w:rsidP="003E1D6B">
      <w:pPr>
        <w:pStyle w:val="ListParagraph"/>
        <w:numPr>
          <w:ilvl w:val="0"/>
          <w:numId w:val="6"/>
        </w:numPr>
        <w:spacing w:after="160" w:line="259" w:lineRule="auto"/>
        <w:ind w:left="993" w:hanging="284"/>
        <w:jc w:val="both"/>
        <w:rPr>
          <w:rFonts w:ascii="Times New Roman" w:hAnsi="Times New Roman" w:cs="Times New Roman"/>
          <w:i/>
          <w:sz w:val="24"/>
          <w:szCs w:val="24"/>
        </w:rPr>
      </w:pPr>
      <w:r w:rsidRPr="003E1D6B">
        <w:rPr>
          <w:rFonts w:ascii="Times New Roman" w:hAnsi="Times New Roman" w:cs="Times New Roman"/>
          <w:sz w:val="24"/>
          <w:szCs w:val="24"/>
        </w:rPr>
        <w:lastRenderedPageBreak/>
        <w:t>On the basis of the available information on the set-up</w:t>
      </w:r>
      <w:r>
        <w:rPr>
          <w:rFonts w:ascii="Times New Roman" w:hAnsi="Times New Roman" w:cs="Times New Roman"/>
          <w:sz w:val="24"/>
          <w:szCs w:val="24"/>
        </w:rPr>
        <w:t>,</w:t>
      </w:r>
      <w:r w:rsidRPr="003E1D6B">
        <w:rPr>
          <w:rFonts w:ascii="Times New Roman" w:hAnsi="Times New Roman" w:cs="Times New Roman"/>
          <w:sz w:val="24"/>
          <w:szCs w:val="24"/>
        </w:rPr>
        <w:t xml:space="preserve"> </w:t>
      </w:r>
      <w:r>
        <w:rPr>
          <w:rFonts w:ascii="Times New Roman" w:hAnsi="Times New Roman" w:cs="Times New Roman"/>
          <w:sz w:val="24"/>
          <w:szCs w:val="24"/>
        </w:rPr>
        <w:t>t</w:t>
      </w:r>
      <w:r w:rsidR="001C4851" w:rsidRPr="00CF19CE">
        <w:rPr>
          <w:rFonts w:ascii="Times New Roman" w:hAnsi="Times New Roman" w:cs="Times New Roman"/>
          <w:sz w:val="24"/>
          <w:szCs w:val="24"/>
        </w:rPr>
        <w:t xml:space="preserve">here is no double funding of the same expenditure. </w:t>
      </w:r>
      <w:r w:rsidR="001C4851" w:rsidRPr="003E1D6B">
        <w:rPr>
          <w:rFonts w:ascii="Times New Roman" w:hAnsi="Times New Roman" w:cs="Times New Roman"/>
          <w:i/>
          <w:sz w:val="24"/>
          <w:szCs w:val="24"/>
        </w:rPr>
        <w:t>(</w:t>
      </w:r>
      <w:r w:rsidR="00CF19CE" w:rsidRPr="003E1D6B">
        <w:rPr>
          <w:rFonts w:ascii="Times New Roman" w:hAnsi="Times New Roman" w:cs="Times New Roman"/>
          <w:i/>
          <w:sz w:val="24"/>
          <w:szCs w:val="24"/>
        </w:rPr>
        <w:t>for example if a draft budget is used to establish a flat rate, the basis costs do not include any cost item that falls under the flat rate</w:t>
      </w:r>
      <w:r w:rsidR="001C4851" w:rsidRPr="003E1D6B">
        <w:rPr>
          <w:rFonts w:ascii="Times New Roman" w:hAnsi="Times New Roman" w:cs="Times New Roman"/>
          <w:i/>
          <w:sz w:val="24"/>
          <w:szCs w:val="24"/>
        </w:rPr>
        <w:t>)</w:t>
      </w:r>
    </w:p>
    <w:p w14:paraId="53B49D84" w14:textId="77777777" w:rsidR="00CF19CE" w:rsidRDefault="001C4851" w:rsidP="00D52A99">
      <w:pPr>
        <w:pStyle w:val="ListParagraph"/>
        <w:numPr>
          <w:ilvl w:val="0"/>
          <w:numId w:val="6"/>
        </w:numPr>
        <w:spacing w:after="160" w:line="259" w:lineRule="auto"/>
        <w:ind w:left="993" w:hanging="284"/>
        <w:jc w:val="both"/>
        <w:rPr>
          <w:rFonts w:ascii="Times New Roman" w:hAnsi="Times New Roman" w:cs="Times New Roman"/>
          <w:sz w:val="24"/>
          <w:szCs w:val="24"/>
        </w:rPr>
      </w:pPr>
      <w:r w:rsidRPr="00CF19CE">
        <w:rPr>
          <w:rFonts w:ascii="Times New Roman" w:hAnsi="Times New Roman" w:cs="Times New Roman"/>
          <w:sz w:val="24"/>
          <w:szCs w:val="24"/>
        </w:rPr>
        <w:t>The amounts/rates set are in line with the assumptions made and the data used for establishing the amounts/rates</w:t>
      </w:r>
      <w:r w:rsidR="00796AD2">
        <w:rPr>
          <w:rFonts w:ascii="Times New Roman" w:hAnsi="Times New Roman" w:cs="Times New Roman"/>
          <w:sz w:val="24"/>
          <w:szCs w:val="24"/>
        </w:rPr>
        <w:t>.</w:t>
      </w:r>
    </w:p>
    <w:p w14:paraId="530BA82B" w14:textId="77777777" w:rsidR="00876806" w:rsidRDefault="000D0063" w:rsidP="00876806">
      <w:pPr>
        <w:pStyle w:val="ListParagraph"/>
        <w:numPr>
          <w:ilvl w:val="0"/>
          <w:numId w:val="6"/>
        </w:numPr>
        <w:spacing w:after="160" w:line="259" w:lineRule="auto"/>
        <w:ind w:left="993" w:hanging="284"/>
        <w:jc w:val="both"/>
        <w:rPr>
          <w:rFonts w:ascii="Times New Roman" w:hAnsi="Times New Roman" w:cs="Times New Roman"/>
          <w:sz w:val="24"/>
          <w:szCs w:val="24"/>
        </w:rPr>
      </w:pPr>
      <w:r>
        <w:rPr>
          <w:rFonts w:ascii="Times New Roman" w:hAnsi="Times New Roman" w:cs="Times New Roman"/>
          <w:sz w:val="24"/>
          <w:szCs w:val="24"/>
        </w:rPr>
        <w:t>On the basis of t</w:t>
      </w:r>
      <w:r w:rsidRPr="000D0063">
        <w:rPr>
          <w:rFonts w:ascii="Times New Roman" w:hAnsi="Times New Roman" w:cs="Times New Roman"/>
          <w:sz w:val="24"/>
          <w:szCs w:val="24"/>
        </w:rPr>
        <w:t>he assessment of the relevance and quality of the data in the draft budget</w:t>
      </w:r>
      <w:r w:rsidR="003E1D6B">
        <w:rPr>
          <w:rFonts w:ascii="Times New Roman" w:hAnsi="Times New Roman" w:cs="Times New Roman"/>
          <w:sz w:val="24"/>
          <w:szCs w:val="24"/>
        </w:rPr>
        <w:t>,</w:t>
      </w:r>
      <w:r w:rsidRPr="000D0063">
        <w:rPr>
          <w:rFonts w:ascii="Times New Roman" w:hAnsi="Times New Roman" w:cs="Times New Roman"/>
          <w:sz w:val="24"/>
          <w:szCs w:val="24"/>
        </w:rPr>
        <w:t xml:space="preserve"> </w:t>
      </w:r>
      <w:r w:rsidR="003E1D6B">
        <w:rPr>
          <w:rFonts w:ascii="Times New Roman" w:hAnsi="Times New Roman" w:cs="Times New Roman"/>
          <w:sz w:val="24"/>
          <w:szCs w:val="24"/>
        </w:rPr>
        <w:t xml:space="preserve">the proposed SCO </w:t>
      </w:r>
      <w:r w:rsidRPr="000D0063">
        <w:rPr>
          <w:rFonts w:ascii="Times New Roman" w:hAnsi="Times New Roman" w:cs="Times New Roman"/>
          <w:sz w:val="24"/>
          <w:szCs w:val="24"/>
        </w:rPr>
        <w:t xml:space="preserve">is </w:t>
      </w:r>
      <w:r w:rsidR="003E1D6B">
        <w:rPr>
          <w:rFonts w:ascii="Times New Roman" w:hAnsi="Times New Roman" w:cs="Times New Roman"/>
          <w:sz w:val="24"/>
          <w:szCs w:val="24"/>
        </w:rPr>
        <w:t xml:space="preserve">considered </w:t>
      </w:r>
      <w:r w:rsidRPr="000D0063">
        <w:rPr>
          <w:rFonts w:ascii="Times New Roman" w:hAnsi="Times New Roman" w:cs="Times New Roman"/>
          <w:sz w:val="24"/>
          <w:szCs w:val="24"/>
        </w:rPr>
        <w:t xml:space="preserve">reasonable, i.e. </w:t>
      </w:r>
      <w:r w:rsidR="004F598B" w:rsidRPr="004F598B">
        <w:rPr>
          <w:rFonts w:ascii="Times New Roman" w:hAnsi="Times New Roman" w:cs="Times New Roman"/>
          <w:sz w:val="24"/>
          <w:szCs w:val="24"/>
        </w:rPr>
        <w:t>a reliable proxy to real costs</w:t>
      </w:r>
      <w:r w:rsidR="004F598B">
        <w:rPr>
          <w:rFonts w:ascii="Times New Roman" w:hAnsi="Times New Roman" w:cs="Times New Roman"/>
          <w:sz w:val="24"/>
          <w:szCs w:val="24"/>
        </w:rPr>
        <w:t>.</w:t>
      </w:r>
    </w:p>
    <w:p w14:paraId="5DD8A14E" w14:textId="77777777" w:rsidR="00303359" w:rsidRDefault="00303359" w:rsidP="00D76B88">
      <w:pPr>
        <w:spacing w:after="160" w:line="259" w:lineRule="auto"/>
        <w:jc w:val="both"/>
        <w:rPr>
          <w:i/>
          <w:szCs w:val="24"/>
        </w:rPr>
      </w:pPr>
    </w:p>
    <w:p w14:paraId="013F63F3" w14:textId="110DEA0D" w:rsidR="00D76B88" w:rsidRPr="00E53317" w:rsidRDefault="00D76B88" w:rsidP="00D76B88">
      <w:pPr>
        <w:spacing w:after="160" w:line="259" w:lineRule="auto"/>
        <w:jc w:val="both"/>
        <w:rPr>
          <w:i/>
          <w:szCs w:val="24"/>
        </w:rPr>
      </w:pPr>
      <w:r w:rsidRPr="00E53317">
        <w:rPr>
          <w:i/>
          <w:szCs w:val="24"/>
        </w:rPr>
        <w:t xml:space="preserve">In the case of c) and d): </w:t>
      </w:r>
    </w:p>
    <w:p w14:paraId="77EA0B16" w14:textId="41E5EC2A" w:rsidR="00D76B88" w:rsidRPr="00710074" w:rsidRDefault="00D76B88" w:rsidP="00D76B88">
      <w:pPr>
        <w:spacing w:after="160" w:line="259" w:lineRule="auto"/>
        <w:jc w:val="both"/>
        <w:rPr>
          <w:szCs w:val="24"/>
        </w:rPr>
      </w:pPr>
      <w:r w:rsidRPr="006B0D45">
        <w:rPr>
          <w:b/>
          <w:szCs w:val="24"/>
        </w:rPr>
        <w:t>On the basis of assessment of the set-up of the SCO established according to the rules applicable in Union policy … /applied under the national scheme for grants</w:t>
      </w:r>
      <w:r>
        <w:rPr>
          <w:szCs w:val="24"/>
        </w:rPr>
        <w:t xml:space="preserve"> …</w:t>
      </w:r>
      <w:r w:rsidRPr="00710074">
        <w:rPr>
          <w:i/>
          <w:szCs w:val="24"/>
        </w:rPr>
        <w:t xml:space="preserve">(choose as relevant and add reference to the applicable legal bases for </w:t>
      </w:r>
      <w:r>
        <w:rPr>
          <w:i/>
          <w:szCs w:val="24"/>
        </w:rPr>
        <w:t xml:space="preserve">the EU policy SCO or the </w:t>
      </w:r>
      <w:r w:rsidRPr="00710074">
        <w:rPr>
          <w:i/>
          <w:szCs w:val="24"/>
        </w:rPr>
        <w:t xml:space="preserve">national </w:t>
      </w:r>
      <w:r>
        <w:rPr>
          <w:i/>
          <w:szCs w:val="24"/>
        </w:rPr>
        <w:t>scheme</w:t>
      </w:r>
      <w:r w:rsidRPr="00710074">
        <w:rPr>
          <w:i/>
          <w:szCs w:val="24"/>
        </w:rPr>
        <w:t>)</w:t>
      </w:r>
      <w:r>
        <w:rPr>
          <w:szCs w:val="24"/>
        </w:rPr>
        <w:t xml:space="preserve">, </w:t>
      </w:r>
      <w:r w:rsidRPr="006B0D45">
        <w:rPr>
          <w:b/>
          <w:szCs w:val="24"/>
        </w:rPr>
        <w:t xml:space="preserve">the AA </w:t>
      </w:r>
      <w:r w:rsidR="00BC5172">
        <w:rPr>
          <w:b/>
          <w:szCs w:val="24"/>
        </w:rPr>
        <w:t>can confirm</w:t>
      </w:r>
      <w:r w:rsidRPr="006B0D45">
        <w:rPr>
          <w:b/>
          <w:szCs w:val="24"/>
        </w:rPr>
        <w:t xml:space="preserve"> that the proposed set-up is in line with the regulatory requirements, in particular</w:t>
      </w:r>
      <w:r>
        <w:rPr>
          <w:szCs w:val="24"/>
        </w:rPr>
        <w:t>:</w:t>
      </w:r>
    </w:p>
    <w:p w14:paraId="68B83278" w14:textId="38AAAF69" w:rsidR="00D76B88" w:rsidRDefault="00D76B88" w:rsidP="00D76B88">
      <w:pPr>
        <w:pStyle w:val="ListParagraph"/>
        <w:numPr>
          <w:ilvl w:val="0"/>
          <w:numId w:val="2"/>
        </w:numPr>
        <w:spacing w:after="160" w:line="259" w:lineRule="auto"/>
        <w:jc w:val="both"/>
        <w:rPr>
          <w:rFonts w:ascii="Times New Roman" w:hAnsi="Times New Roman" w:cs="Times New Roman"/>
          <w:sz w:val="24"/>
          <w:szCs w:val="24"/>
        </w:rPr>
      </w:pPr>
      <w:r w:rsidRPr="00BF52AF">
        <w:rPr>
          <w:rFonts w:ascii="Times New Roman" w:hAnsi="Times New Roman" w:cs="Times New Roman"/>
          <w:sz w:val="24"/>
          <w:szCs w:val="24"/>
        </w:rPr>
        <w:t>The SCO is to be applied for a similar type of operations</w:t>
      </w:r>
    </w:p>
    <w:p w14:paraId="31A5CDF3" w14:textId="5074D735" w:rsidR="006E448B" w:rsidRPr="00BF52AF" w:rsidRDefault="006E448B" w:rsidP="006E448B">
      <w:pPr>
        <w:pStyle w:val="ListParagraph"/>
        <w:numPr>
          <w:ilvl w:val="0"/>
          <w:numId w:val="2"/>
        </w:numPr>
        <w:spacing w:after="160" w:line="259" w:lineRule="auto"/>
        <w:jc w:val="both"/>
        <w:rPr>
          <w:rFonts w:ascii="Times New Roman" w:hAnsi="Times New Roman" w:cs="Times New Roman"/>
          <w:sz w:val="24"/>
          <w:szCs w:val="24"/>
        </w:rPr>
      </w:pPr>
      <w:r w:rsidRPr="006E448B">
        <w:rPr>
          <w:rFonts w:ascii="Times New Roman" w:hAnsi="Times New Roman" w:cs="Times New Roman"/>
          <w:sz w:val="24"/>
          <w:szCs w:val="24"/>
        </w:rPr>
        <w:t xml:space="preserve">The categories of costs </w:t>
      </w:r>
      <w:r>
        <w:rPr>
          <w:rFonts w:ascii="Times New Roman" w:hAnsi="Times New Roman" w:cs="Times New Roman"/>
          <w:sz w:val="24"/>
          <w:szCs w:val="24"/>
        </w:rPr>
        <w:t xml:space="preserve">covered by the SCO amount/rate </w:t>
      </w:r>
      <w:r w:rsidRPr="006E448B">
        <w:rPr>
          <w:rFonts w:ascii="Times New Roman" w:hAnsi="Times New Roman" w:cs="Times New Roman"/>
          <w:sz w:val="24"/>
          <w:szCs w:val="24"/>
        </w:rPr>
        <w:t xml:space="preserve">are eligible, clearly defined and </w:t>
      </w:r>
      <w:r w:rsidRPr="00D534CB">
        <w:rPr>
          <w:rFonts w:ascii="Times New Roman" w:hAnsi="Times New Roman" w:cs="Times New Roman"/>
          <w:sz w:val="24"/>
          <w:szCs w:val="24"/>
        </w:rPr>
        <w:t xml:space="preserve">the totality of the </w:t>
      </w:r>
      <w:r>
        <w:rPr>
          <w:rFonts w:ascii="Times New Roman" w:hAnsi="Times New Roman" w:cs="Times New Roman"/>
          <w:sz w:val="24"/>
          <w:szCs w:val="24"/>
        </w:rPr>
        <w:t>EU/</w:t>
      </w:r>
      <w:r w:rsidRPr="00D534CB">
        <w:rPr>
          <w:rFonts w:ascii="Times New Roman" w:hAnsi="Times New Roman" w:cs="Times New Roman"/>
          <w:sz w:val="24"/>
          <w:szCs w:val="24"/>
        </w:rPr>
        <w:t>national scheme is re-used (</w:t>
      </w:r>
      <w:r>
        <w:rPr>
          <w:rFonts w:ascii="Times New Roman" w:hAnsi="Times New Roman" w:cs="Times New Roman"/>
          <w:sz w:val="24"/>
          <w:szCs w:val="24"/>
        </w:rPr>
        <w:t>categories of costs</w:t>
      </w:r>
      <w:r w:rsidRPr="00D534CB">
        <w:rPr>
          <w:rFonts w:ascii="Times New Roman" w:hAnsi="Times New Roman" w:cs="Times New Roman"/>
          <w:sz w:val="24"/>
          <w:szCs w:val="24"/>
        </w:rPr>
        <w:t xml:space="preserve"> </w:t>
      </w:r>
      <w:r w:rsidRPr="00BF52AF">
        <w:rPr>
          <w:rFonts w:ascii="Times New Roman" w:hAnsi="Times New Roman" w:cs="Times New Roman"/>
          <w:sz w:val="24"/>
          <w:szCs w:val="24"/>
        </w:rPr>
        <w:t xml:space="preserve">are in line with the methodology applied in the Union policy/national scheme </w:t>
      </w:r>
      <w:r>
        <w:rPr>
          <w:rFonts w:ascii="Times New Roman" w:hAnsi="Times New Roman" w:cs="Times New Roman"/>
          <w:sz w:val="24"/>
          <w:szCs w:val="24"/>
        </w:rPr>
        <w:t xml:space="preserve">and other applicable requirements and conditions are re-used) </w:t>
      </w:r>
    </w:p>
    <w:p w14:paraId="0D528D2C" w14:textId="01B50C17" w:rsidR="00D76B88" w:rsidRPr="00BF52AF" w:rsidRDefault="00D76B88" w:rsidP="00D76B88">
      <w:pPr>
        <w:pStyle w:val="ListParagraph"/>
        <w:numPr>
          <w:ilvl w:val="0"/>
          <w:numId w:val="2"/>
        </w:numPr>
        <w:spacing w:after="160" w:line="259" w:lineRule="auto"/>
        <w:jc w:val="both"/>
        <w:rPr>
          <w:rFonts w:ascii="Times New Roman" w:hAnsi="Times New Roman" w:cs="Times New Roman"/>
          <w:i/>
          <w:sz w:val="24"/>
          <w:szCs w:val="24"/>
        </w:rPr>
      </w:pPr>
      <w:r w:rsidRPr="00BF52AF">
        <w:rPr>
          <w:rFonts w:ascii="Times New Roman" w:hAnsi="Times New Roman" w:cs="Times New Roman"/>
          <w:sz w:val="24"/>
          <w:szCs w:val="24"/>
        </w:rPr>
        <w:t>The method for periodic adjustment of the amounts is aligned with the methodology applied in t</w:t>
      </w:r>
      <w:r w:rsidR="007C6996">
        <w:rPr>
          <w:rFonts w:ascii="Times New Roman" w:hAnsi="Times New Roman" w:cs="Times New Roman"/>
          <w:sz w:val="24"/>
          <w:szCs w:val="24"/>
        </w:rPr>
        <w:t>he Union policy/national scheme</w:t>
      </w:r>
      <w:r w:rsidRPr="00BF52AF">
        <w:t xml:space="preserve"> </w:t>
      </w:r>
      <w:r w:rsidRPr="00BF52AF">
        <w:rPr>
          <w:rFonts w:ascii="Times New Roman" w:hAnsi="Times New Roman" w:cs="Times New Roman"/>
          <w:i/>
          <w:sz w:val="24"/>
          <w:szCs w:val="24"/>
        </w:rPr>
        <w:t>(in the case of lump sum and unit costs)</w:t>
      </w:r>
    </w:p>
    <w:p w14:paraId="682F7FEB" w14:textId="62F5B0A2" w:rsidR="00D76B88" w:rsidRDefault="00D76B88" w:rsidP="00F13320">
      <w:pPr>
        <w:pStyle w:val="ListParagraph"/>
        <w:numPr>
          <w:ilvl w:val="0"/>
          <w:numId w:val="2"/>
        </w:numPr>
        <w:spacing w:after="160" w:line="259" w:lineRule="auto"/>
        <w:jc w:val="both"/>
        <w:rPr>
          <w:rFonts w:ascii="Times New Roman" w:hAnsi="Times New Roman" w:cs="Times New Roman"/>
          <w:i/>
          <w:sz w:val="24"/>
          <w:szCs w:val="24"/>
        </w:rPr>
      </w:pPr>
      <w:r w:rsidRPr="00BF52AF">
        <w:rPr>
          <w:rFonts w:ascii="Times New Roman" w:hAnsi="Times New Roman" w:cs="Times New Roman"/>
          <w:sz w:val="24"/>
          <w:szCs w:val="24"/>
        </w:rPr>
        <w:t>The national scheme for grants is funded entirely by the MS</w:t>
      </w:r>
      <w:r w:rsidR="00424050">
        <w:rPr>
          <w:rFonts w:ascii="Times New Roman" w:hAnsi="Times New Roman" w:cs="Times New Roman"/>
          <w:sz w:val="24"/>
          <w:szCs w:val="24"/>
        </w:rPr>
        <w:t xml:space="preserve"> </w:t>
      </w:r>
      <w:r w:rsidRPr="00BF52AF">
        <w:rPr>
          <w:rFonts w:ascii="Times New Roman" w:hAnsi="Times New Roman" w:cs="Times New Roman"/>
          <w:i/>
          <w:sz w:val="24"/>
          <w:szCs w:val="24"/>
        </w:rPr>
        <w:t>(in the case of schemes for national grants</w:t>
      </w:r>
      <w:r w:rsidRPr="005455EC">
        <w:rPr>
          <w:rFonts w:ascii="Times New Roman" w:hAnsi="Times New Roman" w:cs="Times New Roman"/>
          <w:i/>
          <w:sz w:val="24"/>
          <w:szCs w:val="24"/>
        </w:rPr>
        <w:t>)</w:t>
      </w:r>
    </w:p>
    <w:p w14:paraId="068612F1" w14:textId="0F088B39" w:rsidR="006E448B" w:rsidRPr="006E448B" w:rsidRDefault="006E448B" w:rsidP="00F13320">
      <w:pPr>
        <w:pStyle w:val="ListParagraph"/>
        <w:numPr>
          <w:ilvl w:val="0"/>
          <w:numId w:val="2"/>
        </w:numPr>
        <w:spacing w:after="160" w:line="259" w:lineRule="auto"/>
        <w:jc w:val="both"/>
        <w:rPr>
          <w:rFonts w:ascii="Times New Roman" w:hAnsi="Times New Roman" w:cs="Times New Roman"/>
          <w:sz w:val="24"/>
          <w:szCs w:val="24"/>
        </w:rPr>
      </w:pPr>
      <w:r w:rsidRPr="006E448B">
        <w:rPr>
          <w:rFonts w:ascii="Times New Roman" w:hAnsi="Times New Roman" w:cs="Times New Roman"/>
          <w:sz w:val="24"/>
          <w:szCs w:val="24"/>
        </w:rPr>
        <w:t xml:space="preserve">The SCO </w:t>
      </w:r>
      <w:r w:rsidR="00A20AEF">
        <w:rPr>
          <w:rFonts w:ascii="Times New Roman" w:hAnsi="Times New Roman" w:cs="Times New Roman"/>
          <w:sz w:val="24"/>
          <w:szCs w:val="24"/>
        </w:rPr>
        <w:t xml:space="preserve">applicable in Union policy/national scheme </w:t>
      </w:r>
      <w:r w:rsidRPr="006E448B">
        <w:rPr>
          <w:rFonts w:ascii="Times New Roman" w:hAnsi="Times New Roman" w:cs="Times New Roman"/>
          <w:sz w:val="24"/>
          <w:szCs w:val="24"/>
        </w:rPr>
        <w:t xml:space="preserve">is </w:t>
      </w:r>
      <w:r w:rsidR="00BB52CE">
        <w:rPr>
          <w:rFonts w:ascii="Times New Roman" w:hAnsi="Times New Roman" w:cs="Times New Roman"/>
          <w:sz w:val="24"/>
          <w:szCs w:val="24"/>
        </w:rPr>
        <w:t xml:space="preserve">in </w:t>
      </w:r>
      <w:r w:rsidR="00774262">
        <w:rPr>
          <w:rFonts w:ascii="Times New Roman" w:hAnsi="Times New Roman" w:cs="Times New Roman"/>
          <w:sz w:val="24"/>
          <w:szCs w:val="24"/>
        </w:rPr>
        <w:t>force</w:t>
      </w:r>
      <w:r>
        <w:rPr>
          <w:rFonts w:ascii="Times New Roman" w:hAnsi="Times New Roman" w:cs="Times New Roman"/>
          <w:sz w:val="24"/>
          <w:szCs w:val="24"/>
        </w:rPr>
        <w:t xml:space="preserve"> at the moment of the submission of the programme for approval</w:t>
      </w:r>
      <w:r w:rsidR="00A20AEF">
        <w:rPr>
          <w:rFonts w:ascii="Times New Roman" w:hAnsi="Times New Roman" w:cs="Times New Roman"/>
          <w:sz w:val="24"/>
          <w:szCs w:val="24"/>
        </w:rPr>
        <w:t>.</w:t>
      </w:r>
    </w:p>
    <w:p w14:paraId="014B4526" w14:textId="77777777" w:rsidR="00D76B88" w:rsidRPr="00D76B88" w:rsidRDefault="00D76B88" w:rsidP="00D76B88">
      <w:pPr>
        <w:spacing w:after="160" w:line="259" w:lineRule="auto"/>
        <w:jc w:val="both"/>
        <w:rPr>
          <w:szCs w:val="24"/>
        </w:rPr>
      </w:pPr>
    </w:p>
    <w:p w14:paraId="3FA87010" w14:textId="723BDDE2" w:rsidR="00F41296" w:rsidRPr="000C4F48" w:rsidRDefault="000C4F48" w:rsidP="000C4F48">
      <w:pPr>
        <w:spacing w:after="160" w:line="259" w:lineRule="auto"/>
        <w:jc w:val="both"/>
        <w:rPr>
          <w:i/>
          <w:szCs w:val="24"/>
        </w:rPr>
      </w:pPr>
      <w:r>
        <w:rPr>
          <w:i/>
          <w:szCs w:val="24"/>
        </w:rPr>
        <w:t>I</w:t>
      </w:r>
      <w:r w:rsidRPr="000C4F48">
        <w:rPr>
          <w:i/>
          <w:szCs w:val="24"/>
        </w:rPr>
        <w:t>n</w:t>
      </w:r>
      <w:r w:rsidR="00303359">
        <w:rPr>
          <w:i/>
          <w:szCs w:val="24"/>
        </w:rPr>
        <w:t xml:space="preserve"> the</w:t>
      </w:r>
      <w:r w:rsidRPr="000C4F48">
        <w:rPr>
          <w:i/>
          <w:szCs w:val="24"/>
        </w:rPr>
        <w:t xml:space="preserve"> case of lump sum and unit costs </w:t>
      </w:r>
      <w:r>
        <w:rPr>
          <w:i/>
          <w:szCs w:val="24"/>
        </w:rPr>
        <w:t>f</w:t>
      </w:r>
      <w:r w:rsidR="00F41296" w:rsidRPr="000C4F48">
        <w:rPr>
          <w:i/>
          <w:szCs w:val="24"/>
        </w:rPr>
        <w:t xml:space="preserve">or all above </w:t>
      </w:r>
      <w:r w:rsidR="00787143">
        <w:rPr>
          <w:i/>
          <w:szCs w:val="24"/>
        </w:rPr>
        <w:t>(a-d)</w:t>
      </w:r>
      <w:r w:rsidR="00F41296" w:rsidRPr="000C4F48">
        <w:rPr>
          <w:i/>
          <w:szCs w:val="24"/>
        </w:rPr>
        <w:t>:</w:t>
      </w:r>
    </w:p>
    <w:p w14:paraId="3BDFE490" w14:textId="1F9F32F8" w:rsidR="00EF24DE" w:rsidRPr="00876806" w:rsidRDefault="00EF24DE" w:rsidP="000C4F48">
      <w:pPr>
        <w:spacing w:after="160" w:line="259" w:lineRule="auto"/>
        <w:jc w:val="both"/>
        <w:rPr>
          <w:szCs w:val="24"/>
        </w:rPr>
      </w:pPr>
      <w:r w:rsidRPr="00876806">
        <w:rPr>
          <w:szCs w:val="24"/>
        </w:rPr>
        <w:t xml:space="preserve">As regards the arrangements to ensure the verification, quality, collection and storage of data, appropriate supporting documentation/system is planned to be used to confirm achievement of milestones/number of units and storage of data. </w:t>
      </w:r>
    </w:p>
    <w:p w14:paraId="175049F2" w14:textId="2EE5E84B" w:rsidR="001C4851" w:rsidRDefault="001C4851" w:rsidP="00A44435">
      <w:pPr>
        <w:spacing w:after="160" w:line="259" w:lineRule="auto"/>
        <w:jc w:val="both"/>
        <w:rPr>
          <w:i/>
          <w:szCs w:val="24"/>
        </w:rPr>
      </w:pPr>
    </w:p>
    <w:p w14:paraId="1BF2E8A7" w14:textId="77777777" w:rsidR="00A44435" w:rsidRPr="003E43E5" w:rsidRDefault="00A44435" w:rsidP="00A44435">
      <w:pPr>
        <w:spacing w:after="160" w:line="259" w:lineRule="auto"/>
        <w:jc w:val="both"/>
        <w:rPr>
          <w:i/>
          <w:szCs w:val="24"/>
        </w:rPr>
      </w:pPr>
      <w:r w:rsidRPr="003E43E5">
        <w:rPr>
          <w:i/>
          <w:szCs w:val="24"/>
        </w:rPr>
        <w:t>For all cases:</w:t>
      </w:r>
    </w:p>
    <w:p w14:paraId="50D41540" w14:textId="25EE3B13" w:rsidR="00A44435" w:rsidRPr="003E43E5" w:rsidRDefault="00A44435" w:rsidP="00A44435">
      <w:pPr>
        <w:spacing w:after="160" w:line="259" w:lineRule="auto"/>
        <w:jc w:val="both"/>
        <w:rPr>
          <w:i/>
          <w:szCs w:val="24"/>
        </w:rPr>
      </w:pPr>
      <w:r w:rsidRPr="003E43E5">
        <w:rPr>
          <w:szCs w:val="24"/>
        </w:rPr>
        <w:t>Th</w:t>
      </w:r>
      <w:r w:rsidR="003D2308">
        <w:rPr>
          <w:szCs w:val="24"/>
        </w:rPr>
        <w:t>is</w:t>
      </w:r>
      <w:r w:rsidRPr="003E43E5">
        <w:rPr>
          <w:szCs w:val="24"/>
        </w:rPr>
        <w:t xml:space="preserve"> assessment cover</w:t>
      </w:r>
      <w:r w:rsidR="003D2308">
        <w:rPr>
          <w:szCs w:val="24"/>
        </w:rPr>
        <w:t>s</w:t>
      </w:r>
      <w:r w:rsidRPr="003E43E5">
        <w:rPr>
          <w:szCs w:val="24"/>
        </w:rPr>
        <w:t xml:space="preserve"> </w:t>
      </w:r>
      <w:r w:rsidRPr="003E43E5">
        <w:rPr>
          <w:i/>
          <w:szCs w:val="24"/>
        </w:rPr>
        <w:t xml:space="preserve">(please select the applicable) </w:t>
      </w:r>
    </w:p>
    <w:p w14:paraId="73401622" w14:textId="77777777" w:rsidR="00A44435" w:rsidRPr="003E43E5" w:rsidRDefault="00A44435" w:rsidP="00A44435">
      <w:pPr>
        <w:pStyle w:val="ListParagraph"/>
        <w:numPr>
          <w:ilvl w:val="0"/>
          <w:numId w:val="7"/>
        </w:numPr>
        <w:spacing w:after="160" w:line="259" w:lineRule="auto"/>
        <w:jc w:val="both"/>
        <w:rPr>
          <w:rFonts w:ascii="Times New Roman" w:hAnsi="Times New Roman" w:cs="Times New Roman"/>
          <w:sz w:val="24"/>
          <w:szCs w:val="24"/>
        </w:rPr>
      </w:pPr>
      <w:r w:rsidRPr="003E43E5">
        <w:rPr>
          <w:rFonts w:ascii="Times New Roman" w:hAnsi="Times New Roman" w:cs="Times New Roman"/>
          <w:sz w:val="24"/>
          <w:szCs w:val="24"/>
        </w:rPr>
        <w:t xml:space="preserve">all </w:t>
      </w:r>
      <w:r>
        <w:rPr>
          <w:rFonts w:ascii="Times New Roman" w:hAnsi="Times New Roman" w:cs="Times New Roman"/>
          <w:sz w:val="24"/>
          <w:szCs w:val="24"/>
        </w:rPr>
        <w:t xml:space="preserve">relevant </w:t>
      </w:r>
      <w:r w:rsidRPr="003E43E5">
        <w:rPr>
          <w:rFonts w:ascii="Times New Roman" w:hAnsi="Times New Roman" w:cs="Times New Roman"/>
          <w:sz w:val="24"/>
          <w:szCs w:val="24"/>
        </w:rPr>
        <w:t xml:space="preserve">elements listed in </w:t>
      </w:r>
      <w:r>
        <w:rPr>
          <w:rFonts w:ascii="Times New Roman" w:hAnsi="Times New Roman" w:cs="Times New Roman"/>
          <w:sz w:val="24"/>
          <w:szCs w:val="24"/>
        </w:rPr>
        <w:t xml:space="preserve">section 1 of </w:t>
      </w:r>
      <w:r w:rsidRPr="003E43E5">
        <w:rPr>
          <w:rFonts w:ascii="Times New Roman" w:hAnsi="Times New Roman" w:cs="Times New Roman"/>
          <w:sz w:val="24"/>
          <w:szCs w:val="24"/>
        </w:rPr>
        <w:t>the Commission audit services SCO checklist, or</w:t>
      </w:r>
    </w:p>
    <w:p w14:paraId="450D5D23" w14:textId="6047ABFB" w:rsidR="00A44435" w:rsidRPr="00387035" w:rsidRDefault="00A44435" w:rsidP="00214222">
      <w:pPr>
        <w:pStyle w:val="ListParagraph"/>
        <w:numPr>
          <w:ilvl w:val="0"/>
          <w:numId w:val="7"/>
        </w:numPr>
        <w:spacing w:after="160" w:line="259" w:lineRule="auto"/>
        <w:jc w:val="both"/>
        <w:rPr>
          <w:i/>
          <w:szCs w:val="24"/>
        </w:rPr>
      </w:pPr>
      <w:r w:rsidRPr="00387035">
        <w:rPr>
          <w:rFonts w:ascii="Times New Roman" w:hAnsi="Times New Roman" w:cs="Times New Roman"/>
          <w:sz w:val="24"/>
          <w:szCs w:val="24"/>
        </w:rPr>
        <w:t xml:space="preserve">the relevant elements listed in section 1 of the Commission audit services SCO checklist with the exception of </w:t>
      </w:r>
      <w:r w:rsidRPr="00387035">
        <w:rPr>
          <w:rFonts w:ascii="Times New Roman" w:hAnsi="Times New Roman" w:cs="Times New Roman"/>
          <w:i/>
          <w:sz w:val="24"/>
          <w:szCs w:val="24"/>
        </w:rPr>
        <w:t>(please list the exceptions and the reason for not covering these elements)</w:t>
      </w:r>
    </w:p>
    <w:sectPr w:rsidR="00A44435" w:rsidRPr="0038703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A39829" w14:textId="77777777" w:rsidR="007416F3" w:rsidRDefault="007416F3" w:rsidP="00F41296">
      <w:pPr>
        <w:spacing w:before="0" w:after="0" w:line="240" w:lineRule="auto"/>
      </w:pPr>
      <w:r>
        <w:separator/>
      </w:r>
    </w:p>
  </w:endnote>
  <w:endnote w:type="continuationSeparator" w:id="0">
    <w:p w14:paraId="51EECAB7" w14:textId="77777777" w:rsidR="007416F3" w:rsidRDefault="007416F3" w:rsidP="00F412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06D6A" w14:textId="77777777" w:rsidR="003F0193" w:rsidRDefault="003F01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7363039"/>
      <w:docPartObj>
        <w:docPartGallery w:val="Page Numbers (Bottom of Page)"/>
        <w:docPartUnique/>
      </w:docPartObj>
    </w:sdtPr>
    <w:sdtEndPr>
      <w:rPr>
        <w:noProof/>
      </w:rPr>
    </w:sdtEndPr>
    <w:sdtContent>
      <w:p w14:paraId="180BA445" w14:textId="323FCF7A" w:rsidR="00F41296" w:rsidRDefault="00F41296">
        <w:pPr>
          <w:pStyle w:val="Footer"/>
          <w:jc w:val="center"/>
        </w:pPr>
        <w:r>
          <w:fldChar w:fldCharType="begin"/>
        </w:r>
        <w:r>
          <w:instrText xml:space="preserve"> PAGE   \* MERGEFORMAT </w:instrText>
        </w:r>
        <w:r>
          <w:fldChar w:fldCharType="separate"/>
        </w:r>
        <w:r w:rsidR="00EA7A5B">
          <w:rPr>
            <w:noProof/>
          </w:rPr>
          <w:t>1</w:t>
        </w:r>
        <w:r>
          <w:rPr>
            <w:noProof/>
          </w:rPr>
          <w:fldChar w:fldCharType="end"/>
        </w:r>
      </w:p>
    </w:sdtContent>
  </w:sdt>
  <w:p w14:paraId="11A9B03A" w14:textId="77777777" w:rsidR="00F41296" w:rsidRDefault="00F412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5EF0B7" w14:textId="77777777" w:rsidR="003F0193" w:rsidRDefault="003F0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EEF6AC" w14:textId="77777777" w:rsidR="007416F3" w:rsidRDefault="007416F3" w:rsidP="00F41296">
      <w:pPr>
        <w:spacing w:before="0" w:after="0" w:line="240" w:lineRule="auto"/>
      </w:pPr>
      <w:r>
        <w:separator/>
      </w:r>
    </w:p>
  </w:footnote>
  <w:footnote w:type="continuationSeparator" w:id="0">
    <w:p w14:paraId="051053FC" w14:textId="77777777" w:rsidR="007416F3" w:rsidRDefault="007416F3" w:rsidP="00F41296">
      <w:pPr>
        <w:spacing w:before="0" w:after="0" w:line="240" w:lineRule="auto"/>
      </w:pPr>
      <w:r>
        <w:continuationSeparator/>
      </w:r>
    </w:p>
  </w:footnote>
  <w:footnote w:id="1">
    <w:p w14:paraId="13126970" w14:textId="2A3A9077" w:rsidR="005B630A" w:rsidRPr="005B630A" w:rsidRDefault="005B630A" w:rsidP="00E21826">
      <w:pPr>
        <w:pStyle w:val="FootnoteText"/>
        <w:jc w:val="both"/>
        <w:rPr>
          <w:lang w:val="en-IE"/>
        </w:rPr>
      </w:pPr>
      <w:r>
        <w:rPr>
          <w:rStyle w:val="FootnoteReference"/>
        </w:rPr>
        <w:footnoteRef/>
      </w:r>
      <w:r>
        <w:t xml:space="preserve"> Appendix 2 </w:t>
      </w:r>
      <w:r w:rsidR="00E21826">
        <w:t xml:space="preserve">to </w:t>
      </w:r>
      <w:r w:rsidR="004065B1">
        <w:t xml:space="preserve">the Annex of </w:t>
      </w:r>
      <w:r w:rsidR="00E21826">
        <w:t>the Regulation (E</w:t>
      </w:r>
      <w:r w:rsidR="004065B1">
        <w:t>U</w:t>
      </w:r>
      <w:r w:rsidR="00E21826">
        <w:t>) 2021/1059 of the European Parliament and of the Council of 24 June 2021 on specific provisions for the European territorial cooperation goal (Interreg) supported by the European Regional Development Fund and external financing instruments</w:t>
      </w:r>
    </w:p>
  </w:footnote>
  <w:footnote w:id="2">
    <w:p w14:paraId="01EDBAB9" w14:textId="3CE5A858" w:rsidR="00E21826" w:rsidRPr="00E21826" w:rsidRDefault="00E21826" w:rsidP="00E21826">
      <w:pPr>
        <w:pStyle w:val="FootnoteText"/>
        <w:jc w:val="both"/>
        <w:rPr>
          <w:lang w:val="en-IE"/>
        </w:rPr>
      </w:pPr>
      <w:r>
        <w:rPr>
          <w:rStyle w:val="FootnoteReference"/>
        </w:rPr>
        <w:footnoteRef/>
      </w:r>
      <w:r>
        <w:t xml:space="preserve"> </w:t>
      </w:r>
      <w:r w:rsidR="004065B1">
        <w:t>Regulation (EU</w:t>
      </w:r>
      <w:r>
        <w:t>) 2021/1060 of the European Parliament and of the Council of 24 June 2021 laying down common provisions on the European Regional Development Fund, the European Social Fund Plus, the Cohesion Fund, the Just Transition Fund and the European Maritime, Fisheries and Aquaculture Fund and financial rules for those and for the Asylum, Migration and Integration Fund, the Internal Security Fund and the Instrument for Financial Support for Border Management and Visa Policy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87AAE6" w14:textId="77777777" w:rsidR="003F0193" w:rsidRDefault="003F01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1ED09" w14:textId="57341AB8" w:rsidR="00F41296" w:rsidRPr="002421AA" w:rsidRDefault="00F41296" w:rsidP="002421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A461A" w14:textId="77777777" w:rsidR="003F0193" w:rsidRDefault="003F0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63C0"/>
    <w:multiLevelType w:val="hybridMultilevel"/>
    <w:tmpl w:val="37C4B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94571"/>
    <w:multiLevelType w:val="hybridMultilevel"/>
    <w:tmpl w:val="9F0C35F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E76508E"/>
    <w:multiLevelType w:val="hybridMultilevel"/>
    <w:tmpl w:val="B85296CC"/>
    <w:lvl w:ilvl="0" w:tplc="C0ACFB9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3B0143EE"/>
    <w:multiLevelType w:val="hybridMultilevel"/>
    <w:tmpl w:val="B136F46C"/>
    <w:lvl w:ilvl="0" w:tplc="56427EC2">
      <w:start w:val="1"/>
      <w:numFmt w:val="lowerLetter"/>
      <w:lvlText w:val="%1)"/>
      <w:lvlJc w:val="left"/>
      <w:pPr>
        <w:ind w:left="1080" w:hanging="360"/>
      </w:pPr>
      <w:rPr>
        <w:rFonts w:hint="default"/>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9F50E42"/>
    <w:multiLevelType w:val="hybridMultilevel"/>
    <w:tmpl w:val="3DFC3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72180A"/>
    <w:multiLevelType w:val="hybridMultilevel"/>
    <w:tmpl w:val="B0E0198E"/>
    <w:lvl w:ilvl="0" w:tplc="E8EE7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800C7A"/>
    <w:multiLevelType w:val="hybridMultilevel"/>
    <w:tmpl w:val="D2BAB7EC"/>
    <w:lvl w:ilvl="0" w:tplc="E6D88CCA">
      <w:start w:val="1"/>
      <w:numFmt w:val="lowerLetter"/>
      <w:lvlText w:val="%1)"/>
      <w:lvlJc w:val="left"/>
      <w:pPr>
        <w:ind w:left="1440" w:hanging="360"/>
      </w:pPr>
      <w:rPr>
        <w:rFonts w:hint="default"/>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EB107A8"/>
    <w:multiLevelType w:val="hybridMultilevel"/>
    <w:tmpl w:val="AA2AB0FA"/>
    <w:lvl w:ilvl="0" w:tplc="E6D88CCA">
      <w:start w:val="1"/>
      <w:numFmt w:val="lowerLetter"/>
      <w:lvlText w:val="%1)"/>
      <w:lvlJc w:val="left"/>
      <w:pPr>
        <w:ind w:left="1440" w:hanging="360"/>
      </w:pPr>
      <w:rPr>
        <w:rFonts w:hint="default"/>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67E50F08"/>
    <w:multiLevelType w:val="hybridMultilevel"/>
    <w:tmpl w:val="C70CB64E"/>
    <w:lvl w:ilvl="0" w:tplc="4A007374">
      <w:start w:val="1"/>
      <w:numFmt w:val="lowerLetter"/>
      <w:lvlText w:val="%1)"/>
      <w:lvlJc w:val="left"/>
      <w:pPr>
        <w:ind w:left="1440" w:hanging="360"/>
      </w:pPr>
      <w:rPr>
        <w:rFonts w:hint="default"/>
        <w:i w:val="0"/>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6DA400F5"/>
    <w:multiLevelType w:val="hybridMultilevel"/>
    <w:tmpl w:val="DC8A1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7"/>
  </w:num>
  <w:num w:numId="5">
    <w:abstractNumId w:val="2"/>
  </w:num>
  <w:num w:numId="6">
    <w:abstractNumId w:val="8"/>
  </w:num>
  <w:num w:numId="7">
    <w:abstractNumId w:val="0"/>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EB5D0D"/>
    <w:rsid w:val="000043F1"/>
    <w:rsid w:val="00014A16"/>
    <w:rsid w:val="00037787"/>
    <w:rsid w:val="0005634C"/>
    <w:rsid w:val="000856CF"/>
    <w:rsid w:val="000B798F"/>
    <w:rsid w:val="000C4F48"/>
    <w:rsid w:val="000C6645"/>
    <w:rsid w:val="000D0063"/>
    <w:rsid w:val="001210D2"/>
    <w:rsid w:val="001358F5"/>
    <w:rsid w:val="001362D8"/>
    <w:rsid w:val="00147C91"/>
    <w:rsid w:val="00151D36"/>
    <w:rsid w:val="00152F97"/>
    <w:rsid w:val="00162AC2"/>
    <w:rsid w:val="0016492F"/>
    <w:rsid w:val="00182806"/>
    <w:rsid w:val="00185E6A"/>
    <w:rsid w:val="001A455A"/>
    <w:rsid w:val="001C4851"/>
    <w:rsid w:val="001C7AB0"/>
    <w:rsid w:val="001E4054"/>
    <w:rsid w:val="00200D18"/>
    <w:rsid w:val="0020708B"/>
    <w:rsid w:val="0022412E"/>
    <w:rsid w:val="002421AA"/>
    <w:rsid w:val="00246084"/>
    <w:rsid w:val="00294644"/>
    <w:rsid w:val="002979A4"/>
    <w:rsid w:val="002A04A3"/>
    <w:rsid w:val="002A101E"/>
    <w:rsid w:val="002B32A6"/>
    <w:rsid w:val="002F6E63"/>
    <w:rsid w:val="00303359"/>
    <w:rsid w:val="00313059"/>
    <w:rsid w:val="00313111"/>
    <w:rsid w:val="00323B57"/>
    <w:rsid w:val="0033574B"/>
    <w:rsid w:val="00372479"/>
    <w:rsid w:val="00387035"/>
    <w:rsid w:val="00387885"/>
    <w:rsid w:val="003B381F"/>
    <w:rsid w:val="003D2308"/>
    <w:rsid w:val="003D5295"/>
    <w:rsid w:val="003E1D6B"/>
    <w:rsid w:val="003E37A1"/>
    <w:rsid w:val="003F0193"/>
    <w:rsid w:val="004024EE"/>
    <w:rsid w:val="004065B1"/>
    <w:rsid w:val="00415656"/>
    <w:rsid w:val="00424050"/>
    <w:rsid w:val="004359BF"/>
    <w:rsid w:val="0043780C"/>
    <w:rsid w:val="004A21EE"/>
    <w:rsid w:val="004B3820"/>
    <w:rsid w:val="004B6899"/>
    <w:rsid w:val="004F279C"/>
    <w:rsid w:val="004F598B"/>
    <w:rsid w:val="005240F7"/>
    <w:rsid w:val="005301E1"/>
    <w:rsid w:val="005455EC"/>
    <w:rsid w:val="005531DA"/>
    <w:rsid w:val="00565378"/>
    <w:rsid w:val="00570FB1"/>
    <w:rsid w:val="005732CC"/>
    <w:rsid w:val="00590ADF"/>
    <w:rsid w:val="00597F1E"/>
    <w:rsid w:val="005B630A"/>
    <w:rsid w:val="005E11C3"/>
    <w:rsid w:val="006135C9"/>
    <w:rsid w:val="00631504"/>
    <w:rsid w:val="00645D09"/>
    <w:rsid w:val="00662CB2"/>
    <w:rsid w:val="00685712"/>
    <w:rsid w:val="00685D77"/>
    <w:rsid w:val="0068739B"/>
    <w:rsid w:val="006A43F0"/>
    <w:rsid w:val="006A78AE"/>
    <w:rsid w:val="006B0D45"/>
    <w:rsid w:val="006B556E"/>
    <w:rsid w:val="006D668C"/>
    <w:rsid w:val="006E448B"/>
    <w:rsid w:val="00710074"/>
    <w:rsid w:val="00720D5B"/>
    <w:rsid w:val="007416F3"/>
    <w:rsid w:val="00773250"/>
    <w:rsid w:val="00774262"/>
    <w:rsid w:val="00782737"/>
    <w:rsid w:val="00787143"/>
    <w:rsid w:val="00796AD2"/>
    <w:rsid w:val="007B2C7D"/>
    <w:rsid w:val="007C4A70"/>
    <w:rsid w:val="007C6996"/>
    <w:rsid w:val="007E6411"/>
    <w:rsid w:val="007F0BFC"/>
    <w:rsid w:val="007F2B0E"/>
    <w:rsid w:val="008051D7"/>
    <w:rsid w:val="00830DEF"/>
    <w:rsid w:val="00835D7A"/>
    <w:rsid w:val="00842899"/>
    <w:rsid w:val="00852887"/>
    <w:rsid w:val="00860266"/>
    <w:rsid w:val="00876806"/>
    <w:rsid w:val="0087792C"/>
    <w:rsid w:val="008B42CF"/>
    <w:rsid w:val="008C22E1"/>
    <w:rsid w:val="008E3A0B"/>
    <w:rsid w:val="00903493"/>
    <w:rsid w:val="00904144"/>
    <w:rsid w:val="009076AF"/>
    <w:rsid w:val="0091192E"/>
    <w:rsid w:val="00977F66"/>
    <w:rsid w:val="0099520C"/>
    <w:rsid w:val="009A0993"/>
    <w:rsid w:val="009A54E0"/>
    <w:rsid w:val="009A55AD"/>
    <w:rsid w:val="009A5932"/>
    <w:rsid w:val="009D3060"/>
    <w:rsid w:val="009D3962"/>
    <w:rsid w:val="009D5068"/>
    <w:rsid w:val="009F389A"/>
    <w:rsid w:val="009F5B79"/>
    <w:rsid w:val="00A00C8D"/>
    <w:rsid w:val="00A2006E"/>
    <w:rsid w:val="00A20AEF"/>
    <w:rsid w:val="00A40BB6"/>
    <w:rsid w:val="00A439E5"/>
    <w:rsid w:val="00A44435"/>
    <w:rsid w:val="00A63906"/>
    <w:rsid w:val="00A6737E"/>
    <w:rsid w:val="00A729D2"/>
    <w:rsid w:val="00A83291"/>
    <w:rsid w:val="00A85C47"/>
    <w:rsid w:val="00A90E5B"/>
    <w:rsid w:val="00A97D3D"/>
    <w:rsid w:val="00AA046A"/>
    <w:rsid w:val="00B16648"/>
    <w:rsid w:val="00B23A21"/>
    <w:rsid w:val="00B36800"/>
    <w:rsid w:val="00B406F3"/>
    <w:rsid w:val="00B81B25"/>
    <w:rsid w:val="00B826C9"/>
    <w:rsid w:val="00B826E8"/>
    <w:rsid w:val="00B97C3C"/>
    <w:rsid w:val="00BA0F88"/>
    <w:rsid w:val="00BA6915"/>
    <w:rsid w:val="00BB0EF8"/>
    <w:rsid w:val="00BB52CE"/>
    <w:rsid w:val="00BC3E9D"/>
    <w:rsid w:val="00BC5172"/>
    <w:rsid w:val="00BF11FD"/>
    <w:rsid w:val="00BF52AF"/>
    <w:rsid w:val="00C07E65"/>
    <w:rsid w:val="00C24EB0"/>
    <w:rsid w:val="00C35DAA"/>
    <w:rsid w:val="00C40C55"/>
    <w:rsid w:val="00C76361"/>
    <w:rsid w:val="00CA2A31"/>
    <w:rsid w:val="00CD72FE"/>
    <w:rsid w:val="00CE0773"/>
    <w:rsid w:val="00CE3B19"/>
    <w:rsid w:val="00CE7BF4"/>
    <w:rsid w:val="00CF19CE"/>
    <w:rsid w:val="00CF58A3"/>
    <w:rsid w:val="00D066B7"/>
    <w:rsid w:val="00D33AF1"/>
    <w:rsid w:val="00D534CB"/>
    <w:rsid w:val="00D55424"/>
    <w:rsid w:val="00D76B88"/>
    <w:rsid w:val="00D85ED9"/>
    <w:rsid w:val="00D878BC"/>
    <w:rsid w:val="00D914EA"/>
    <w:rsid w:val="00DA1728"/>
    <w:rsid w:val="00DA6E29"/>
    <w:rsid w:val="00DC393D"/>
    <w:rsid w:val="00DD3BF7"/>
    <w:rsid w:val="00DD5E30"/>
    <w:rsid w:val="00DD658A"/>
    <w:rsid w:val="00DE7B00"/>
    <w:rsid w:val="00E106D8"/>
    <w:rsid w:val="00E20EBF"/>
    <w:rsid w:val="00E21826"/>
    <w:rsid w:val="00E30E17"/>
    <w:rsid w:val="00E417A9"/>
    <w:rsid w:val="00E53317"/>
    <w:rsid w:val="00E57602"/>
    <w:rsid w:val="00E836DB"/>
    <w:rsid w:val="00E85BB8"/>
    <w:rsid w:val="00E8621A"/>
    <w:rsid w:val="00EA0199"/>
    <w:rsid w:val="00EA7A5B"/>
    <w:rsid w:val="00EB5D0D"/>
    <w:rsid w:val="00ED3191"/>
    <w:rsid w:val="00ED71DB"/>
    <w:rsid w:val="00EF24DE"/>
    <w:rsid w:val="00F010B1"/>
    <w:rsid w:val="00F06E3F"/>
    <w:rsid w:val="00F109B1"/>
    <w:rsid w:val="00F41296"/>
    <w:rsid w:val="00F5448F"/>
    <w:rsid w:val="00F73D96"/>
    <w:rsid w:val="00FC00BE"/>
    <w:rsid w:val="00FE08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489D"/>
  <w15:chartTrackingRefBased/>
  <w15:docId w15:val="{F25B2712-5EDA-4120-B625-85FE498A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D0D"/>
    <w:pPr>
      <w:spacing w:before="120" w:after="120" w:line="360" w:lineRule="auto"/>
    </w:pPr>
    <w:rPr>
      <w:rFonts w:ascii="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ompact,Normal bullet 2,Paragraphe de liste 2,Reference list,Bullet list,Numbered List,List Paragraph1,1st level - Bullet List Paragraph,Lettre d'introduction,Paragraph,Bullet EY,List Paragraph11,Normal bullet 21,List L1"/>
    <w:basedOn w:val="Normal"/>
    <w:link w:val="ListParagraphChar"/>
    <w:uiPriority w:val="34"/>
    <w:qFormat/>
    <w:rsid w:val="00EB5D0D"/>
    <w:pPr>
      <w:spacing w:before="0" w:after="200" w:line="276" w:lineRule="auto"/>
      <w:ind w:left="720"/>
      <w:contextualSpacing/>
    </w:pPr>
    <w:rPr>
      <w:rFonts w:asciiTheme="minorHAnsi" w:hAnsiTheme="minorHAnsi" w:cstheme="minorBidi"/>
      <w:sz w:val="22"/>
    </w:rPr>
  </w:style>
  <w:style w:type="character" w:customStyle="1" w:styleId="ListParagraphChar">
    <w:name w:val="List Paragraph Char"/>
    <w:aliases w:val="List Paragraph compact Char,Normal bullet 2 Char,Paragraphe de liste 2 Char,Reference list Char,Bullet list Char,Numbered List Char,List Paragraph1 Char,1st level - Bullet List Paragraph Char,Lettre d'introduction Char,Paragraph Char"/>
    <w:link w:val="ListParagraph"/>
    <w:uiPriority w:val="34"/>
    <w:qFormat/>
    <w:locked/>
    <w:rsid w:val="00EB5D0D"/>
  </w:style>
  <w:style w:type="paragraph" w:styleId="Header">
    <w:name w:val="header"/>
    <w:basedOn w:val="Normal"/>
    <w:link w:val="HeaderChar"/>
    <w:uiPriority w:val="99"/>
    <w:unhideWhenUsed/>
    <w:rsid w:val="00F412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41296"/>
    <w:rPr>
      <w:rFonts w:ascii="Times New Roman" w:hAnsi="Times New Roman" w:cs="Times New Roman"/>
      <w:sz w:val="24"/>
    </w:rPr>
  </w:style>
  <w:style w:type="paragraph" w:styleId="Footer">
    <w:name w:val="footer"/>
    <w:basedOn w:val="Normal"/>
    <w:link w:val="FooterChar"/>
    <w:uiPriority w:val="99"/>
    <w:unhideWhenUsed/>
    <w:rsid w:val="00F412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41296"/>
    <w:rPr>
      <w:rFonts w:ascii="Times New Roman" w:hAnsi="Times New Roman" w:cs="Times New Roman"/>
      <w:sz w:val="24"/>
    </w:rPr>
  </w:style>
  <w:style w:type="character" w:styleId="CommentReference">
    <w:name w:val="annotation reference"/>
    <w:basedOn w:val="DefaultParagraphFont"/>
    <w:uiPriority w:val="99"/>
    <w:semiHidden/>
    <w:unhideWhenUsed/>
    <w:rsid w:val="00F41296"/>
    <w:rPr>
      <w:sz w:val="16"/>
      <w:szCs w:val="16"/>
    </w:rPr>
  </w:style>
  <w:style w:type="paragraph" w:styleId="CommentText">
    <w:name w:val="annotation text"/>
    <w:basedOn w:val="Normal"/>
    <w:link w:val="CommentTextChar"/>
    <w:uiPriority w:val="99"/>
    <w:semiHidden/>
    <w:unhideWhenUsed/>
    <w:rsid w:val="00F41296"/>
    <w:pPr>
      <w:spacing w:line="240" w:lineRule="auto"/>
    </w:pPr>
    <w:rPr>
      <w:sz w:val="20"/>
      <w:szCs w:val="20"/>
    </w:rPr>
  </w:style>
  <w:style w:type="character" w:customStyle="1" w:styleId="CommentTextChar">
    <w:name w:val="Comment Text Char"/>
    <w:basedOn w:val="DefaultParagraphFont"/>
    <w:link w:val="CommentText"/>
    <w:uiPriority w:val="99"/>
    <w:semiHidden/>
    <w:rsid w:val="00F4129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41296"/>
    <w:rPr>
      <w:b/>
      <w:bCs/>
    </w:rPr>
  </w:style>
  <w:style w:type="character" w:customStyle="1" w:styleId="CommentSubjectChar">
    <w:name w:val="Comment Subject Char"/>
    <w:basedOn w:val="CommentTextChar"/>
    <w:link w:val="CommentSubject"/>
    <w:uiPriority w:val="99"/>
    <w:semiHidden/>
    <w:rsid w:val="00F41296"/>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F4129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296"/>
    <w:rPr>
      <w:rFonts w:ascii="Segoe UI" w:hAnsi="Segoe UI" w:cs="Segoe UI"/>
      <w:sz w:val="18"/>
      <w:szCs w:val="18"/>
    </w:rPr>
  </w:style>
  <w:style w:type="paragraph" w:styleId="FootnoteText">
    <w:name w:val="footnote text"/>
    <w:basedOn w:val="Normal"/>
    <w:link w:val="FootnoteTextChar"/>
    <w:uiPriority w:val="99"/>
    <w:semiHidden/>
    <w:unhideWhenUsed/>
    <w:rsid w:val="005B630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B630A"/>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5B63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C_Collab_Status xmlns="92a22dec-e5f5-4411-afc8-f2592519088f">Not Started</EC_Collab_Status>
    <EC_ARES_DATE_TRANSFERRED xmlns="92a22dec-e5f5-4411-afc8-f2592519088f" xsi:nil="true"/>
    <EC_Collab_Reference xmlns="92a22dec-e5f5-4411-afc8-f2592519088f" xsi:nil="true"/>
    <EC_Collab_DocumentLanguage xmlns="92a22dec-e5f5-4411-afc8-f2592519088f">EN</EC_Collab_DocumentLanguage>
    <EC_ARES_TRANSFERRED_BY xmlns="92a22dec-e5f5-4411-afc8-f2592519088f" xsi:nil="true"/>
    <EC_ARES_NUMBER xmlns="92a22dec-e5f5-4411-afc8-f2592519088f">
      <Url xsi:nil="true"/>
      <Description xsi:nil="true"/>
    </EC_ARES_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7176718AF8FA54EAF22DDABC2C436ED" ma:contentTypeVersion="5" ma:contentTypeDescription="Create a new document in this library." ma:contentTypeScope="" ma:versionID="c929c3ecf4d91644efce560ef45501c0">
  <xsd:schema xmlns:xsd="http://www.w3.org/2001/XMLSchema" xmlns:xs="http://www.w3.org/2001/XMLSchema" xmlns:p="http://schemas.microsoft.com/office/2006/metadata/properties" xmlns:ns3="92a22dec-e5f5-4411-afc8-f2592519088f" targetNamespace="http://schemas.microsoft.com/office/2006/metadata/properties" ma:root="true" ma:fieldsID="560e98c67555b19ddefce49253d9f399" ns3:_="">
    <xsd:import namespace="92a22dec-e5f5-4411-afc8-f2592519088f"/>
    <xsd:element name="properties">
      <xsd:complexType>
        <xsd:sequence>
          <xsd:element name="documentManagement">
            <xsd:complexType>
              <xsd:all>
                <xsd:element ref="ns3:EC_Collab_Reference" minOccurs="0"/>
                <xsd:element ref="ns3:EC_Collab_DocumentLanguage" minOccurs="0"/>
                <xsd:element ref="ns3:EC_Collab_Status"/>
                <xsd:element ref="ns3:EC_ARES_NUMBER" minOccurs="0"/>
                <xsd:element ref="ns3:EC_ARES_DATE_TRANSFERRED" minOccurs="0"/>
                <xsd:element ref="ns3:EC_ARES_TRANSFERRED_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22dec-e5f5-4411-afc8-f2592519088f" elementFormDefault="qualified">
    <xsd:import namespace="http://schemas.microsoft.com/office/2006/documentManagement/types"/>
    <xsd:import namespace="http://schemas.microsoft.com/office/infopath/2007/PartnerControls"/>
    <xsd:element name="EC_Collab_Reference" ma:index="12" nillable="true" ma:displayName="Reference" ma:internalName="EC_Collab_Reference">
      <xsd:simpleType>
        <xsd:restriction base="dms:Text"/>
      </xsd:simpleType>
    </xsd:element>
    <xsd:element name="EC_Collab_DocumentLanguage" ma:index="13" nillable="true" ma:displayName="Language" ma:default="EN" ma:internalName="EC_Collab_DocumentLanguage" ma:readOnly="false">
      <xsd:simpleType>
        <xsd:restriction base="dms:Choice">
          <xsd:enumeration value="BG"/>
          <xsd:enumeration value="ES"/>
          <xsd:enumeration value="CS"/>
          <xsd:enumeration value="DA"/>
          <xsd:enumeration value="DE"/>
          <xsd:enumeration value="ET"/>
          <xsd:enumeration value="EL"/>
          <xsd:enumeration value="EN"/>
          <xsd:enumeration value="FR"/>
          <xsd:enumeration value="GA"/>
          <xsd:enumeration value="IT"/>
          <xsd:enumeration value="LT"/>
          <xsd:enumeration value="LV"/>
          <xsd:enumeration value="HU"/>
          <xsd:enumeration value="MT"/>
          <xsd:enumeration value="NL"/>
          <xsd:enumeration value="PL"/>
          <xsd:enumeration value="PT"/>
          <xsd:enumeration value="RO"/>
          <xsd:enumeration value="SK"/>
          <xsd:enumeration value="SL"/>
          <xsd:enumeration value="FI"/>
          <xsd:enumeration value="SV"/>
          <xsd:enumeration value="HR"/>
          <xsd:enumeration value="MK"/>
          <xsd:enumeration value="TR"/>
          <xsd:enumeration value="EU"/>
          <xsd:enumeration value="CA"/>
          <xsd:enumeration value="GL"/>
          <xsd:enumeration value="AB"/>
          <xsd:enumeration value="AA"/>
          <xsd:enumeration value="AF"/>
          <xsd:enumeration value="AK"/>
          <xsd:enumeration value="SQ"/>
          <xsd:enumeration value="AM"/>
          <xsd:enumeration value="AR"/>
          <xsd:enumeration value="AN"/>
          <xsd:enumeration value="HY"/>
          <xsd:enumeration value="AS"/>
          <xsd:enumeration value="AV"/>
          <xsd:enumeration value="AE"/>
          <xsd:enumeration value="AY"/>
          <xsd:enumeration value="AZ"/>
          <xsd:enumeration value="BM"/>
          <xsd:enumeration value="BA"/>
          <xsd:enumeration value="BE"/>
          <xsd:enumeration value="BN"/>
          <xsd:enumeration value="BH"/>
          <xsd:enumeration value="BI"/>
          <xsd:enumeration value="NB"/>
          <xsd:enumeration value="BS"/>
          <xsd:enumeration value="BR"/>
          <xsd:enumeration value="MY"/>
          <xsd:enumeration value="KM"/>
          <xsd:enumeration value="CH"/>
          <xsd:enumeration value="CE"/>
          <xsd:enumeration value="NY"/>
          <xsd:enumeration value="ZH"/>
          <xsd:enumeration value="CU"/>
          <xsd:enumeration value="CV"/>
          <xsd:enumeration value="KW"/>
          <xsd:enumeration value="CO"/>
          <xsd:enumeration value="CR"/>
          <xsd:enumeration value="DV"/>
          <xsd:enumeration value="DZ"/>
          <xsd:enumeration value="EO"/>
          <xsd:enumeration value="EE"/>
          <xsd:enumeration value="FO"/>
          <xsd:enumeration value="FJ"/>
          <xsd:enumeration value="FF"/>
          <xsd:enumeration value="GD"/>
          <xsd:enumeration value="LG"/>
          <xsd:enumeration value="KA"/>
          <xsd:enumeration value="GN"/>
          <xsd:enumeration value="GU"/>
          <xsd:enumeration value="HT"/>
          <xsd:enumeration value="HA"/>
          <xsd:enumeration value="HE"/>
          <xsd:enumeration value="HZ"/>
          <xsd:enumeration value="HI"/>
          <xsd:enumeration value="HO"/>
          <xsd:enumeration value="IS"/>
          <xsd:enumeration value="IO"/>
          <xsd:enumeration value="IG"/>
          <xsd:enumeration value="ID"/>
          <xsd:enumeration value="IA"/>
          <xsd:enumeration value="IE"/>
          <xsd:enumeration value="IU"/>
          <xsd:enumeration value="IK"/>
          <xsd:enumeration value="JA"/>
          <xsd:enumeration value="JV"/>
          <xsd:enumeration value="KL"/>
          <xsd:enumeration value="KN"/>
          <xsd:enumeration value="KR"/>
          <xsd:enumeration value="KS"/>
          <xsd:enumeration value="KK"/>
          <xsd:enumeration value="KI"/>
          <xsd:enumeration value="RW"/>
          <xsd:enumeration value="KY"/>
          <xsd:enumeration value="KV"/>
          <xsd:enumeration value="KG"/>
          <xsd:enumeration value="KO"/>
          <xsd:enumeration value="KJ"/>
          <xsd:enumeration value="KU"/>
          <xsd:enumeration value="LO"/>
          <xsd:enumeration value="LA"/>
          <xsd:enumeration value="LI"/>
          <xsd:enumeration value="LN"/>
          <xsd:enumeration value="LU"/>
          <xsd:enumeration value="LB"/>
          <xsd:enumeration value="MG"/>
          <xsd:enumeration value="MS"/>
          <xsd:enumeration value="ML"/>
          <xsd:enumeration value="GV"/>
          <xsd:enumeration value="MI"/>
          <xsd:enumeration value="MR"/>
          <xsd:enumeration value="MH"/>
          <xsd:enumeration value="MN"/>
          <xsd:enumeration value="NA"/>
          <xsd:enumeration value="NV"/>
          <xsd:enumeration value="ND"/>
          <xsd:enumeration value="NR"/>
          <xsd:enumeration value="NG"/>
          <xsd:enumeration value="NE"/>
          <xsd:enumeration value="SE"/>
          <xsd:enumeration value="NO"/>
          <xsd:enumeration value="NN"/>
          <xsd:enumeration value="OC"/>
          <xsd:enumeration value="OJ"/>
          <xsd:enumeration value="OR"/>
          <xsd:enumeration value="OM"/>
          <xsd:enumeration value="OS"/>
          <xsd:enumeration value="PI"/>
          <xsd:enumeration value="PA"/>
          <xsd:enumeration value="FA"/>
          <xsd:enumeration value="PS"/>
          <xsd:enumeration value="QU"/>
          <xsd:enumeration value="RM"/>
          <xsd:enumeration value="RN"/>
          <xsd:enumeration value="RU"/>
          <xsd:enumeration value="SM"/>
          <xsd:enumeration value="SG"/>
          <xsd:enumeration value="SA"/>
          <xsd:enumeration value="SC"/>
          <xsd:enumeration value="SR"/>
          <xsd:enumeration value="SN"/>
          <xsd:enumeration value="II"/>
          <xsd:enumeration value="SD"/>
          <xsd:enumeration value="SI"/>
          <xsd:enumeration value="SO"/>
          <xsd:enumeration value="ST"/>
          <xsd:enumeration value="SU"/>
          <xsd:enumeration value="SW"/>
          <xsd:enumeration value="SS"/>
          <xsd:enumeration value="TL"/>
          <xsd:enumeration value="TY"/>
          <xsd:enumeration value="TG"/>
          <xsd:enumeration value="TA"/>
          <xsd:enumeration value="TT"/>
          <xsd:enumeration value="TE"/>
          <xsd:enumeration value="TH"/>
          <xsd:enumeration value="BO"/>
          <xsd:enumeration value="TI"/>
          <xsd:enumeration value="TO"/>
          <xsd:enumeration value="TS"/>
          <xsd:enumeration value="TN"/>
          <xsd:enumeration value="TK"/>
          <xsd:enumeration value="TW"/>
          <xsd:enumeration value="UG"/>
          <xsd:enumeration value="UK"/>
          <xsd:enumeration value="UR"/>
          <xsd:enumeration value="UZ"/>
          <xsd:enumeration value="VE"/>
          <xsd:enumeration value="VI"/>
          <xsd:enumeration value="VO"/>
          <xsd:enumeration value="WA"/>
          <xsd:enumeration value="CY"/>
          <xsd:enumeration value="FY"/>
          <xsd:enumeration value="WO"/>
          <xsd:enumeration value="XH"/>
          <xsd:enumeration value="YI"/>
          <xsd:enumeration value="YO"/>
          <xsd:enumeration value="ZA"/>
          <xsd:enumeration value="ZU"/>
        </xsd:restriction>
      </xsd:simpleType>
    </xsd:element>
    <xsd:element name="EC_Collab_Status" ma:index="14" ma:displayName="EC Status" ma:default="Not Started" ma:internalName="EC_Collab_Status">
      <xsd:simpleType>
        <xsd:restriction base="dms:Choice">
          <xsd:enumeration value="Not Started"/>
          <xsd:enumeration value="Draft"/>
          <xsd:enumeration value="Reviewed"/>
          <xsd:enumeration value="Scheduled"/>
          <xsd:enumeration value="Published"/>
          <xsd:enumeration value="Final"/>
          <xsd:enumeration value="Expired"/>
        </xsd:restriction>
      </xsd:simpleType>
    </xsd:element>
    <xsd:element name="EC_ARES_NUMBER" ma:index="15" nillable="true" ma:displayName="Ares Number" ma:format="Hyperlink" ma:hidden="true" ma:internalName="EC_ARES_NUMBER">
      <xsd:complexType>
        <xsd:complexContent>
          <xsd:extension base="dms:URL">
            <xsd:sequence>
              <xsd:element name="Url" type="dms:ValidUrl" minOccurs="0" nillable="true"/>
              <xsd:element name="Description" type="xsd:string" nillable="true"/>
            </xsd:sequence>
          </xsd:extension>
        </xsd:complexContent>
      </xsd:complexType>
    </xsd:element>
    <xsd:element name="EC_ARES_DATE_TRANSFERRED" ma:index="16" nillable="true" ma:displayName="Transferred to Ares" ma:format="DateTime" ma:hidden="true" ma:internalName="EC_ARES_DATE_TRANSFERRED">
      <xsd:simpleType>
        <xsd:restriction base="dms:DateTime"/>
      </xsd:simpleType>
    </xsd:element>
    <xsd:element name="EC_ARES_TRANSFERRED_BY" ma:index="17" nillable="true" ma:displayName="Transferred By" ma:hidden="true" ma:internalName="EC_ARES_TRANSFERRED_B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9"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ma:index="8" ma:displayName="Subject"/>
        <xsd:element ref="dc:description" minOccurs="0" maxOccurs="1" ma:index="11" ma:displayName="Comments"/>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647B8-7CA5-42B8-BCF0-57DED42AC8E3}">
  <ds:schemaRefs>
    <ds:schemaRef ds:uri="http://schemas.microsoft.com/office/2006/metadata/properties"/>
    <ds:schemaRef ds:uri="http://schemas.microsoft.com/office/infopath/2007/PartnerControls"/>
    <ds:schemaRef ds:uri="92a22dec-e5f5-4411-afc8-f2592519088f"/>
  </ds:schemaRefs>
</ds:datastoreItem>
</file>

<file path=customXml/itemProps2.xml><?xml version="1.0" encoding="utf-8"?>
<ds:datastoreItem xmlns:ds="http://schemas.openxmlformats.org/officeDocument/2006/customXml" ds:itemID="{7ED0CCFC-2A39-4E4F-ADA3-448F2E380846}">
  <ds:schemaRefs>
    <ds:schemaRef ds:uri="http://schemas.microsoft.com/sharepoint/v3/contenttype/forms"/>
  </ds:schemaRefs>
</ds:datastoreItem>
</file>

<file path=customXml/itemProps3.xml><?xml version="1.0" encoding="utf-8"?>
<ds:datastoreItem xmlns:ds="http://schemas.openxmlformats.org/officeDocument/2006/customXml" ds:itemID="{72A5511C-3956-47F2-AC9E-EB15E7725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a22dec-e5f5-4411-afc8-f25925190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8837E2-2C78-44E7-B3B4-EB3989743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3</Pages>
  <Words>1154</Words>
  <Characters>5840</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KORCZAK Barbara (REGIO)</dc:creator>
  <cp:keywords/>
  <dc:description/>
  <cp:lastModifiedBy>GLIETZ Vladislava (REGIO+EMPL-DAC)</cp:lastModifiedBy>
  <cp:revision>63</cp:revision>
  <dcterms:created xsi:type="dcterms:W3CDTF">2020-12-08T15:52:00Z</dcterms:created>
  <dcterms:modified xsi:type="dcterms:W3CDTF">2021-10-11T07:40:00Z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0x010100258AA79CEB83498886A3A086811232500017176718AF8FA54EAF22DDABC2C436ED</vt:lpwstr>
  </property>
</Properties>
</file>