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41A1A" w:sz="4" w:space="8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C41A1A"/>
          <w:sz w:val="40"/>
          <w:szCs w:val="40"/>
        </w:rPr>
        <w:t xml:space="preserve">ÉLITE MARCIAL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Diario de Entrenamiento de Artes Marciales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Resumen para asesoría fiscal · 27 de junio de 2026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41A1A"/>
          <w:sz w:val="28"/>
          <w:szCs w:val="28"/>
        </w:rPr>
        <w:t xml:space="preserve">1. Descripción del negocio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Élite Marcial es una aplicación web progresiva (PWA) de suscripción B2C que permite a atletas de artes marciales registrar, analizar y planificar sus entrenamientos. También ofrece funcionalidades para entrenadores (coaches) que gestionan equipos de atletas.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Nombre comercial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Élite Marcial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Modelo de negocio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/ suscripción B2C (particulares)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Tipo de clientes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Consumidores particulares (atletas y entrenadores)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Plataforma técnica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Aplicación web PWA (Progressive Web App)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de la app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https://diario-elite-marcial.vercel.app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Dominio principal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elitemarcial.com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Mercado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España y mercado hispanohablante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41A1A"/>
          <w:sz w:val="28"/>
          <w:szCs w:val="28"/>
        </w:rPr>
        <w:t xml:space="preserve">2. Productos y precios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aplicación ofrece tres niveles de acceso: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26"/>
        <w:gridCol w:w="3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cobro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Atleta (Gratis)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0 €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básico gratuito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Coach Mensual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19 € / mes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Recurrente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completo para entrenadores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Coach Anual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190 € / año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Recurrente anual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Equivale a 15,83 €/mes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 Fundador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499 € (único)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Pago único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vitalicio, edición limitada 100 plazas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 El precio futuro del plan Fundador una vez agotadas las 100 plazas será 999 €.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41A1A"/>
          <w:sz w:val="28"/>
          <w:szCs w:val="28"/>
        </w:rPr>
        <w:t xml:space="preserve">3. Plataforma de ventas y cobro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Los pagos se procesan íntegramente a través de Stripe mediante enlaces de pago directos (Stripe Payment Links). Stripe aplica una comisión por transacción.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Plataforma de pago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(Stripe Payments Europe, Ltd.)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Comisión Stripe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1,5% + 0,25 € por transacción (tarjetas europeas estándar)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Moneda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Euro (EUR)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Facturación a clientes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genera recibos automáticos por email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Método de cobro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Tarjeta de crédito/débito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Transferencia al titular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transfiere el neto (precio − comisión) a la cuenta bancaria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41A1A"/>
          <w:sz w:val="28"/>
          <w:szCs w:val="28"/>
        </w:rPr>
        <w:t xml:space="preserve">4. Herramientas y gastos operativos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continuación se listan los servicios externos utilizados para operar la aplicación. Los importes exactos deben confirmarse en las facturas de cada proveedor.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33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Proveedor / País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Coste aprox.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de datos y auth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(EE.UU.)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 Confirmar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BD PostgreSQL, autenticación de usuarios, Edge Functions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Hosting app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 (EE.UU.)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 Confirmar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Despliegue y CDN de la aplicación web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Envío de emails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Resend (EE.UU.)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 Confirmar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Emails transaccionales (confirmación, recuperación de contraseña)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Procesador de pagos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(Irlanda)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por transacción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Cobro a clientes, gestión de suscripciones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Dominio y DNS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Hostinger (Lituania)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 Confirmar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Dominio elitemarcial.com y registros DNS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Repositorio de código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(EE.UU.)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 Confirmar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 de versiones del código fuente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Asistente de desarrollo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Anthropic / Claude (EE.UU.)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 Confirmar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Desarrollo y automatización asistida por IA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 Todos los proveedores son empresas extranjeras (EE.UU. / UE). Las facturas sin IVA español pueden requerir la aplicación de la regla de inversión del sujeto pasivo (autoliquidación del IVA) según la normativa vigente.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41A1A"/>
          <w:sz w:val="28"/>
          <w:szCs w:val="28"/>
        </w:rPr>
        <w:t xml:space="preserve">5. Ingresos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 Los datos de ingresos deben extraerse directamente del panel de Stripe (stripe.com/dashboard). Aquí se indica la estructura de ingresos.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Importe bruto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Suscripciones Coach mensual (19 €/mes)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 Ver Stripe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Ingresos recurrentes mensuales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Suscripciones Coach anual (190 €/año)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 Ver Stripe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Ingresos recurrentes anuales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Pagos únicos Fundador (499 €)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 Ver Stripe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Pago único, no recurrente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Comisiones Stripe (gasto)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 Ver Stripe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Deducir del bruto para obtener neto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41A1A"/>
          <w:sz w:val="28"/>
          <w:szCs w:val="28"/>
        </w:rPr>
        <w:t xml:space="preserve">6. Notas para la asesoría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Clientes: todos particulares (B2C), sin facturas con datos fiscales del cliente en la mayoría de transacciones. Stripe genera los recibos.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IVA en servicios digitales: al ser una app SaaS vendida a consumidores de la UE, puede aplicar el régimen de IVA OSS (One Stop Shop) si los ingresos en otros países UE superan el umbral de 10.000 €/año.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Servicios extranjeros sin IVA: los gastos de Supabase, Vercel, Resend, GitHub, Stripe, etc. llegan sin IVA español — verificar si aplica autoliquidación del IVA (regla inversión del sujeto pasivo).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Pagos únicos Fundador: los 499 € son ingresos no recurrentes y deben imputarse en el ejercicio en que se cobran.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Código fuente: el software es propiedad del titular. Su desarrollo puede considerarse activo intangible o gasto según el criterio contable aplicado.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 Este documento es orientativo. Los datos de ingresos y gastos exactos deben verificarse con los extractos de Stripe, las facturas de cada proveedor y los movimientos bancarios del titular.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2026-06-27T21:49:00.852Z</dcterms:created>
  <dcterms:modified xsi:type="dcterms:W3CDTF">2026-06-27T21:49:00.852Z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