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0"/>
      </w:pPr>
    </w:p>
    <w:p>
      <w:pPr>
        <w:jc w:val="center"/>
      </w:pPr>
      <w:r>
        <w:rPr>
          <w:b/>
          <w:bCs/>
          <w:color w:val="1B3A5C"/>
          <w:sz w:val="72"/>
          <w:szCs w:val="72"/>
        </w:rPr>
        <w:t xml:space="preserve">SMARTINV</w:t>
      </w:r>
    </w:p>
    <w:p>
      <w:pPr>
        <w:spacing w:after="60"/>
      </w:pPr>
    </w:p>
    <w:p>
      <w:pPr>
        <w:jc w:val="center"/>
      </w:pPr>
      <w:r>
        <w:rPr>
          <w:i/>
          <w:iCs/>
          <w:color w:val="2E86C1"/>
          <w:sz w:val="28"/>
          <w:szCs w:val="28"/>
        </w:rPr>
        <w:t xml:space="preserve">UI Concept vs Feature Specification — Coverage Analysis</w:t>
      </w:r>
    </w:p>
    <w:p>
      <w:pPr>
        <w:spacing w:after="400"/>
      </w:pPr>
    </w:p>
    <w:p>
      <w:pPr>
        <w:pBdr>
          <w:bottom w:val="single" w:sz="3" w:space="0" w:color="2E86C1"/>
        </w:pBdr>
        <w:spacing w:before="100" w:after="200"/>
      </w:pP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color w:val="2C3E50"/>
          <w:sz w:val="40"/>
          <w:szCs w:val="40"/>
        </w:rPr>
        <w:t xml:space="preserve">IMPLEMENTATION GAP REPORT</w:t>
      </w:r>
    </w:p>
    <w:p>
      <w:pPr>
        <w:spacing w:after="80"/>
        <w:jc w:val="center"/>
      </w:pPr>
      <w:r>
        <w:rPr>
          <w:color w:val="7F8C8D"/>
          <w:sz w:val="24"/>
          <w:szCs w:val="24"/>
        </w:rPr>
        <w:t xml:space="preserve">Comparing smartinv-ui.html against smartinv_feature_specification.docx</w:t>
      </w:r>
    </w:p>
    <w:p>
      <w:pPr>
        <w:jc w:val="center"/>
      </w:pPr>
      <w:r>
        <w:rPr>
          <w:color w:val="7F8C8D"/>
        </w:rPr>
        <w:t xml:space="preserve">Confidential  |  Version 1.0</w:t>
      </w:r>
    </w:p>
    <w:p>
      <w:r>
        <w:br w:type="page"/>
      </w:r>
    </w:p>
    <w:p>
      <w:pPr>
        <w:pStyle w:val="Heading1"/>
      </w:pPr>
      <w:r>
        <w:t xml:space="preserve">1. Purpose and Method</w:t>
      </w:r>
    </w:p>
    <w:p>
      <w:pPr>
        <w:pBdr>
          <w:bottom w:val="single" w:sz="3" w:space="0" w:color="2E86C1"/>
        </w:pBdr>
        <w:spacing w:before="100" w:after="200"/>
      </w:pPr>
    </w:p>
    <w:p>
      <w:r>
        <w:rPr>
          <w:color w:val="2C3E50"/>
        </w:rPr>
        <w:t xml:space="preserve">This document compares the high-fidelity UI concept (smartinv-ui.html) against the feature specification (smartinv_feature_specification.docx) and reports, for each specified capability, whether the UI represents it as Implemented, Partial, Missing, or Indirect (visible through global UI patterns rather than a dedicated screen).</w:t>
      </w:r>
    </w:p>
    <w:p>
      <w:pPr>
        <w:pStyle w:val="Heading2"/>
      </w:pPr>
      <w:r>
        <w:t xml:space="preserve">Legend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800"/>
        <w:gridCol w:w="7560"/>
      </w:tblGrid>
      <w:tr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 dedicated UI component or screen exists and exposes the capability.</w:t>
            </w:r>
          </w:p>
        </w:tc>
      </w:tr>
      <w:tr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A86A0D"/>
                <w:sz w:val="18"/>
                <w:szCs w:val="18"/>
              </w:rPr>
              <w:t xml:space="preserve">Partial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Some aspects of the capability are visible; key sub-features are missing or simplified.</w:t>
            </w:r>
          </w:p>
        </w:tc>
      </w:tr>
      <w:tr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D64545"/>
                <w:sz w:val="18"/>
                <w:szCs w:val="18"/>
              </w:rPr>
              <w:t xml:space="preserve">Missing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No visible representation in the current UI concept.</w:t>
            </w:r>
          </w:p>
        </w:tc>
      </w:tr>
      <w:tr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86C1"/>
                <w:sz w:val="18"/>
                <w:szCs w:val="18"/>
              </w:rPr>
              <w:t xml:space="preserve">Indirect</w:t>
            </w:r>
          </w:p>
        </w:tc>
        <w:tc>
          <w:tcPr>
            <w:tcW w:w="7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Capability is visible through transversal UI patterns (e.g. evidence strip, sidebar, command bar) rather than a single screen.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UI Concept Inventory</w:t>
      </w:r>
    </w:p>
    <w:p>
      <w:pPr>
        <w:pBdr>
          <w:bottom w:val="single" w:sz="3" w:space="0" w:color="2E86C1"/>
        </w:pBdr>
        <w:spacing w:before="100" w:after="200"/>
      </w:pPr>
    </w:p>
    <w:p>
      <w:r>
        <w:rPr>
          <w:color w:val="2C3E50"/>
        </w:rPr>
        <w:t xml:space="preserve">The UI is structured as a single-page application with 12 main screens plus persistent global chrome (sidebar, command bar, notification dot, tenant chip, user identity, AI evidence strip).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700"/>
        <w:gridCol w:w="2600"/>
        <w:gridCol w:w="6060"/>
      </w:tblGrid>
      <w:t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Executive Overview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KPIs, working capital trend, AI monthly narrative, plant comparison, priority alerts.</w:t>
            </w:r>
          </w:p>
        </w:tc>
      </w:tr>
      <w:t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Inventory Health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Health donut, excess/dead/data-quality KPIs, items needing attention, duplicate detection, anomalies.</w:t>
            </w:r>
          </w:p>
        </w:tc>
      </w:tr>
      <w:t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Demand Forecasting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Probabilistic forecast chart with P50/P80/P95 bands, demand drivers, forecast quality, model comparison.</w:t>
            </w:r>
          </w:p>
        </w:tc>
      </w:tr>
      <w:t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Optimization Recommendations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Min/max, transfer, excess reduction cards with approval steps, portfolio impact, Pareto frontier.</w:t>
            </w:r>
          </w:p>
        </w:tc>
      </w:tr>
      <w:t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Risk &amp; Criticality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Downtime KPIs, plant × risk heatmap, AI risk narrative, top critical-spare exposures.</w:t>
            </w:r>
          </w:p>
        </w:tc>
      </w:tr>
      <w:t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Procurement &amp; Suppliers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PO late-risk table, AI RFQ draft, supplier scorecards.</w:t>
            </w:r>
          </w:p>
        </w:tc>
      </w:tr>
      <w:t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Ask SmartInv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Conversational analyst chat with evidence strip and prompt suggestions.</w:t>
            </w:r>
          </w:p>
        </w:tc>
      </w:tr>
      <w:t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Agent Console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6 agent cards, orchestration trace, guardrails toggles, KPIs.</w:t>
            </w:r>
          </w:p>
        </w:tc>
      </w:tr>
      <w:t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Reports &amp; Stories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Report templates, executive brief preview, what-if scenario, scheduled deliveries.</w:t>
            </w:r>
          </w:p>
        </w:tc>
      </w:tr>
      <w:t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Approvals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Pending cards with approval steps, automation policy limits.</w:t>
            </w:r>
          </w:p>
        </w:tc>
      </w:tr>
      <w:t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Data Quality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DQ donut, issue backlog, DQ → confidence chart.</w:t>
            </w:r>
          </w:p>
        </w:tc>
      </w:tr>
      <w:tr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Admin &amp; Governance</w:t>
            </w:r>
          </w:p>
        </w:tc>
        <w:tc>
          <w:tcPr>
            <w:tcW w:w="6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Connectors, model registry, security posture.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3. Functional Feature Coverage (Spec §4)</w:t>
      </w:r>
    </w:p>
    <w:p>
      <w:pPr>
        <w:pBdr>
          <w:bottom w:val="single" w:sz="3" w:space="0" w:color="2E86C1"/>
        </w:pBdr>
        <w:spacing w:before="100" w:after="200"/>
      </w:pPr>
    </w:p>
    <w:p>
      <w:r>
        <w:rPr>
          <w:color w:val="2C3E50"/>
        </w:rPr>
        <w:t xml:space="preserve">Each row maps a sub-feature from the specification to where it appears in the UI and rates implementation.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000"/>
        <w:gridCol w:w="2300"/>
        <w:gridCol w:w="1300"/>
        <w:gridCol w:w="2760"/>
      </w:tblGrid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 Sub-Feature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UI Location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4.1 Real-time inventory dashboard (OH, committed, available, in transit, reserved, open PO)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2 — Inventory Health KPIs; Screen 1 KPIs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A86A0D"/>
                <w:sz w:val="18"/>
                <w:szCs w:val="18"/>
              </w:rPr>
              <w:t xml:space="preserve">Partial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Aggregate KPIs and items-needing-attention table shown. The granular split (committed/reserved/in-transit/open PO per item) is not exposed in a single record view.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4.1 Multi-site / multi-warehouse filters (site, criticality, ABC, commodity, supplier, manufacturer)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2 filter bar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All filters present (Site, Criticality, ABC class, Health). Saved views available.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4.1 Inventory health scoring per item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2 health donut + per-item meter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Composite Health Score column with visual meter (0–100).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4.1 Slow-moving, obsolete, excess, dead-stock detection with business impact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2 KPIs + items table flags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“Excess value”, “Dead stock 24m+”, badges (Excess, Slow-moving, Obsolete asset, Stockout risk).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4.1 Item master quality assessment (missing MPN, UoM, weak description, duplicates, asset link)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11 Data Quality issue backlog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Backlog by category with detection method and suggested fix.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4.1 Historical usage by WO, asset, failure, location, maintenance type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Not surfaced as a dedicated view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D64545"/>
                <w:sz w:val="18"/>
                <w:szCs w:val="18"/>
              </w:rPr>
              <w:t xml:space="preserve">Missing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Usage history exists implicitly behind recommendations and forecast drivers, but no consumption-history screen.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4.2 Forecast by item, site, warehouse, asset, plan, horizon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3 filters + chart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Item, Site, Horizon, Demand type filters present.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4.2 Planned / corrective / emergency / project demand separation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3 demand drivers panel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A86A0D"/>
                <w:sz w:val="18"/>
                <w:szCs w:val="18"/>
              </w:rPr>
              <w:t xml:space="preserve">Partial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Drivers panel breaks down by PM plan, corrective, turnaround, other. Emergency / project not explicit categories.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4.2 Confidence bands P50/P80/P95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3 forecast chart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P50 line + P80–P95 band rendered.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4.2 Demand driver analysis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3 demand drivers panel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Driver weights with confidence bars and regime-change check.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4.2 Forecast comparison (baseline vs ML vs override vs actual)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3 model comparison table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Four-row table with monthly numbers and status badges.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4.3 Min/Max recommendations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4 recommendation cards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With before/after stockout probability and confidence.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4.3 Safety stock and reorder point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4 recommendation cards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Reorder point change shown explicitly per item.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4.3 Dynamic order quantity (EOQ / policy)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Not directly visible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D64545"/>
                <w:sz w:val="18"/>
                <w:szCs w:val="18"/>
              </w:rPr>
              <w:t xml:space="preserve">Missing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Order-quantity policy and EOQ value are not surfaced as a dedicated field; only inferred from recommendations.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4.3 Service-level simulation by criticality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4 portfolio impact + Pareto frontier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A86A0D"/>
                <w:sz w:val="18"/>
                <w:szCs w:val="18"/>
              </w:rPr>
              <w:t xml:space="preserve">Partial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Service-level delta shown, but service-level slider per criticality class not present (only what-if on Screen 9).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4.3 Buy / transfer / repair / substitute / consume / do-nothing recommendation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4 cards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A86A0D"/>
                <w:sz w:val="18"/>
                <w:szCs w:val="18"/>
              </w:rPr>
              <w:t xml:space="preserve">Partial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Buy, transfer and excess reduction shown. Repair, substitute, consume-existing, do-nothing are not represented as distinct recommendation types.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4.3 Excess reduction plans (safely reducible vs strategic)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4 excess reduction card; Screen 1 KPI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Card splits releasable vs strategically necessary stock.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4.3 Cross-site transfer recommendation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4 transfer card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Rotterdam → Houston example with freight, value avoided.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4.3 Scenario comparison (cost vs risk vs service level vs centralization)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4 Pareto frontier + Screen 9 what-if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Pareto chart + interactive what-if scenario builder.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4.4 Critical spare identification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5 top critical-spare exposures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Items linked to assets with downtime exposure and risk score.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4.4 Stockout risk dashboard by plant/asset/system/supplier/item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5 heatmap + table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Plant × risk dimension heatmap and item-level table.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4.4 Downtime exposure estimation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5 KPI + table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$ downtime exposure column.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4.4 Risk-adjusted recommendations (preserve critical, cut low-risk excess)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4 + Screen 5 mitigate buttons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Optimization Agent recommendations explicitly mention strategic preservation.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4.4 Obsolescence risk detection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5 KPI ‘Obsolescence candidates’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KPI card; further drilldown not shown.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4.4 Supplier concentration / single-source risk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5 KPI + table column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Single-source critical items KPI and per-item supplier risk badge.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4.5 Supplier scorecards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6 supplier table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Lead-time adherence, price trend, late deliveries, emergency buys, risk badge.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4.5 Purchase requisition recommendations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Topbar “Create requisition” + Screen 6 actions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A86A0D"/>
                <w:sz w:val="18"/>
                <w:szCs w:val="18"/>
              </w:rPr>
              <w:t xml:space="preserve">Partial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Action button visible. A dedicated requisition-recommendation queue is not separately shown.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4.5 RFQ draft generation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6 RFQ draft panel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AI draft with specs, history, shortlist, send-to-procurement action.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4.5 Late delivery risk prediction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6 PO late-risk table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Probability per PO with expedite action.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4.5 Alternative supplier suggestions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6 RFQ shortlist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Shortlist with reliability, price delta, lead time.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4.5 Contract coverage / off-contract spend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6 KPI + Screen 2 anomalies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A86A0D"/>
                <w:sz w:val="18"/>
                <w:szCs w:val="18"/>
              </w:rPr>
              <w:t xml:space="preserve">Partial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Off-contract spend KPI present. Contract coverage browser is not implemented.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4.6 Prompt-driven dynamic dashboard builder (NL)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7 chat creating dashboards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“Build me a dashboard tracking these 4 items…” conversation creates a dashboard.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4.6 Conversational data exploration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7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Chat-with-data with evidence strip.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4.6 Guided action workflows (insight → recommendation → approval → execution)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Screens 4, 6, 10 approval steps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Approval path shown in cards and on Screen 10.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4.6 Adaptive search / command bar (⌘K)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Global topbar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Cmd bar with placeholder “Search items, suppliers, assets — or ask anything…” and ⌘K hint.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4.6 Real-time notification and alert center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Topbar bell with dot + Screen 1 priority alerts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A86A0D"/>
                <w:sz w:val="18"/>
                <w:szCs w:val="18"/>
              </w:rPr>
              <w:t xml:space="preserve">Partial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Notification dot in topbar and priority alerts panel on Screen 1; a full alert-center page is not built out.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4.6 Role-based interface profiles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Sidebar footer role identity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A86A0D"/>
                <w:sz w:val="18"/>
                <w:szCs w:val="18"/>
              </w:rPr>
              <w:t xml:space="preserve">Partial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User role visible (R. Marques, Inventory Planner, BR-South). Distinct UI variants per role are not demonstrated.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4.6 Progressive disclosure / drill-down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Source-records chips on evidence strips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A86A0D"/>
                <w:sz w:val="18"/>
                <w:szCs w:val="18"/>
              </w:rPr>
              <w:t xml:space="preserve">Partial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Evidence strip exposes drill paths (source records, query plan) but a multi-level drill view is not animated.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4.6 Dark mode + WCAG 2.1 AA + responsive design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CSS / global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A86A0D"/>
                <w:sz w:val="18"/>
                <w:szCs w:val="18"/>
              </w:rPr>
              <w:t xml:space="preserve">Partial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Responsive grid present; focus-visible outline implemented; prefers-reduced-motion respected. Dark mode not implemented (light theme only). Accessibility audit not formalized.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4.6 Saved views and favorites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2 “Save view” button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A86A0D"/>
                <w:sz w:val="18"/>
                <w:szCs w:val="18"/>
              </w:rPr>
              <w:t xml:space="preserve">Partial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Button present; no dedicated saved-views or favorites surface elsewhere.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4.7 AI-generated smart widgets / auto-visualization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Throughout (charts, AI narratives) + Screen 7 dashboard creation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AI badge on AI-produced widgets; auto-visualization shown via chat.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4.7 ML results visualization layer (forecasts, anomalies, recommendations, risk heatmaps)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Screens 2, 3, 4, 5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Confidence bands, anomaly list, recommendation matrix, risk heatmap all present.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4.7 Interactive what-if scenario builder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9 what-if + Screen 4 Pareto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Sliders for service level, lead-time stress, centralization, with capital and risk deltas.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4.7 Drag-and-drop report designer with AI templates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9 templates gallery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A86A0D"/>
                <w:sz w:val="18"/>
                <w:szCs w:val="18"/>
              </w:rPr>
              <w:t xml:space="preserve">Partial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Templates gallery and “Report designer” button visible; the drag-and-drop canvas itself is not shown.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4.7 Export, sharing, embedding (PDF / PowerPoint / board-ready)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9 PDF / PowerPoint / Share buttons + Screen 1 “Export board pack”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Export actions available.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4.7 Automatic monthly executive narrative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1 “June executive narrative” + Screen 9 brief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AI-generated with evidence chips, governed metrics count, model version.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4.8 Inventory Health Agent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8 card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Running with progress and tools count.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4.8 Risk Agent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8 card + orchestration trace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Healthy, with last activity summary.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4.8 Optimization Agent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8 card + Screen 4 recommendations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Pending recommendations counted.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4.8 Procurement Agent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8 card + Screen 6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Late-risk POs and RFQ activity surfaced.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4.8 Master Data Agent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8 card + Screen 2 duplicate panel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Duplicate-pair review queue ready.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4.8 Executive Narrative Agent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8 card + Screen 9 brief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Review score shown (4.8/5).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4.8 Action Agent (workflow dispatcher)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Implied by approval workflow but no agent card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A86A0D"/>
                <w:sz w:val="18"/>
                <w:szCs w:val="18"/>
              </w:rPr>
              <w:t xml:space="preserve">Partial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Agent Console shows 6 of 7 spec agents. Action Agent role is fulfilled by the Workflow &amp; Approval layer but not represented as a standalone agent card.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4.8 Orchestration trace + structured outputs (claim, evidence, confidence, assumptions, approval)</w:t>
            </w:r>
          </w:p>
        </w:tc>
        <w:tc>
          <w:tcPr>
            <w:tcW w:w="2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8 orchestration trace + AI evidence strip everywhere</w:t>
            </w:r>
          </w:p>
        </w:tc>
        <w:tc>
          <w:tcPr>
            <w:tcW w:w="1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Trace with timing and tools; evidence strips repeat the pattern throughout.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Non-Functional Requirements Coverage (Spec §7)</w:t>
      </w:r>
    </w:p>
    <w:p>
      <w:pPr>
        <w:pBdr>
          <w:bottom w:val="single" w:sz="3" w:space="0" w:color="2E86C1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400"/>
        <w:gridCol w:w="2900"/>
        <w:gridCol w:w="1200"/>
        <w:gridCol w:w="2860"/>
      </w:tblGrid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NFR Domain</w:t>
            </w:r>
          </w:p>
        </w:tc>
        <w:tc>
          <w:tcPr>
            <w:tcW w:w="2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UI Evidence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w="2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Observations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7.1 Trust, Explainability, Traceability</w:t>
            </w:r>
          </w:p>
        </w:tc>
        <w:tc>
          <w:tcPr>
            <w:tcW w:w="2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AI evidence strip across all screens (confidence, model version, governed metrics, source records, query plan, assumptions, challenge button)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This is the strongest UI motif — present on every AI-produced widget. Critical approvals enforce “Explanation present ✓”.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7.2 Executive Storytelling &amp; Narrative Intelligence</w:t>
            </w:r>
          </w:p>
        </w:tc>
        <w:tc>
          <w:tcPr>
            <w:tcW w:w="2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1 monthly narrative; Screen 9 executive brief with split safe savings vs risk-bearing; Screen 5 risk narrative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Narratives are grounded on governed metrics, with review score and source-record links.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7.3 Agentic Architecture</w:t>
            </w:r>
          </w:p>
        </w:tc>
        <w:tc>
          <w:tcPr>
            <w:tcW w:w="2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8 agent cards, orchestration trace, guardrails toggles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6 named agents visible (Action Agent not surfaced as a card).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7.4 Human-in-the-Loop Governance</w:t>
            </w:r>
          </w:p>
        </w:tc>
        <w:tc>
          <w:tcPr>
            <w:tcW w:w="2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10 approval queue, automation policy table, approval steps on cards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Policy table shows auto vs 2-step vs 3-step thresholds, source-system writes locked.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7.5 Data Quality Intelligence</w:t>
            </w:r>
          </w:p>
        </w:tc>
        <w:tc>
          <w:tcPr>
            <w:tcW w:w="2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11 DQ donut, issue backlog, DQ → confidence chart, “Data quality” badges in items table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Confidence reduction surfaced when DQ low (0.90 vs 0.64 example).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7.6 Real-Time and Event-Driven Intelligence</w:t>
            </w:r>
          </w:p>
        </w:tc>
        <w:tc>
          <w:tcPr>
            <w:tcW w:w="2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Topbar notification dot, Screen 1 priority alerts (Risk/Procurement/Optimization/Master Data agents), Screen 2 anomalies last 7 days, Agent pulse states (busy/idle)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A86A0D"/>
                <w:sz w:val="18"/>
                <w:szCs w:val="18"/>
              </w:rPr>
              <w:t xml:space="preserve">Partial</w:t>
            </w:r>
          </w:p>
        </w:tc>
        <w:tc>
          <w:tcPr>
            <w:tcW w:w="2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Event-driven framing is visible at the surface. A dedicated event stream / alert-center page is not implemented; alert prioritization rules and event triggers are not exposed.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7.7 Integration-First Enterprise Design</w:t>
            </w:r>
          </w:p>
        </w:tc>
        <w:tc>
          <w:tcPr>
            <w:tcW w:w="2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12 source connectors list (Maximo, SAP S/4HANA, Oracle Procurement, Databricks lakehouse, BI export)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Sync status and version badges per connector. Webhook/streaming flagged.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7.8 Security, Privacy, Enterprise Controls</w:t>
            </w:r>
          </w:p>
        </w:tc>
        <w:tc>
          <w:tcPr>
            <w:tcW w:w="2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12 security posture (SSO, RBAC/ABAC, encryption, audit, SOC 2 readiness); tenant chip in topbar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Posture checklist with status badges. Tenant isolation visible.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7.9 Performance, Scalability, Resilience</w:t>
            </w:r>
          </w:p>
        </w:tc>
        <w:tc>
          <w:tcPr>
            <w:tcW w:w="2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Indirect: scenario runtime, agent ETA, sync timestamps, orchestration step latencies (62 ms / 1.8 s / 2.4 s)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86C1"/>
                <w:sz w:val="18"/>
                <w:szCs w:val="18"/>
              </w:rPr>
              <w:t xml:space="preserve">Indirect</w:t>
            </w:r>
          </w:p>
        </w:tc>
        <w:tc>
          <w:tcPr>
            <w:tcW w:w="2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No dedicated performance/observability screen; SLAs, queue depth, error budgets, DR posture are not surfaced.</w:t>
            </w:r>
          </w:p>
        </w:tc>
      </w:tr>
      <w:t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7.10 Model Governance and Continuous Learning</w:t>
            </w:r>
          </w:p>
        </w:tc>
        <w:tc>
          <w:tcPr>
            <w:tcW w:w="2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12 model registry (versions, drift watch, A/B result, rollback); Screen 10 overrides feeding retraining; Screen 4 acceptance rate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  <w:tc>
          <w:tcPr>
            <w:tcW w:w="2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Full lifecycle visible: deployed version, metrics, drift, A/B winner, rollback. Feedback loop made explicit.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MVP Killer Capabilities Coverage</w:t>
      </w:r>
    </w:p>
    <w:p>
      <w:pPr>
        <w:pBdr>
          <w:bottom w:val="single" w:sz="3" w:space="0" w:color="2E86C1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4400"/>
        <w:gridCol w:w="3600"/>
        <w:gridCol w:w="1360"/>
      </w:tblGrid>
      <w:tr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MVP Capability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UI Location</w:t>
            </w:r>
          </w:p>
        </w:tc>
        <w:tc>
          <w:tcPr>
            <w:tcW w:w="1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Inventory health assessment (excess, obsolete, duplicate, missing data, stockout risk)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2</w:t>
            </w:r>
          </w:p>
        </w:tc>
        <w:tc>
          <w:tcPr>
            <w:tcW w:w="1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AI min/max and reorder recommendations with explanation and confidence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4</w:t>
            </w:r>
          </w:p>
        </w:tc>
        <w:tc>
          <w:tcPr>
            <w:tcW w:w="1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Critical spare and risk dashboard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5</w:t>
            </w:r>
          </w:p>
        </w:tc>
        <w:tc>
          <w:tcPr>
            <w:tcW w:w="1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w="4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Conversational inventory analyst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Screen 7</w:t>
            </w:r>
          </w:p>
        </w:tc>
        <w:tc>
          <w:tcPr>
            <w:tcW w:w="1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bCs/>
                <w:color w:val="2E9E6B"/>
                <w:sz w:val="18"/>
                <w:szCs w:val="18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Coverage Summary</w:t>
      </w:r>
    </w:p>
    <w:p>
      <w:pPr>
        <w:pBdr>
          <w:bottom w:val="single" w:sz="3" w:space="0" w:color="2E86C1"/>
        </w:pBdr>
        <w:spacing w:before="100" w:after="200"/>
      </w:pPr>
    </w:p>
    <w:tbl>
      <w:tblPr>
        <w:tblW w:w="9360" w:type="dxa"/>
        <w:tblBorders>
          <w:top w:val="single" w:sz="4" w:space="0" w:color="2E86C1"/>
          <w:left w:val="single" w:sz="18" w:space="0" w:color="2E86C1"/>
          <w:bottom w:val="single" w:sz="4" w:space="0" w:color="2E86C1"/>
          <w:right w:val="single" w:sz="4" w:space="0" w:color="2E86C1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c>
          <w:tcPr>
            <w:tcW w:w="9360" w:type="dxa"/>
            <w:shd w:val="clear" w:color="auto" w:fill="EBF5FB"/>
          </w:tcPr>
          <w:p>
            <w:pPr>
              <w:spacing w:after="0"/>
            </w:pPr>
            <w:r>
              <w:rPr>
                <w:b/>
                <w:bCs/>
                <w:color w:val="1B3A5C"/>
              </w:rPr>
              <w:t xml:space="preserve">Headline:  </w:t>
            </w:r>
            <w:r>
              <w:rPr>
                <w:color w:val="2C3E50"/>
              </w:rPr>
              <w:t xml:space="preserve">The UI concept covers the majority of the specification. The strongest area is Trust &amp; Explainability (transversal), Agentic Intelligence, Executive Storytelling, and Data Quality. The weakest areas are Performance/Observability (no dedicated surface), Dark mode, and certain operational sub-features (historical usage screen, contract coverage browser, repair/substitute recommendation types, Action Agent card).</w:t>
            </w:r>
          </w:p>
        </w:tc>
      </w:tr>
    </w:tbl>
    <w:p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3000"/>
        <w:gridCol w:w="1700"/>
        <w:gridCol w:w="1700"/>
        <w:gridCol w:w="1700"/>
        <w:gridCol w:w="1260"/>
      </w:tblGrid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Implemented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  <w:tc>
          <w:tcPr>
            <w:tcW w:w="1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Indirect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Functional (§4)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30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w="1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Non-Functional (§7)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w="1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MVP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w="1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Total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42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w="1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w="1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color w:val="2C3E50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/>
      </w:pPr>
    </w:p>
    <w:p>
      <w:r>
        <w:rPr>
          <w:i/>
          <w:iCs/>
          <w:color w:val="7F8C8D"/>
        </w:rPr>
        <w:t xml:space="preserve">These counts reflect the rows reported in sections 3, 4 and 5 of this document.</w:t>
      </w:r>
    </w:p>
    <w:p>
      <w:pPr>
        <w:pStyle w:val="Heading1"/>
      </w:pPr>
      <w:r>
        <w:t xml:space="preserve">7. Recommended Gap-Closure Actions</w:t>
      </w:r>
    </w:p>
    <w:p>
      <w:pPr>
        <w:pBdr>
          <w:bottom w:val="single" w:sz="3" w:space="0" w:color="2E86C1"/>
        </w:pBdr>
        <w:spacing w:before="100" w:after="200"/>
      </w:pP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Add a dedicated Historical Usage view (item × asset × work order × maintenance type) to support 4.1.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Expand recommendation types in Optimization to include Repair, Substitute, Consume-existing and Do-nothing flows (4.3).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Add an Action Agent card on the Agent Console with workflow dispatching tools, completing the seven-agent set (4.8).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Build an Alert Center screen with triggers, prioritization rules, and event source visibility (7.6).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Add a Performance &amp; Observability view: SLAs, queue depth, ML job latencies, error budgets, DR posture (7.9).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Implement dark mode and run a formal WCAG 2.1 AA accessibility audit (4.6).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Expose a Contract Coverage browser (off-contract spend drill-down) on the Procurement screen (4.5).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Add a Saved Views / Favorites surface to give the “personal workspace” promise a real home (4.6).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Add explicit Service-Level Per Criticality Class controls in Optimization, not only in the global what-if (4.3).</w:t>
      </w:r>
    </w:p>
    <w:p>
      <w:pPr>
        <w:spacing w:after="60"/>
        <w:ind w:left="360" w:hanging="360"/>
      </w:pPr>
      <w:r>
        <w:rPr>
          <w:b/>
          <w:bCs/>
          <w:color w:val="2E86C1"/>
        </w:rPr>
        <w:t xml:space="preserve">•  </w:t>
      </w:r>
      <w:r>
        <w:rPr>
          <w:color w:val="2C3E50"/>
        </w:rPr>
        <w:t xml:space="preserve">Make Role-based UI profiles concrete: render at least two distinct landing layouts (Planner vs Executive) to demonstrate 4.6.</w:t>
      </w:r>
    </w:p>
    <w:p>
      <w:pPr>
        <w:spacing w:after="120"/>
      </w:pPr>
    </w:p>
    <w:p>
      <w:pPr>
        <w:pBdr>
          <w:bottom w:val="single" w:sz="3" w:space="0" w:color="2E86C1"/>
        </w:pBdr>
        <w:spacing w:before="100" w:after="200"/>
      </w:pPr>
    </w:p>
    <w:p>
      <w:pPr>
        <w:jc w:val="center"/>
      </w:pPr>
      <w:r>
        <w:rPr>
          <w:b/>
          <w:bCs/>
          <w:color w:val="1B3A5C"/>
          <w:sz w:val="24"/>
          <w:szCs w:val="24"/>
        </w:rPr>
        <w:t xml:space="preserve">SmartInv — Coverage analysis of UI concept v1.0 against feature specification v1.0.</w:t>
      </w:r>
    </w:p>
    <w:p>
      <w:pPr>
        <w:pBdr>
          <w:bottom w:val="single" w:sz="3" w:space="0" w:color="2E86C1"/>
        </w:pBdr>
        <w:spacing w:before="100" w:after="200"/>
      </w:pPr>
    </w:p>
    <w:sectPr>
      <w:headerReference w:type="default" r:id="rIdHdr"/>
      <w:footerReference w:type="default" r:id="rIdFt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pBdr>
        <w:top w:val="single" w:sz="1" w:space="4" w:color="BDC3C7"/>
      </w:pBdr>
      <w:spacing w:before="100"/>
      <w:jc w:val="center"/>
    </w:pPr>
    <w:r>
      <w:rPr>
        <w:color w:val="7F8C8D"/>
        <w:sz w:val="16"/>
      </w:rPr>
      <w:t xml:space="preserve">Page </w:t>
    </w:r>
    <w:r>
      <w:rPr>
        <w:color w:val="7F8C8D"/>
        <w:sz w:val="16"/>
      </w:rPr>
      <w:fldChar w:fldCharType="begin"/>
    </w:r>
    <w:r>
      <w:rPr>
        <w:color w:val="7F8C8D"/>
        <w:sz w:val="16"/>
      </w:rPr>
      <w:instrText>PAGE</w:instrText>
    </w:r>
    <w:r>
      <w:rPr>
        <w:color w:val="7F8C8D"/>
        <w:sz w:val="16"/>
      </w:rPr>
      <w:fldChar w:fldCharType="separate"/>
    </w:r>
    <w:r>
      <w:rPr>
        <w:color w:val="7F8C8D"/>
        <w:sz w:val="16"/>
      </w:rPr>
      <w:t>1</w:t>
    </w:r>
    <w:r>
      <w:rPr>
        <w:color w:val="7F8C8D"/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i/>
        <w:iCs/>
        <w:color w:val="7F8C8D"/>
        <w:sz w:val="18"/>
      </w:rPr>
      <w:t xml:space="preserve">SmartInv — UI ↔ Spec Coverage  |  Confidential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  <w:szCs w:val="22"/>
        <w:color w:val="2C3E50"/>
        <w:lang w:val="en-US"/>
      </w:rPr>
    </w:rPrDefault>
  </w:docDefaults>
  <w:style w:type="paragraph" w:default="1" w:styleId="Normal">
    <w:name w:val="Normal"/>
    <w:pPr>
      <w:spacing w:after="120" w:line="288" w:lineRule="auto"/>
    </w:pPr>
    <w:rPr>
      <w:color w:val="2C3E50"/>
    </w:rPr>
  </w:style>
  <w:style w:type="paragraph" w:styleId="Heading1">
    <w:name w:val="heading 1"/>
    <w:basedOn w:val="Normal"/>
    <w:next w:val="Normal"/>
    <w:pPr>
      <w:spacing w:before="360" w:after="12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pPr>
      <w:spacing w:before="280" w:after="14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pPr>
      <w:spacing w:before="200" w:after="80"/>
      <w:outlineLvl w:val="2"/>
    </w:pPr>
    <w:rPr>
      <w:b/>
      <w:bCs/>
      <w:color w:val="1F4D78"/>
      <w:sz w:val="24"/>
      <w:szCs w:val="24"/>
    </w:rPr>
  </w:style>
  <w:style w:type="paragraph" w:styleId="Title">
    <w:name w:val="Title"/>
    <w:basedOn w:val="Normal"/>
    <w:rPr>
      <w:b/>
      <w:color w:val="1B3A5C"/>
      <w:sz w:val="7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
<Relationship Id="rIdFtr" Type="http://schemas.openxmlformats.org/officeDocument/2006/relationships/footer" Target="footer1.xml"/>
</Relationships>
</file>