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6"/>
          <w:szCs w:val="36"/>
        </w:rPr>
        <w:t xml:space="preserve">IDENTUSLABEL SECURITY SYSTEMS</w:t>
      </w:r>
    </w:p>
    <w:p>
      <w:pPr>
        <w:jc w:val="center"/>
      </w:pPr>
      <w:r>
        <w:rPr>
          <w:sz w:val="28"/>
          <w:szCs w:val="28"/>
        </w:rPr>
        <w:t xml:space="preserve">Multi-Level Security Test Document</w:t>
      </w:r>
    </w:p>
    <w:p>
      <w:pPr>
        <w:jc w:val="center"/>
      </w:pPr>
      <w:r>
        <w:rPr>
          <w:i/>
          <w:iCs/>
          <w:sz w:val="20"/>
          <w:szCs w:val="20"/>
        </w:rPr>
        <w:t xml:space="preserve">Version 1.0  |  April 2026  |  ACME Corp</w:t>
      </w:r>
    </w:p>
    <w:p>
      <w:r>
        <w:t xml:space="preserve"/>
      </w:r>
    </w:p>
    <w:p>
      <w:pPr>
        <w:shd w:color="1F497D" w:val="solid"/>
        <w:jc w:val="center"/>
      </w:pPr>
      <w:r>
        <w:rPr>
          <w:b/>
          <w:bCs/>
          <w:color w:val="FFFFFF"/>
          <w:sz w:val="20"/>
          <w:szCs w:val="20"/>
        </w:rPr>
        <w:t xml:space="preserve">[INTERNAL]</w:t>
      </w:r>
    </w:p>
    <w:p>
      <w:pPr>
        <w:pStyle w:val="Heading1"/>
      </w:pPr>
      <w:r>
        <w:rPr>
          <w:b/>
          <w:bCs/>
        </w:rPr>
        <w:t xml:space="preserve">1. Company Overview  [INTERNAL]</w:t>
      </w:r>
    </w:p>
    <w:p>
      <w:r>
        <w:t xml:space="preserve">ACME Corporation was founded in 2010 and operates across 14 countries. The company employs approximately 3,400 staff globally and maintains regional offices in Prague, Vienna, Warsaw and Bratislava. Annual revenue for fiscal year 2025 was €420 million, a 12% increase year-over-year.</w:t>
      </w:r>
    </w:p>
    <w:p>
      <w:r>
        <w:t xml:space="preserve"/>
      </w:r>
    </w:p>
    <w:p>
      <w:r>
        <w:t xml:space="preserve">The primary business units are: Industrial Automation, Digital Services, and Supply Chain Solutions. Each business unit operates with dedicated P&amp;L responsibility and reports to the Group Executive Committee on a quarterly basis.</w:t>
      </w:r>
    </w:p>
    <w:p>
      <w:r>
        <w:t xml:space="preserve"/>
      </w:r>
    </w:p>
    <w:p>
      <w:pPr>
        <w:pStyle w:val="Heading2"/>
      </w:pPr>
      <w:r>
        <w:rPr>
          <w:b/>
          <w:bCs/>
        </w:rPr>
        <w:t xml:space="preserve">1.1 Organisational Structure  [INTERNAL]</w:t>
      </w:r>
    </w:p>
    <w:p>
      <w:r>
        <w:t xml:space="preserve">The Group CEO is supported by a C-suite of seven executives. The Board of Directors convenes six times per year. Employee representation is guaranteed through the Works Council established under Czech Labour Code §276.</w:t>
      </w:r>
    </w:p>
    <w:p>
      <w:r>
        <w:t xml:space="preserve"/>
      </w:r>
    </w:p>
    <w:p>
      <w:pPr>
        <w:shd w:color="375623" w:val="solid"/>
        <w:jc w:val="center"/>
      </w:pPr>
      <w:r>
        <w:rPr>
          <w:b/>
          <w:bCs/>
          <w:color w:val="FFFFFF"/>
          <w:sz w:val="20"/>
          <w:szCs w:val="20"/>
        </w:rPr>
        <w:t xml:space="preserve">[CONFIDENTIAL]</w:t>
      </w:r>
    </w:p>
    <w:p>
      <w:pPr>
        <w:pStyle w:val="Heading1"/>
      </w:pPr>
      <w:r>
        <w:rPr>
          <w:b/>
          <w:bCs/>
        </w:rPr>
        <w:t xml:space="preserve">2. Financial Performance  [CONFIDENTIAL]</w:t>
      </w:r>
    </w:p>
    <w:p>
      <w:r>
        <w:t xml:space="preserve">EBITDA for Q1 2026 was €38.2 million against a budget of €35.0 million (+9.1%). The Digital Services unit underperformed by €2.1 million due to delayed contract renewals in the public sector vertical. Corrective measures include a pricing revision effective 1 May 2026 and two pipeline deals totalling €6.4 million expected to close in Q2.</w:t>
      </w:r>
    </w:p>
    <w:p>
      <w:r>
        <w:t xml:space="preserve"/>
      </w:r>
    </w:p>
    <w:p>
      <w:r>
        <w:t xml:space="preserve">Net debt position as of 31 March 2026: €112 million (2.9× EBITDA leverage). The revolving credit facility of €80 million remains undrawn. Covenant compliance is confirmed; next measurement date is 30 June 2026.</w:t>
      </w:r>
    </w:p>
    <w:p>
      <w:r>
        <w:t xml:space="preserve"/>
      </w:r>
    </w:p>
    <w:p>
      <w:pPr>
        <w:pStyle w:val="Heading2"/>
      </w:pPr>
      <w:r>
        <w:rPr>
          <w:b/>
          <w:bCs/>
        </w:rPr>
        <w:t xml:space="preserve">2.1 Budget Variances  [CONFIDENTIAL]</w:t>
      </w:r>
    </w:p>
    <w:p>
      <w:r>
        <w:t xml:space="preserve">Capex spend YTD: €8.7 million vs. plan of €10.2 million. The underspend relates to a 6-week delay in the Prague data centre fit-out. Project completion is now forecast for 15 June 2026. No material impact on EBITDA is expected.</w:t>
      </w:r>
    </w:p>
    <w:p>
      <w:r>
        <w:t xml:space="preserve"/>
      </w:r>
    </w:p>
    <w:p>
      <w:pPr>
        <w:shd w:color="7F3F00" w:val="solid"/>
        <w:jc w:val="center"/>
      </w:pPr>
      <w:r>
        <w:rPr>
          <w:b/>
          <w:bCs/>
          <w:color w:val="FFFFFF"/>
          <w:sz w:val="20"/>
          <w:szCs w:val="20"/>
        </w:rPr>
        <w:t xml:space="preserve">[RESTRICTED]</w:t>
      </w:r>
    </w:p>
    <w:p>
      <w:pPr>
        <w:pStyle w:val="Heading1"/>
      </w:pPr>
      <w:r>
        <w:rPr>
          <w:b/>
          <w:bCs/>
        </w:rPr>
        <w:t xml:space="preserve">3. Merger &amp; Acquisition Pipeline  [RESTRICTED]</w:t>
      </w:r>
    </w:p>
    <w:p>
      <w:r>
        <w:t xml:space="preserve">Project FALCON (code name): Evaluation of a controlling stake (55-70%) in TechDynamics s.r.o., a Prague-based industrial IoT platform with ARR of €9 million. Indicative valuation range: €45-55 million EV. Exclusivity period expires 30 April 2026. Legal DD is 80% complete; financial DD to close by 18 April. Decision gate scheduled for 25 April ExCo meeting.</w:t>
      </w:r>
    </w:p>
    <w:p>
      <w:r>
        <w:t xml:space="preserve"/>
      </w:r>
    </w:p>
    <w:p>
      <w:r>
        <w:t xml:space="preserve">Project EAGLE (code name): Disposal of the non-core logistics subsidiary ACME-LOG a.s. Two binding bids received: Bidder A at €31 million, Bidder B at €28 million. Board approval sought at the 10 May extraordinary session. Anticipated closing Q3 2026.</w:t>
      </w:r>
    </w:p>
    <w:p>
      <w:r>
        <w:t xml:space="preserve"/>
      </w:r>
    </w:p>
    <w:p>
      <w:pPr>
        <w:pStyle w:val="Heading2"/>
      </w:pPr>
      <w:r>
        <w:rPr>
          <w:b/>
          <w:bCs/>
        </w:rPr>
        <w:t xml:space="preserve">3.1 Integration Risk Register  [RESTRICTED]</w:t>
      </w:r>
    </w:p>
    <w:p>
      <w:r>
        <w:t xml:space="preserve">Key risks: (1) Key-person dependency — 3 of TechDynamics founders hold critical IP knowledge; retention bonuses of €200k per person proposed over 24 months. (2) Regulatory — Czech UOHS merger notification required; filing prepared. (3) IT integration — estimated 9-month programme, €1.2 million budget.</w:t>
      </w:r>
    </w:p>
    <w:p>
      <w:r>
        <w:t xml:space="preserve"/>
      </w:r>
    </w:p>
    <w:p>
      <w:pPr>
        <w:shd w:color="7B0000" w:val="solid"/>
        <w:jc w:val="center"/>
      </w:pPr>
      <w:r>
        <w:rPr>
          <w:b/>
          <w:bCs/>
          <w:color w:val="FFFFFF"/>
          <w:sz w:val="20"/>
          <w:szCs w:val="20"/>
        </w:rPr>
        <w:t xml:space="preserve">[TOP-SECRET]</w:t>
      </w:r>
    </w:p>
    <w:p>
      <w:pPr>
        <w:pStyle w:val="Heading1"/>
      </w:pPr>
      <w:r>
        <w:rPr>
          <w:b/>
          <w:bCs/>
        </w:rPr>
        <w:t xml:space="preserve">4. Strategic Intelligence Assessment  [TOP-SECRET]</w:t>
      </w:r>
    </w:p>
    <w:p>
      <w:r>
        <w:t xml:space="preserve">Competitive intelligence (classified): Competitor BETA GmbH is actively pursuing the same TechDynamics target. Beta's CFO met TechDynamics management on 28 March 2026 in Vienna. Beta's indicative offer is believed to be in the €48-52 million range. ACME must move decisively to protect exclusivity.</w:t>
      </w:r>
    </w:p>
    <w:p>
      <w:r>
        <w:t xml:space="preserve"/>
      </w:r>
    </w:p>
    <w:p>
      <w:r>
        <w:t xml:space="preserve">Government relations (classified): Ministry of Industry contact has confirmed informal preference for Czech-domiciled ownership of TechDynamics given its involvement in critical infrastructure sensor networks under Act No. 181/2014 Coll. This creates a regulatory moat that favours ACME's acquisition over foreign bidders.</w:t>
      </w:r>
    </w:p>
    <w:p>
      <w:r>
        <w:t xml:space="preserve"/>
      </w:r>
    </w:p>
    <w:p>
      <w:pPr>
        <w:pStyle w:val="Heading2"/>
      </w:pPr>
      <w:r>
        <w:rPr>
          <w:b/>
          <w:bCs/>
        </w:rPr>
        <w:t xml:space="preserve">4.1 Counterintelligence Protocol  [TOP-SECRET]</w:t>
      </w:r>
    </w:p>
    <w:p>
      <w:r>
        <w:t xml:space="preserve">All communications regarding Project FALCON must use end-to-end encrypted channels. No references to TechDynamics or Project FALCON may appear in email. This document is stored exclusively via the Identus SSI document access control system and accessed only by personnel with TOP-SECRET clearance. Printed copies are prohibited.</w:t>
      </w:r>
    </w:p>
    <w:p>
      <w:r>
        <w:t xml:space="preserve"/>
      </w:r>
    </w:p>
    <w:p>
      <w:pPr>
        <w:jc w:val="center"/>
      </w:pPr>
      <w:r>
        <w:rPr>
          <w:i/>
          <w:iCs/>
          <w:color w:val="666666"/>
          <w:sz w:val="16"/>
          <w:szCs w:val="16"/>
        </w:rPr>
        <w:t xml:space="preserve">This document contains information at four classification levels. Access is governed by the Identus SSI Document Access Control System.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Multi-Level Security Test Document</dc:title>
  <dc:creator>identuslabel-test</dc:creator>
  <dc:description>Generated test document for SSI document access control pipeline</dc:description>
  <cp:lastModifiedBy>Un-named</cp:lastModifiedBy>
  <cp:revision>1</cp:revision>
  <dcterms:created xsi:type="dcterms:W3CDTF">2026-04-05T14:30:00.756Z</dcterms:created>
  <dcterms:modified xsi:type="dcterms:W3CDTF">2026-04-05T14:30:00.756Z</dcterms:modified>
</cp:coreProperties>
</file>

<file path=docProps/custom.xml><?xml version="1.0" encoding="utf-8"?>
<Properties xmlns="http://schemas.openxmlformats.org/officeDocument/2006/custom-properties" xmlns:vt="http://schemas.openxmlformats.org/officeDocument/2006/docPropsVTypes"/>
</file>