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b/>
          <w:bCs/>
          <w:color w:val="0F6E5C"/>
          <w:sz w:val="20"/>
          <w:szCs w:val="20"/>
        </w:rPr>
        <w:t xml:space="preserve">PROJECT PROPOSAL</w:t>
      </w:r>
    </w:p>
    <w:p>
      <w:pPr>
        <w:spacing w:after="200"/>
        <w:jc w:val="center"/>
      </w:pPr>
      <w:r>
        <w:rPr>
          <w:b/>
          <w:bCs/>
          <w:color w:val="0F3D34"/>
          <w:sz w:val="44"/>
          <w:szCs w:val="44"/>
        </w:rPr>
        <w:t xml:space="preserve">Earning, Entitled and Organised: Homestead Livelihoods, Entitlement Convergence and a Self-Governing PwD Sangathan in Angara Block, Ranchi</w:t>
      </w:r>
    </w:p>
    <w:p>
      <w:pPr>
        <w:spacing w:after="300"/>
        <w:jc w:val="center"/>
      </w:pPr>
      <w:r>
        <w:rPr>
          <w:i/>
          <w:iCs/>
          <w:color w:val="3A4A47"/>
          <w:sz w:val="24"/>
          <w:szCs w:val="24"/>
        </w:rPr>
        <w:t xml:space="preserve">A 12-month proposal from Agadhbodh Foundation to Usha Martin Foundation, built with the Angara PwD Sangathan for its 1,000 members, at a total cost of INR 29,85,675</w:t>
      </w:r>
    </w:p>
    <w:p>
      <w:pPr>
        <w:spacing w:after="60"/>
        <w:jc w:val="center"/>
      </w:pPr>
      <w:r>
        <w:rPr>
          <w:b/>
          <w:bCs/>
          <w:sz w:val="20"/>
          <w:szCs w:val="20"/>
        </w:rPr>
        <w:t xml:space="preserve">Location: </w:t>
      </w:r>
      <w:r>
        <w:rPr>
          <w:sz w:val="20"/>
          <w:szCs w:val="20"/>
        </w:rPr>
        <w:t xml:space="preserve">Angara Block, Ranchi District, Jharkhand</w:t>
      </w:r>
    </w:p>
    <w:p>
      <w:pPr>
        <w:spacing w:after="60"/>
        <w:jc w:val="center"/>
      </w:pPr>
      <w:r>
        <w:rPr>
          <w:b/>
          <w:bCs/>
          <w:sz w:val="20"/>
          <w:szCs w:val="20"/>
        </w:rPr>
        <w:t xml:space="preserve">Duration: </w:t>
      </w:r>
      <w:r>
        <w:rPr>
          <w:sz w:val="20"/>
          <w:szCs w:val="20"/>
        </w:rPr>
        <w:t xml:space="preserve">12 months</w:t>
      </w:r>
    </w:p>
    <w:p>
      <w:pPr>
        <w:spacing w:after="60"/>
        <w:jc w:val="center"/>
      </w:pPr>
      <w:r>
        <w:rPr>
          <w:b/>
          <w:bCs/>
          <w:sz w:val="20"/>
          <w:szCs w:val="20"/>
        </w:rPr>
        <w:t xml:space="preserve">Budget: </w:t>
      </w:r>
      <w:r>
        <w:rPr>
          <w:sz w:val="20"/>
          <w:szCs w:val="20"/>
        </w:rPr>
        <w:t xml:space="preserve">INR 29,85,675</w:t>
      </w:r>
    </w:p>
    <w:p>
      <w:pPr>
        <w:spacing w:after="60"/>
        <w:jc w:val="center"/>
      </w:pPr>
      <w:r>
        <w:rPr>
          <w:b/>
          <w:bCs/>
          <w:sz w:val="20"/>
          <w:szCs w:val="20"/>
        </w:rPr>
        <w:t xml:space="preserve">Submitted to: </w:t>
      </w:r>
      <w:r>
        <w:rPr>
          <w:sz w:val="20"/>
          <w:szCs w:val="20"/>
        </w:rPr>
        <w:t xml:space="preserve">Usha Martin Foundation</w:t>
      </w:r>
    </w:p>
    <w:p>
      <w:pPr>
        <w:spacing w:after="60"/>
        <w:jc w:val="center"/>
      </w:pPr>
      <w:r>
        <w:rPr>
          <w:b/>
          <w:bCs/>
          <w:sz w:val="20"/>
          <w:szCs w:val="20"/>
        </w:rPr>
        <w:t xml:space="preserve">Submitted by: </w:t>
      </w:r>
      <w:r>
        <w:rPr>
          <w:sz w:val="20"/>
          <w:szCs w:val="20"/>
        </w:rPr>
        <w:t xml:space="preserve">Agadhbodh Foundation</w:t>
      </w:r>
    </w:p>
    <w:p>
      <w:pPr>
        <w:pageBreakBefore/>
      </w:pPr>
    </w:p>
    <w:p>
      <w:pPr>
        <w:spacing w:after="160"/>
      </w:pPr>
      <w:r>
        <w:rPr>
          <w:b/>
          <w:bCs/>
          <w:color w:val="0F3D34"/>
          <w:sz w:val="32"/>
          <w:szCs w:val="32"/>
        </w:rPr>
        <w:t xml:space="preserve">Contents</w:t>
      </w:r>
    </w:p>
    <w:sdt>
      <w:sdtPr>
        <w:alias w:val="Contents"/>
      </w:sdtPr>
      <w:sdtContent>
        <w:p>
          <w:r>
            <w:fldChar w:fldCharType="begin" w:dirty="true"/>
            <w:instrText xml:space="preserve">TOC \h \o "1-1"</w:instrText>
            <w:fldChar w:fldCharType="separate"/>
          </w:r>
        </w:p>
        <w:p>
          <w:r>
            <w:fldChar w:fldCharType="end"/>
          </w:r>
        </w:p>
      </w:sdtContent>
    </w:sdt>
    <w:p>
      <w:pPr>
        <w:pStyle w:val="Heading1"/>
        <w:pageBreakBefore/>
        <w:spacing w:after="140" w:before="280"/>
      </w:pPr>
      <w:r>
        <w:rPr>
          <w:b/>
          <w:bCs/>
          <w:color w:val="0F3D34"/>
          <w:sz w:val="30"/>
          <w:szCs w:val="30"/>
        </w:rPr>
        <w:t xml:space="preserve">Problem Statement</w:t>
      </w:r>
    </w:p>
    <w:p>
      <w:pPr>
        <w:spacing w:after="160"/>
        <w:jc w:val="both"/>
      </w:pPr>
      <w:r>
        <w:rPr>
          <w:sz w:val="22"/>
          <w:szCs w:val="22"/>
        </w:rPr>
        <w:t xml:space="preserve">This chapter explains why persons with disabilities (PwDs) in Angara block remain economically dependent and largely outside the entitlements the State has created for them. It also explains why this will not change unless someone deliberately intervenes. The Angara PwD Sangathan already exists, and its 1,000 members have organised themselves without outside direction. Social organisation has not become economic security or secured entitlements. To understand that gap, the analysis examines the geography, the livelihood system, the documentation barrier, the cost of disability, the health and nutrition setting, gender, education, the community structure and the agro-ecology of the block. Each dimension reinforces the others.</w:t>
      </w:r>
    </w:p>
    <w:p>
      <w:pPr>
        <w:spacing w:after="100" w:before="200"/>
      </w:pPr>
      <w:r>
        <w:rPr>
          <w:b/>
          <w:bCs/>
          <w:color w:val="0F6E5C"/>
          <w:sz w:val="24"/>
          <w:szCs w:val="24"/>
        </w:rPr>
        <w:t xml:space="preserve">Geographic and Administrative Context: A Tribal, Rural Block in an Aspirational District</w:t>
      </w:r>
    </w:p>
    <w:p>
      <w:pPr>
        <w:spacing w:after="160"/>
        <w:jc w:val="both"/>
      </w:pPr>
      <w:r>
        <w:rPr>
          <w:sz w:val="22"/>
          <w:szCs w:val="22"/>
        </w:rPr>
        <w:t xml:space="preserve">Angara is a fully rural block of Ranchi district. It has 1,12,759 people across 83 villages. Of these, 55.05% belong to Scheduled Tribes and 7.85% to Scheduled Castes </w:t>
      </w:r>
      <w:r>
        <w:rPr>
          <w:color w:val="0F6E5C"/>
          <w:sz w:val="16"/>
          <w:szCs w:val="16"/>
          <w:vertAlign w:val="superscript"/>
        </w:rPr>
        <w:t xml:space="preserve">[S9]</w:t>
      </w:r>
      <w:r>
        <w:rPr>
          <w:sz w:val="22"/>
          <w:szCs w:val="22"/>
        </w:rPr>
        <w:t xml:space="preserve">. These figures come from Census 2011 and will be verified against the District Census Handbook. Even so, they establish that more than six in ten residents belong to communities that have historically had the weakest access to public services and formal institutions.</w:t>
      </w:r>
    </w:p>
    <w:p>
      <w:pPr>
        <w:spacing w:after="160"/>
        <w:jc w:val="both"/>
      </w:pPr>
      <w:r>
        <w:rPr>
          <w:sz w:val="22"/>
          <w:szCs w:val="22"/>
        </w:rPr>
        <w:t xml:space="preserve">Ranchi is on NITI Aayog's official list of 112 Aspirational Districts, at serial number 55 </w:t>
      </w:r>
      <w:r>
        <w:rPr>
          <w:color w:val="0F6E5C"/>
          <w:sz w:val="16"/>
          <w:szCs w:val="16"/>
          <w:vertAlign w:val="superscript"/>
        </w:rPr>
        <w:t xml:space="preserve">[S12]</w:t>
      </w:r>
      <w:r>
        <w:rPr>
          <w:sz w:val="22"/>
          <w:szCs w:val="22"/>
        </w:rPr>
        <w:t xml:space="preserve">. Ranchi district as a whole performs better than districts such as Pakur and Sahebganj. Within Jharkhand, however, multidimensional deprivation is concentrated in rural and tribal areas </w:t>
      </w:r>
      <w:r>
        <w:rPr>
          <w:color w:val="0F6E5C"/>
          <w:sz w:val="16"/>
          <w:szCs w:val="16"/>
          <w:vertAlign w:val="superscript"/>
        </w:rPr>
        <w:t xml:space="preserve">[S13][S33]</w:t>
      </w:r>
      <w:r>
        <w:rPr>
          <w:sz w:val="22"/>
          <w:szCs w:val="22"/>
        </w:rPr>
        <w:t xml:space="preserve">. District averages therefore hide places like Angara. The presence of the state capital within the district does not mean that the medical boards, the District Disability Rehabilitation Centre (DDRC) or scheme offices are within practical reach of a PwD in a remote village. For many PwDs, distance is not an inconvenience. It is often the barrier that decides whether they approach the system at all.</w:t>
      </w:r>
    </w:p>
    <w:p>
      <w:pPr>
        <w:spacing w:after="100" w:before="200"/>
      </w:pPr>
      <w:r>
        <w:rPr>
          <w:b/>
          <w:bCs/>
          <w:color w:val="0F6E5C"/>
          <w:sz w:val="24"/>
          <w:szCs w:val="24"/>
        </w:rPr>
        <w:t xml:space="preserve">Disability in Rural India: Scale, Distribution and Trajectory</w:t>
      </w:r>
    </w:p>
    <w:p>
      <w:pPr>
        <w:spacing w:after="160"/>
        <w:jc w:val="both"/>
      </w:pPr>
      <w:r>
        <w:rPr>
          <w:sz w:val="22"/>
          <w:szCs w:val="22"/>
        </w:rPr>
        <w:t xml:space="preserve">Census 2011 counted about 2.68 crore persons with disabilities in India </w:t>
      </w:r>
      <w:r>
        <w:rPr>
          <w:color w:val="0F6E5C"/>
          <w:sz w:val="16"/>
          <w:szCs w:val="16"/>
          <w:vertAlign w:val="superscript"/>
        </w:rPr>
        <w:t xml:space="preserve">[S1]</w:t>
      </w:r>
      <w:r>
        <w:rPr>
          <w:sz w:val="22"/>
          <w:szCs w:val="22"/>
        </w:rPr>
        <w:t xml:space="preserve">. Around 70% of them live in rural areas, and age-standardised prevalence is higher among women, rural residents, Scheduled Tribes and Scheduled Castes </w:t>
      </w:r>
      <w:r>
        <w:rPr>
          <w:color w:val="0F6E5C"/>
          <w:sz w:val="16"/>
          <w:szCs w:val="16"/>
          <w:vertAlign w:val="superscript"/>
        </w:rPr>
        <w:t xml:space="preserve">[S2]</w:t>
      </w:r>
      <w:r>
        <w:rPr>
          <w:sz w:val="22"/>
          <w:szCs w:val="22"/>
        </w:rPr>
        <w:t xml:space="preserve">. Angara sits where every one of these risk factors meets: it is entirely rural, predominantly tribal, and has a significant Scheduled Caste population.</w:t>
      </w:r>
    </w:p>
    <w:p>
      <w:pPr>
        <w:spacing w:after="160"/>
        <w:jc w:val="both"/>
      </w:pPr>
      <w:r>
        <w:rPr>
          <w:sz w:val="22"/>
          <w:szCs w:val="22"/>
        </w:rPr>
        <w:t xml:space="preserve">The NSS 76th Round (2018) found national disability prevalence of 2.2%, and 2.3% in rural areas </w:t>
      </w:r>
      <w:r>
        <w:rPr>
          <w:color w:val="0F6E5C"/>
          <w:sz w:val="16"/>
          <w:szCs w:val="16"/>
          <w:vertAlign w:val="superscript"/>
        </w:rPr>
        <w:t xml:space="preserve">[S4]</w:t>
      </w:r>
      <w:r>
        <w:rPr>
          <w:sz w:val="22"/>
          <w:szCs w:val="22"/>
        </w:rPr>
        <w:t xml:space="preserve">. Rural prevalence has risen across NSS rounds, from 1.8% in 1981 to 2.3% in 2018 </w:t>
      </w:r>
      <w:r>
        <w:rPr>
          <w:color w:val="0F6E5C"/>
          <w:sz w:val="16"/>
          <w:szCs w:val="16"/>
          <w:vertAlign w:val="superscript"/>
        </w:rPr>
        <w:t xml:space="preserve">[S17]</w:t>
      </w:r>
      <w:r>
        <w:rPr>
          <w:sz w:val="22"/>
          <w:szCs w:val="22"/>
        </w:rPr>
        <w:t xml:space="preserve">. The issue is therefore growing, not shrinking. Jharkhand accounted for 2.87% of India's disabled population in Census 2011 </w:t>
      </w:r>
      <w:r>
        <w:rPr>
          <w:color w:val="0F6E5C"/>
          <w:sz w:val="16"/>
          <w:szCs w:val="16"/>
          <w:vertAlign w:val="superscript"/>
        </w:rPr>
        <w:t xml:space="preserve">[S3]</w:t>
      </w:r>
      <w:r>
        <w:rPr>
          <w:sz w:val="22"/>
          <w:szCs w:val="22"/>
        </w:rPr>
        <w:t xml:space="preserve">. That figure is a share of the national total, not the prevalence within the state. This proposal will not estimate block prevalence from it. State, district and block figures will be established from Census Table C-20. Locally, what is known is the Sangathan's membership of 1,000. What is not known, and what the baseline must establish, is how many of these members hold a UDID or certificate, receive a pension, own an assistive device or earn any income of their own.</w:t>
      </w:r>
    </w:p>
    <w:p>
      <w:pPr>
        <w:spacing w:after="100" w:before="200"/>
      </w:pPr>
      <w:r>
        <w:rPr>
          <w:b/>
          <w:bCs/>
          <w:color w:val="0F6E5C"/>
          <w:sz w:val="24"/>
          <w:szCs w:val="24"/>
        </w:rPr>
        <w:t xml:space="preserve">The Economic and Livelihoods Dimension: Dependence Built into the Farming System</w:t>
      </w:r>
    </w:p>
    <w:p>
      <w:pPr>
        <w:spacing w:after="160"/>
        <w:jc w:val="both"/>
      </w:pPr>
      <w:r>
        <w:rPr>
          <w:sz w:val="22"/>
          <w:szCs w:val="22"/>
        </w:rPr>
        <w:t xml:space="preserve">Only 11.03% of cultivable land in Angara is irrigated, so farming is largely rain-fed and limited to a single season </w:t>
      </w:r>
      <w:r>
        <w:rPr>
          <w:color w:val="0F6E5C"/>
          <w:sz w:val="16"/>
          <w:szCs w:val="16"/>
          <w:vertAlign w:val="superscript"/>
        </w:rPr>
        <w:t xml:space="preserve">[S9]</w:t>
      </w:r>
      <w:r>
        <w:rPr>
          <w:sz w:val="22"/>
          <w:szCs w:val="22"/>
        </w:rPr>
        <w:t xml:space="preserve">. This fact shapes how disability plays out economically.</w:t>
      </w:r>
    </w:p>
    <w:p>
      <w:pPr>
        <w:spacing w:after="160"/>
        <w:jc w:val="both"/>
      </w:pPr>
      <w:r>
        <w:rPr>
          <w:sz w:val="22"/>
          <w:szCs w:val="22"/>
        </w:rPr>
        <w:t xml:space="preserve">Rain-fed field agriculture needs heavy physical labour in concentrated bursts: ploughing, transplanting, weeding and harvesting, often on distant or uneven plots. Sangathan leaders report that members depend on able-bodied family members for field agriculture. When the main economic activity of a household is one a PwD cannot perform alone, three things follow:</w:t>
      </w:r>
    </w:p>
    <w:p>
      <w:pPr>
        <w:pStyle w:val="ListParagraph"/>
        <w:numPr>
          <w:ilvl w:val="0"/>
          <w:numId w:val="1"/>
        </w:numPr>
        <w:spacing w:after="60"/>
      </w:pPr>
      <w:r>
        <w:rPr>
          <w:b/>
          <w:bCs/>
          <w:sz w:val="22"/>
          <w:szCs w:val="22"/>
        </w:rPr>
        <w:t xml:space="preserve">Contribution becomes invisible.</w:t>
      </w:r>
      <w:r>
        <w:rPr>
          <w:sz w:val="22"/>
          <w:szCs w:val="22"/>
        </w:rPr>
        <w:t xml:space="preserve"> Any contribution the PwD makes is folded into the family's output.</w:t>
      </w:r>
    </w:p>
    <w:p>
      <w:pPr>
        <w:pStyle w:val="ListParagraph"/>
        <w:numPr>
          <w:ilvl w:val="0"/>
          <w:numId w:val="1"/>
        </w:numPr>
        <w:spacing w:after="60"/>
      </w:pPr>
      <w:r>
        <w:rPr>
          <w:b/>
          <w:bCs/>
          <w:sz w:val="22"/>
          <w:szCs w:val="22"/>
        </w:rPr>
        <w:t xml:space="preserve">Income is controlled by others.</w:t>
      </w:r>
      <w:r>
        <w:rPr>
          <w:sz w:val="22"/>
          <w:szCs w:val="22"/>
        </w:rPr>
        <w:t xml:space="preserve"> Any income is decided on by someone else.</w:t>
      </w:r>
    </w:p>
    <w:p>
      <w:pPr>
        <w:pStyle w:val="ListParagraph"/>
        <w:numPr>
          <w:ilvl w:val="0"/>
          <w:numId w:val="1"/>
        </w:numPr>
        <w:spacing w:after="60"/>
      </w:pPr>
      <w:r>
        <w:rPr>
          <w:b/>
          <w:bCs/>
          <w:sz w:val="22"/>
          <w:szCs w:val="22"/>
        </w:rPr>
        <w:t xml:space="preserve">Dependence becomes structural.</w:t>
      </w:r>
      <w:r>
        <w:rPr>
          <w:sz w:val="22"/>
          <w:szCs w:val="22"/>
        </w:rPr>
        <w:t xml:space="preserve"> The PwD's position in the household rests on the goodwill of others rather than on their own economic role.</w:t>
      </w:r>
    </w:p>
    <w:p>
      <w:pPr>
        <w:spacing w:after="160"/>
        <w:jc w:val="both"/>
      </w:pPr>
      <w:r>
        <w:rPr>
          <w:sz w:val="22"/>
          <w:szCs w:val="22"/>
        </w:rPr>
        <w:t xml:space="preserve">The draft figure of three to five acres of landholding is unverified and will be measured at baseline. The argument does not depend on landholding size, however. Even a household with land offers the PwD little independent income if the only activity is field work they cannot do.</w:t>
      </w:r>
    </w:p>
    <w:p>
      <w:pPr>
        <w:spacing w:after="160"/>
        <w:jc w:val="both"/>
      </w:pPr>
      <w:r>
        <w:rPr>
          <w:sz w:val="22"/>
          <w:szCs w:val="22"/>
        </w:rPr>
        <w:t xml:space="preserve">Because farming covers only one season, the household economy is exposed for much of the year. Where able-bodied members seek wage work away from the village during the lean months, the PwD who depends on them may lose support precisely when it is most needed. Field data from the baseline would sharpen this point for Angara, and we make no local claim about it here. The underlying logic points to activities close to the home that a PwD can run alone, all year round. This is the case for homestead enterprises.</w:t>
      </w:r>
    </w:p>
    <w:p>
      <w:pPr>
        <w:spacing w:after="100" w:before="200"/>
      </w:pPr>
      <w:r>
        <w:rPr>
          <w:b/>
          <w:bCs/>
          <w:color w:val="0F6E5C"/>
          <w:sz w:val="24"/>
          <w:szCs w:val="24"/>
        </w:rPr>
        <w:t xml:space="preserve">Documentation: The Gateway Most PwDs Never Pass Through</w:t>
      </w:r>
    </w:p>
    <w:p>
      <w:pPr>
        <w:spacing w:after="160"/>
        <w:jc w:val="both"/>
      </w:pPr>
      <w:r>
        <w:rPr>
          <w:sz w:val="22"/>
          <w:szCs w:val="22"/>
        </w:rPr>
        <w:t xml:space="preserve">Only 28.8% of PwDs in India hold a disability certificate, so about seven in ten have none </w:t>
      </w:r>
      <w:r>
        <w:rPr>
          <w:color w:val="0F6E5C"/>
          <w:sz w:val="16"/>
          <w:szCs w:val="16"/>
          <w:vertAlign w:val="superscript"/>
        </w:rPr>
        <w:t xml:space="preserve">[S4][S5]</w:t>
      </w:r>
      <w:r>
        <w:rPr>
          <w:sz w:val="22"/>
          <w:szCs w:val="22"/>
        </w:rPr>
        <w:t xml:space="preserve">. The certificate, and now the UDID card, is not a formality. It is the key to the disability pension, to free assistive devices and to priority in other schemes. A PwD without it is invisible to every entitlement that depends on it.</w:t>
      </w:r>
    </w:p>
    <w:p>
      <w:pPr>
        <w:spacing w:after="160"/>
        <w:jc w:val="both"/>
      </w:pPr>
      <w:r>
        <w:rPr>
          <w:sz w:val="22"/>
          <w:szCs w:val="22"/>
        </w:rPr>
        <w:t xml:space="preserve">Certification is lower for women with disabilities (24.1%) than for men (32.4%) </w:t>
      </w:r>
      <w:r>
        <w:rPr>
          <w:color w:val="0F6E5C"/>
          <w:sz w:val="16"/>
          <w:szCs w:val="16"/>
          <w:vertAlign w:val="superscript"/>
        </w:rPr>
        <w:t xml:space="preserve">[S6]</w:t>
      </w:r>
      <w:r>
        <w:rPr>
          <w:sz w:val="22"/>
          <w:szCs w:val="22"/>
        </w:rPr>
        <w:t xml:space="preserve">. Secondary analysis, used here as context only, finds that poorer and less-educated PwDs are less likely to hold certificates </w:t>
      </w:r>
      <w:r>
        <w:rPr>
          <w:color w:val="0F6E5C"/>
          <w:sz w:val="16"/>
          <w:szCs w:val="16"/>
          <w:vertAlign w:val="superscript"/>
        </w:rPr>
        <w:t xml:space="preserve">[S7]</w:t>
      </w:r>
      <w:r>
        <w:rPr>
          <w:sz w:val="22"/>
          <w:szCs w:val="22"/>
        </w:rPr>
        <w:t xml:space="preserve">. The pattern is regressive: those who most need the support are the least likely to have the document that unlocks it.</w:t>
      </w:r>
    </w:p>
    <w:p>
      <w:pPr>
        <w:spacing w:after="160"/>
        <w:jc w:val="both"/>
      </w:pPr>
      <w:r>
        <w:rPr>
          <w:sz w:val="22"/>
          <w:szCs w:val="22"/>
        </w:rPr>
        <w:t xml:space="preserve">Several practical barriers explain why. Certification means:</w:t>
      </w:r>
    </w:p>
    <w:p>
      <w:pPr>
        <w:pStyle w:val="ListParagraph"/>
        <w:numPr>
          <w:ilvl w:val="0"/>
          <w:numId w:val="1"/>
        </w:numPr>
        <w:spacing w:after="60"/>
      </w:pPr>
      <w:r>
        <w:rPr>
          <w:sz w:val="22"/>
          <w:szCs w:val="22"/>
        </w:rPr>
        <w:t xml:space="preserve">reaching a medical board;</w:t>
      </w:r>
    </w:p>
    <w:p>
      <w:pPr>
        <w:pStyle w:val="ListParagraph"/>
        <w:numPr>
          <w:ilvl w:val="0"/>
          <w:numId w:val="1"/>
        </w:numPr>
        <w:spacing w:after="60"/>
      </w:pPr>
      <w:r>
        <w:rPr>
          <w:sz w:val="22"/>
          <w:szCs w:val="22"/>
        </w:rPr>
        <w:t xml:space="preserve">assembling identity and bank documents;</w:t>
      </w:r>
    </w:p>
    <w:p>
      <w:pPr>
        <w:pStyle w:val="ListParagraph"/>
        <w:numPr>
          <w:ilvl w:val="0"/>
          <w:numId w:val="1"/>
        </w:numPr>
        <w:spacing w:after="60"/>
      </w:pPr>
      <w:r>
        <w:rPr>
          <w:sz w:val="22"/>
          <w:szCs w:val="22"/>
        </w:rPr>
        <w:t xml:space="preserve">navigating an online portal;</w:t>
      </w:r>
    </w:p>
    <w:p>
      <w:pPr>
        <w:pStyle w:val="ListParagraph"/>
        <w:numPr>
          <w:ilvl w:val="0"/>
          <w:numId w:val="1"/>
        </w:numPr>
        <w:spacing w:after="60"/>
      </w:pPr>
      <w:r>
        <w:rPr>
          <w:sz w:val="22"/>
          <w:szCs w:val="22"/>
        </w:rPr>
        <w:t xml:space="preserve">often making repeat visits.</w:t>
      </w:r>
    </w:p>
    <w:p>
      <w:pPr>
        <w:spacing w:after="160"/>
        <w:jc w:val="both"/>
      </w:pPr>
      <w:r>
        <w:rPr>
          <w:sz w:val="22"/>
          <w:szCs w:val="22"/>
        </w:rPr>
        <w:t xml:space="preserve">Each step costs money, time and the help of an escort. The problem is compounded by uncertainty. Jharkhand's December 2025 announcement abolishing percentage-based disability categorisation has been reported, but no government resolution has been found </w:t>
      </w:r>
      <w:r>
        <w:rPr>
          <w:color w:val="0F6E5C"/>
          <w:sz w:val="16"/>
          <w:szCs w:val="16"/>
          <w:vertAlign w:val="superscript"/>
        </w:rPr>
        <w:t xml:space="preserve">[S20]</w:t>
      </w:r>
      <w:r>
        <w:rPr>
          <w:sz w:val="22"/>
          <w:szCs w:val="22"/>
        </w:rPr>
        <w:t xml:space="preserve">. How it interacts with the 40% threshold for the state pension is unverified. For a PwD in a village, such announcements add confusion rather than clarity. Reliable, rule-based counselling is scarce.</w:t>
      </w:r>
    </w:p>
    <w:p>
      <w:pPr>
        <w:spacing w:after="100" w:before="200"/>
      </w:pPr>
      <w:r>
        <w:rPr>
          <w:b/>
          <w:bCs/>
          <w:color w:val="0F6E5C"/>
          <w:sz w:val="24"/>
          <w:szCs w:val="24"/>
        </w:rPr>
        <w:t xml:space="preserve">Entitlements That Exist on Paper but Not in Hand</w:t>
      </w:r>
    </w:p>
    <w:p>
      <w:pPr>
        <w:spacing w:after="160"/>
        <w:jc w:val="both"/>
      </w:pPr>
      <w:r>
        <w:rPr>
          <w:sz w:val="22"/>
          <w:szCs w:val="22"/>
        </w:rPr>
        <w:t xml:space="preserve">The entitlement architecture is substantial:</w:t>
      </w:r>
    </w:p>
    <w:p>
      <w:pPr>
        <w:pStyle w:val="ListParagraph"/>
        <w:numPr>
          <w:ilvl w:val="0"/>
          <w:numId w:val="1"/>
        </w:numPr>
        <w:spacing w:after="60"/>
      </w:pPr>
      <w:r>
        <w:rPr>
          <w:b/>
          <w:bCs/>
          <w:sz w:val="22"/>
          <w:szCs w:val="22"/>
        </w:rPr>
        <w:t xml:space="preserve">Disability pension.</w:t>
      </w:r>
      <w:r>
        <w:rPr>
          <w:sz w:val="22"/>
          <w:szCs w:val="22"/>
        </w:rPr>
        <w:t xml:space="preserve"> The Swami Vivekananda Nishakt Swavalamban Protsahan Yojana (SVNSPY) is reported to pay Rs 1,000 a month to certificate holders with 40% or more disability, with rate and criteria to be verified </w:t>
      </w:r>
      <w:r>
        <w:rPr>
          <w:color w:val="0F6E5C"/>
          <w:sz w:val="16"/>
          <w:szCs w:val="16"/>
          <w:vertAlign w:val="superscript"/>
        </w:rPr>
        <w:t xml:space="preserve">[S18][S19]</w:t>
      </w:r>
      <w:r>
        <w:rPr>
          <w:sz w:val="22"/>
          <w:szCs w:val="22"/>
        </w:rPr>
        <w:t xml:space="preserve">.</w:t>
      </w:r>
    </w:p>
    <w:p>
      <w:pPr>
        <w:pStyle w:val="ListParagraph"/>
        <w:numPr>
          <w:ilvl w:val="0"/>
          <w:numId w:val="1"/>
        </w:numPr>
        <w:spacing w:after="60"/>
      </w:pPr>
      <w:r>
        <w:rPr>
          <w:b/>
          <w:bCs/>
          <w:sz w:val="22"/>
          <w:szCs w:val="22"/>
        </w:rPr>
        <w:t xml:space="preserve">Assistive devices.</w:t>
      </w:r>
      <w:r>
        <w:rPr>
          <w:sz w:val="22"/>
          <w:szCs w:val="22"/>
        </w:rPr>
        <w:t xml:space="preserve"> The ADIP scheme provides a 100% free device where monthly income is up to Rs 22,500, and pays Rs 250 transport per PwD to attend camps </w:t>
      </w:r>
      <w:r>
        <w:rPr>
          <w:color w:val="0F6E5C"/>
          <w:sz w:val="16"/>
          <w:szCs w:val="16"/>
          <w:vertAlign w:val="superscript"/>
        </w:rPr>
        <w:t xml:space="preserve">[S21][S22][S23]</w:t>
      </w:r>
      <w:r>
        <w:rPr>
          <w:sz w:val="22"/>
          <w:szCs w:val="22"/>
        </w:rPr>
        <w:t xml:space="preserve">.</w:t>
      </w:r>
    </w:p>
    <w:p>
      <w:pPr>
        <w:pStyle w:val="ListParagraph"/>
        <w:numPr>
          <w:ilvl w:val="0"/>
          <w:numId w:val="1"/>
        </w:numPr>
        <w:spacing w:after="60"/>
      </w:pPr>
      <w:r>
        <w:rPr>
          <w:b/>
          <w:bCs/>
          <w:sz w:val="22"/>
          <w:szCs w:val="22"/>
        </w:rPr>
        <w:t xml:space="preserve">Poultry and goat units.</w:t>
      </w:r>
      <w:r>
        <w:rPr>
          <w:sz w:val="22"/>
          <w:szCs w:val="22"/>
        </w:rPr>
        <w:t xml:space="preserve"> The state's Mukhyamantri Pashudhan Vikas Yojana (MPVY) offers units, with a goat unit of 4 female and 1 male Black Bengal goats and priority for women and destitute widows from BPL families </w:t>
      </w:r>
      <w:r>
        <w:rPr>
          <w:color w:val="0F6E5C"/>
          <w:sz w:val="16"/>
          <w:szCs w:val="16"/>
          <w:vertAlign w:val="superscript"/>
        </w:rPr>
        <w:t xml:space="preserve">[S26]</w:t>
      </w:r>
      <w:r>
        <w:rPr>
          <w:sz w:val="22"/>
          <w:szCs w:val="22"/>
        </w:rPr>
        <w:t xml:space="preserve">.</w:t>
      </w:r>
    </w:p>
    <w:p>
      <w:pPr>
        <w:pStyle w:val="ListParagraph"/>
        <w:numPr>
          <w:ilvl w:val="0"/>
          <w:numId w:val="1"/>
        </w:numPr>
        <w:spacing w:after="60"/>
      </w:pPr>
      <w:r>
        <w:rPr>
          <w:b/>
          <w:bCs/>
          <w:sz w:val="22"/>
          <w:szCs w:val="22"/>
        </w:rPr>
        <w:t xml:space="preserve">Certification.</w:t>
      </w:r>
      <w:r>
        <w:rPr>
          <w:sz w:val="22"/>
          <w:szCs w:val="22"/>
        </w:rPr>
        <w:t xml:space="preserve"> UDID applications run through the Swavlamban portal with the DDRC and medical boards </w:t>
      </w:r>
      <w:r>
        <w:rPr>
          <w:color w:val="0F6E5C"/>
          <w:sz w:val="16"/>
          <w:szCs w:val="16"/>
          <w:vertAlign w:val="superscript"/>
        </w:rPr>
        <w:t xml:space="preserve">[S24]</w:t>
      </w:r>
      <w:r>
        <w:rPr>
          <w:sz w:val="22"/>
          <w:szCs w:val="22"/>
        </w:rPr>
        <w:t xml:space="preserve">.</w:t>
      </w:r>
    </w:p>
    <w:p>
      <w:pPr>
        <w:spacing w:after="160"/>
        <w:jc w:val="both"/>
      </w:pPr>
      <w:r>
        <w:rPr>
          <w:sz w:val="22"/>
          <w:szCs w:val="22"/>
        </w:rPr>
        <w:t xml:space="preserve">The gap is not in policy design but in conversion. An application must be filed, followed up, sanctioned and finally credited. Without someone who tracks each case and escalates stalled ones, applications stop at the first delay. Renewals such as pension life certificates and temporary UDIDs lapse without anyone noticing. No member-level data exists in Angara on UDID, certificate, pension or device status. The Sangathan therefore cannot yet say which of its members are excluded or why.</w:t>
      </w:r>
    </w:p>
    <w:p>
      <w:pPr>
        <w:spacing w:after="100" w:before="200"/>
      </w:pPr>
      <w:r>
        <w:rPr>
          <w:b/>
          <w:bCs/>
          <w:color w:val="0F6E5C"/>
          <w:sz w:val="24"/>
          <w:szCs w:val="24"/>
        </w:rPr>
        <w:t xml:space="preserve">The Cost of Disability and the Health Dimension</w:t>
      </w:r>
    </w:p>
    <w:p>
      <w:pPr>
        <w:spacing w:after="160"/>
        <w:jc w:val="both"/>
      </w:pPr>
      <w:r>
        <w:rPr>
          <w:sz w:val="22"/>
          <w:szCs w:val="22"/>
        </w:rPr>
        <w:t xml:space="preserve">Disability pushes households into poverty. Analysis of NSS 76th Round data shows that:</w:t>
      </w:r>
    </w:p>
    <w:p>
      <w:pPr>
        <w:pStyle w:val="ListParagraph"/>
        <w:numPr>
          <w:ilvl w:val="0"/>
          <w:numId w:val="1"/>
        </w:numPr>
        <w:spacing w:after="60"/>
      </w:pPr>
      <w:r>
        <w:rPr>
          <w:sz w:val="22"/>
          <w:szCs w:val="22"/>
        </w:rPr>
        <w:t xml:space="preserve">57.1% of households with a disabled member face catastrophic health expenditure at a 10% threshold;</w:t>
      </w:r>
    </w:p>
    <w:p>
      <w:pPr>
        <w:pStyle w:val="ListParagraph"/>
        <w:numPr>
          <w:ilvl w:val="0"/>
          <w:numId w:val="1"/>
        </w:numPr>
        <w:spacing w:after="60"/>
      </w:pPr>
      <w:r>
        <w:rPr>
          <w:sz w:val="22"/>
          <w:szCs w:val="22"/>
        </w:rPr>
        <w:t xml:space="preserve">19.1% of households above the poverty line are pushed below it;</w:t>
      </w:r>
    </w:p>
    <w:p>
      <w:pPr>
        <w:pStyle w:val="ListParagraph"/>
        <w:numPr>
          <w:ilvl w:val="0"/>
          <w:numId w:val="1"/>
        </w:numPr>
        <w:spacing w:after="60"/>
      </w:pPr>
      <w:r>
        <w:rPr>
          <w:sz w:val="22"/>
          <w:szCs w:val="22"/>
        </w:rPr>
        <w:t xml:space="preserve">out-of-pocket disability spending takes about 20.32% of monthly consumption expenditure </w:t>
      </w:r>
      <w:r>
        <w:rPr>
          <w:color w:val="0F6E5C"/>
          <w:sz w:val="16"/>
          <w:szCs w:val="16"/>
          <w:vertAlign w:val="superscript"/>
        </w:rPr>
        <w:t xml:space="preserve">[S8]</w:t>
      </w:r>
      <w:r>
        <w:rPr>
          <w:sz w:val="22"/>
          <w:szCs w:val="22"/>
        </w:rPr>
        <w:t xml:space="preserve">.</w:t>
      </w:r>
    </w:p>
    <w:p>
      <w:pPr>
        <w:spacing w:after="160"/>
        <w:jc w:val="both"/>
      </w:pPr>
      <w:r>
        <w:rPr>
          <w:sz w:val="22"/>
          <w:szCs w:val="22"/>
        </w:rPr>
        <w:t xml:space="preserve">In Jharkhand, the incidence of catastrophic health expenditure rose by 51.3% between 2004 and 2014 </w:t>
      </w:r>
      <w:r>
        <w:rPr>
          <w:color w:val="0F6E5C"/>
          <w:sz w:val="16"/>
          <w:szCs w:val="16"/>
          <w:vertAlign w:val="superscript"/>
        </w:rPr>
        <w:t xml:space="preserve">[S16]</w:t>
      </w:r>
      <w:r>
        <w:rPr>
          <w:sz w:val="22"/>
          <w:szCs w:val="22"/>
        </w:rPr>
        <w:t xml:space="preserve">.</w:t>
      </w:r>
    </w:p>
    <w:p>
      <w:pPr>
        <w:spacing w:after="160"/>
        <w:jc w:val="both"/>
      </w:pPr>
      <w:r>
        <w:rPr>
          <w:sz w:val="22"/>
          <w:szCs w:val="22"/>
        </w:rPr>
        <w:t xml:space="preserve">For a household in Angara, this means that one-fifth of what the family spends each month may go to disability-related costs, in a single-season farm economy with little cash income. This is the mechanism that turns disability into household poverty. A pension or a free device therefore does more than help the individual. It relieves pressure on the whole household's budget and reduces the likelihood of distress borrowing or asset sales. This is why entitlement receipt, and not application alone, is the measure that matters.</w:t>
      </w:r>
    </w:p>
    <w:p>
      <w:pPr>
        <w:spacing w:after="100" w:before="200"/>
      </w:pPr>
      <w:r>
        <w:rPr>
          <w:b/>
          <w:bCs/>
          <w:color w:val="0F6E5C"/>
          <w:sz w:val="24"/>
          <w:szCs w:val="24"/>
        </w:rPr>
        <w:t xml:space="preserve">Health and Nutrition: The Wider Deprivation Setting</w:t>
      </w:r>
    </w:p>
    <w:p>
      <w:pPr>
        <w:spacing w:after="160"/>
        <w:jc w:val="both"/>
      </w:pPr>
      <w:r>
        <w:rPr>
          <w:sz w:val="22"/>
          <w:szCs w:val="22"/>
        </w:rPr>
        <w:t xml:space="preserve">The nutrition context of the state and district is severe:</w:t>
      </w:r>
    </w:p>
    <w:p>
      <w:pPr>
        <w:pStyle w:val="ListParagraph"/>
        <w:numPr>
          <w:ilvl w:val="0"/>
          <w:numId w:val="1"/>
        </w:numPr>
        <w:spacing w:after="60"/>
      </w:pPr>
      <w:r>
        <w:rPr>
          <w:sz w:val="22"/>
          <w:szCs w:val="22"/>
        </w:rPr>
        <w:t xml:space="preserve">In Jharkhand, 40% of children under five are stunted and 22% are wasted </w:t>
      </w:r>
      <w:r>
        <w:rPr>
          <w:color w:val="0F6E5C"/>
          <w:sz w:val="16"/>
          <w:szCs w:val="16"/>
          <w:vertAlign w:val="superscript"/>
        </w:rPr>
        <w:t xml:space="preserve">[S10]</w:t>
      </w:r>
      <w:r>
        <w:rPr>
          <w:sz w:val="22"/>
          <w:szCs w:val="22"/>
        </w:rPr>
        <w:t xml:space="preserve">.</w:t>
      </w:r>
    </w:p>
    <w:p>
      <w:pPr>
        <w:pStyle w:val="ListParagraph"/>
        <w:numPr>
          <w:ilvl w:val="0"/>
          <w:numId w:val="1"/>
        </w:numPr>
        <w:spacing w:after="60"/>
      </w:pPr>
      <w:r>
        <w:rPr>
          <w:sz w:val="22"/>
          <w:szCs w:val="22"/>
        </w:rPr>
        <w:t xml:space="preserve">In Ranchi district, 45.9% of pregnant women are anaemic, and only 20% consumed IFA for 180 days </w:t>
      </w:r>
      <w:r>
        <w:rPr>
          <w:color w:val="0F6E5C"/>
          <w:sz w:val="16"/>
          <w:szCs w:val="16"/>
          <w:vertAlign w:val="superscript"/>
        </w:rPr>
        <w:t xml:space="preserve">[S11]</w:t>
      </w:r>
      <w:r>
        <w:rPr>
          <w:sz w:val="22"/>
          <w:szCs w:val="22"/>
        </w:rPr>
        <w:t xml:space="preserve">.</w:t>
      </w:r>
    </w:p>
    <w:p>
      <w:pPr>
        <w:spacing w:after="160"/>
        <w:jc w:val="both"/>
      </w:pPr>
      <w:r>
        <w:rPr>
          <w:sz w:val="22"/>
          <w:szCs w:val="22"/>
        </w:rPr>
        <w:t xml:space="preserve">These figures describe the environment in which PwD households live. Poor maternal and child nutrition belong to the same web of deprivation that shapes preventable impairment and weakens the resilience of families caring for a disabled member. Household nutrition is thin, and disability costs compete with food for scarce cash. Under these conditions, a homestead that produces eggs, mushrooms and vegetables delivers value even when produce is eaten rather than sold. The project counts household consumption as a nutrition gain, not as a failed sale.</w:t>
      </w:r>
    </w:p>
    <w:p>
      <w:pPr>
        <w:spacing w:after="160"/>
        <w:jc w:val="both"/>
      </w:pPr>
      <w:r>
        <w:rPr>
          <w:sz w:val="22"/>
          <w:szCs w:val="22"/>
        </w:rPr>
        <w:t xml:space="preserve">Water access compounds the burden. About 55% of rural households in Jharkhand had functional tap connections in January 2025 </w:t>
      </w:r>
      <w:r>
        <w:rPr>
          <w:color w:val="0F6E5C"/>
          <w:sz w:val="16"/>
          <w:szCs w:val="16"/>
          <w:vertAlign w:val="superscript"/>
        </w:rPr>
        <w:t xml:space="preserve">[S14]</w:t>
      </w:r>
      <w:r>
        <w:rPr>
          <w:sz w:val="22"/>
          <w:szCs w:val="22"/>
        </w:rPr>
        <w:t xml:space="preserve">, against 79.74% nationally by February 2025 </w:t>
      </w:r>
      <w:r>
        <w:rPr>
          <w:color w:val="0F6E5C"/>
          <w:sz w:val="16"/>
          <w:szCs w:val="16"/>
          <w:vertAlign w:val="superscript"/>
        </w:rPr>
        <w:t xml:space="preserve">[S15]</w:t>
      </w:r>
      <w:r>
        <w:rPr>
          <w:sz w:val="22"/>
          <w:szCs w:val="22"/>
        </w:rPr>
        <w:t xml:space="preserve">. Where water must be fetched, a PwD depends even more on others for a basic daily need, and the caregiver carries even more work. Village-level status for the project villages will be taken from the JJM dashboard at baseline </w:t>
      </w:r>
      <w:r>
        <w:rPr>
          <w:color w:val="0F6E5C"/>
          <w:sz w:val="16"/>
          <w:szCs w:val="16"/>
          <w:vertAlign w:val="superscript"/>
        </w:rPr>
        <w:t xml:space="preserve">[S25]</w:t>
      </w:r>
      <w:r>
        <w:rPr>
          <w:sz w:val="22"/>
          <w:szCs w:val="22"/>
        </w:rPr>
        <w:t xml:space="preserve">. This is also a design consideration for water-dependent enterprises such as kitchen gardens.</w:t>
      </w:r>
    </w:p>
    <w:p>
      <w:pPr>
        <w:spacing w:after="100" w:before="200"/>
      </w:pPr>
      <w:r>
        <w:rPr>
          <w:b/>
          <w:bCs/>
          <w:color w:val="0F6E5C"/>
          <w:sz w:val="24"/>
          <w:szCs w:val="24"/>
        </w:rPr>
        <w:t xml:space="preserve">The Gender Dimension: Double Exclusion</w:t>
      </w:r>
    </w:p>
    <w:p>
      <w:pPr>
        <w:spacing w:after="160"/>
        <w:jc w:val="both"/>
      </w:pPr>
      <w:r>
        <w:rPr>
          <w:sz w:val="22"/>
          <w:szCs w:val="22"/>
        </w:rPr>
        <w:t xml:space="preserve">Women with disabilities face disadvantage on two fronts. They are less likely to be certified, at 24.1% against 32.4% for men </w:t>
      </w:r>
      <w:r>
        <w:rPr>
          <w:color w:val="0F6E5C"/>
          <w:sz w:val="16"/>
          <w:szCs w:val="16"/>
          <w:vertAlign w:val="superscript"/>
        </w:rPr>
        <w:t xml:space="preserve">[S6]</w:t>
      </w:r>
      <w:r>
        <w:rPr>
          <w:sz w:val="22"/>
          <w:szCs w:val="22"/>
        </w:rPr>
        <w:t xml:space="preserve">. In Jharkhand, 32% of women aged 15 to 49 have never been to school </w:t>
      </w:r>
      <w:r>
        <w:rPr>
          <w:color w:val="0F6E5C"/>
          <w:sz w:val="16"/>
          <w:szCs w:val="16"/>
          <w:vertAlign w:val="superscript"/>
        </w:rPr>
        <w:t xml:space="preserve">[S10]</w:t>
      </w:r>
      <w:r>
        <w:rPr>
          <w:sz w:val="22"/>
          <w:szCs w:val="22"/>
        </w:rPr>
        <w:t xml:space="preserve">. This lowers their ability to navigate forms, portals and offices.</w:t>
      </w:r>
    </w:p>
    <w:p>
      <w:pPr>
        <w:spacing w:after="160"/>
        <w:jc w:val="both"/>
      </w:pPr>
      <w:r>
        <w:rPr>
          <w:sz w:val="22"/>
          <w:szCs w:val="22"/>
        </w:rPr>
        <w:t xml:space="preserve">Gender also shapes the other side of disability, which is care. 62.1% of PwDs report having a caregiver </w:t>
      </w:r>
      <w:r>
        <w:rPr>
          <w:color w:val="0F6E5C"/>
          <w:sz w:val="16"/>
          <w:szCs w:val="16"/>
          <w:vertAlign w:val="superscript"/>
        </w:rPr>
        <w:t xml:space="preserve">[S6]</w:t>
      </w:r>
      <w:r>
        <w:rPr>
          <w:sz w:val="22"/>
          <w:szCs w:val="22"/>
        </w:rPr>
        <w:t xml:space="preserve">. In most rural households, this responsibility falls largely on women. Their time for paid work shrinks, and the cost of disability spreads beyond the disabled person.</w:t>
      </w:r>
    </w:p>
    <w:p>
      <w:pPr>
        <w:spacing w:after="160"/>
        <w:jc w:val="both"/>
      </w:pPr>
      <w:r>
        <w:rPr>
          <w:sz w:val="22"/>
          <w:szCs w:val="22"/>
        </w:rPr>
        <w:t xml:space="preserve">A woman with a disability who has no document, no schooling and no income of her own has almost no bargaining power inside the household. This is why the project reserves at least half of livelihood places and half of leadership places for women. It is also why it measures who controls income, not just whether income exists.</w:t>
      </w:r>
    </w:p>
    <w:p>
      <w:pPr>
        <w:spacing w:after="100" w:before="200"/>
      </w:pPr>
      <w:r>
        <w:rPr>
          <w:b/>
          <w:bCs/>
          <w:color w:val="0F6E5C"/>
          <w:sz w:val="24"/>
          <w:szCs w:val="24"/>
        </w:rPr>
        <w:t xml:space="preserve">Education and Human Capital</w:t>
      </w:r>
    </w:p>
    <w:p>
      <w:pPr>
        <w:spacing w:after="160"/>
        <w:jc w:val="both"/>
      </w:pPr>
      <w:r>
        <w:rPr>
          <w:sz w:val="22"/>
          <w:szCs w:val="22"/>
        </w:rPr>
        <w:t xml:space="preserve">The link between education and certification </w:t>
      </w:r>
      <w:r>
        <w:rPr>
          <w:color w:val="0F6E5C"/>
          <w:sz w:val="16"/>
          <w:szCs w:val="16"/>
          <w:vertAlign w:val="superscript"/>
        </w:rPr>
        <w:t xml:space="preserve">[S7]</w:t>
      </w:r>
      <w:r>
        <w:rPr>
          <w:sz w:val="22"/>
          <w:szCs w:val="22"/>
        </w:rPr>
        <w:t xml:space="preserve"> and low female schooling in the state </w:t>
      </w:r>
      <w:r>
        <w:rPr>
          <w:color w:val="0F6E5C"/>
          <w:sz w:val="16"/>
          <w:szCs w:val="16"/>
          <w:vertAlign w:val="superscript"/>
        </w:rPr>
        <w:t xml:space="preserve">[S10]</w:t>
      </w:r>
      <w:r>
        <w:rPr>
          <w:sz w:val="22"/>
          <w:szCs w:val="22"/>
        </w:rPr>
        <w:t xml:space="preserve"> together point to a population for whom text-heavy processes are a real barrier. For PwDs with visual, hearing, intellectual or psychosocial disabilities, the barrier is sharper still. Standard training and standard forms assume abilities they may not have.</w:t>
      </w:r>
    </w:p>
    <w:p>
      <w:pPr>
        <w:spacing w:after="160"/>
        <w:jc w:val="both"/>
      </w:pPr>
      <w:r>
        <w:rPr>
          <w:sz w:val="22"/>
          <w:szCs w:val="22"/>
        </w:rPr>
        <w:t xml:space="preserve">Local data on members' education is absent and will come from the baseline. The implication for design is already clear. Training and consent processes must use pictorial, tactile and sign-supported formats, and supported decision-making where needed. Otherwise the project would reproduce the very exclusion it seeks to address.</w:t>
      </w:r>
    </w:p>
    <w:p>
      <w:pPr>
        <w:spacing w:after="100" w:before="200"/>
      </w:pPr>
      <w:r>
        <w:rPr>
          <w:b/>
          <w:bCs/>
          <w:color w:val="0F6E5C"/>
          <w:sz w:val="24"/>
          <w:szCs w:val="24"/>
        </w:rPr>
        <w:t xml:space="preserve">Social and Community Structure: Organised but Unformalised</w:t>
      </w:r>
    </w:p>
    <w:p>
      <w:pPr>
        <w:spacing w:after="160"/>
        <w:jc w:val="both"/>
      </w:pPr>
      <w:r>
        <w:rPr>
          <w:sz w:val="22"/>
          <w:szCs w:val="22"/>
        </w:rPr>
        <w:t xml:space="preserve">Angara's tribal social fabric has produced something of real value: a self-organised Sangathan of 1,000 PwDs. This is rare, and it is the project's greatest asset. However, the Sangathan:</w:t>
      </w:r>
    </w:p>
    <w:p>
      <w:pPr>
        <w:pStyle w:val="ListParagraph"/>
        <w:numPr>
          <w:ilvl w:val="0"/>
          <w:numId w:val="1"/>
        </w:numPr>
        <w:spacing w:after="60"/>
      </w:pPr>
      <w:r>
        <w:rPr>
          <w:sz w:val="22"/>
          <w:szCs w:val="22"/>
        </w:rPr>
        <w:t xml:space="preserve">has no formal structure;</w:t>
      </w:r>
    </w:p>
    <w:p>
      <w:pPr>
        <w:pStyle w:val="ListParagraph"/>
        <w:numPr>
          <w:ilvl w:val="0"/>
          <w:numId w:val="1"/>
        </w:numPr>
        <w:spacing w:after="60"/>
      </w:pPr>
      <w:r>
        <w:rPr>
          <w:sz w:val="22"/>
          <w:szCs w:val="22"/>
        </w:rPr>
        <w:t xml:space="preserve">has no elected governing body;</w:t>
      </w:r>
    </w:p>
    <w:p>
      <w:pPr>
        <w:pStyle w:val="ListParagraph"/>
        <w:numPr>
          <w:ilvl w:val="0"/>
          <w:numId w:val="1"/>
        </w:numPr>
        <w:spacing w:after="60"/>
      </w:pPr>
      <w:r>
        <w:rPr>
          <w:sz w:val="22"/>
          <w:szCs w:val="22"/>
        </w:rPr>
        <w:t xml:space="preserve">has no registration;</w:t>
      </w:r>
    </w:p>
    <w:p>
      <w:pPr>
        <w:pStyle w:val="ListParagraph"/>
        <w:numPr>
          <w:ilvl w:val="0"/>
          <w:numId w:val="1"/>
        </w:numPr>
        <w:spacing w:after="60"/>
      </w:pPr>
      <w:r>
        <w:rPr>
          <w:sz w:val="22"/>
          <w:szCs w:val="22"/>
        </w:rPr>
        <w:t xml:space="preserve">has no tracker or database.</w:t>
      </w:r>
    </w:p>
    <w:p>
      <w:pPr>
        <w:spacing w:after="160"/>
        <w:jc w:val="both"/>
      </w:pPr>
      <w:r>
        <w:rPr>
          <w:sz w:val="22"/>
          <w:szCs w:val="22"/>
        </w:rPr>
        <w:t xml:space="preserve">It cannot open doors with departments as a recognised institution. It cannot receive funds in its own name. It cannot hold records that would let it follow up on members' cases. Its leadership is informal, which leaves it open to capture by a few and to conflict. The collective has social capital without institutional capacity. Unless that capacity is built, the Sangathan cannot carry any gains forward once external support ends.</w:t>
      </w:r>
    </w:p>
    <w:p>
      <w:pPr>
        <w:spacing w:after="100" w:before="200"/>
      </w:pPr>
      <w:r>
        <w:rPr>
          <w:b/>
          <w:bCs/>
          <w:color w:val="0F6E5C"/>
          <w:sz w:val="24"/>
          <w:szCs w:val="24"/>
        </w:rPr>
        <w:t xml:space="preserve">The Agro-Ecological Dimension</w:t>
      </w:r>
    </w:p>
    <w:p>
      <w:pPr>
        <w:spacing w:after="160"/>
        <w:jc w:val="both"/>
      </w:pPr>
      <w:r>
        <w:rPr>
          <w:sz w:val="22"/>
          <w:szCs w:val="22"/>
        </w:rPr>
        <w:t xml:space="preserve">The irrigation figure of 11.03% </w:t>
      </w:r>
      <w:r>
        <w:rPr>
          <w:color w:val="0F6E5C"/>
          <w:sz w:val="16"/>
          <w:szCs w:val="16"/>
          <w:vertAlign w:val="superscript"/>
        </w:rPr>
        <w:t xml:space="preserve">[S9]</w:t>
      </w:r>
      <w:r>
        <w:rPr>
          <w:sz w:val="22"/>
          <w:szCs w:val="22"/>
        </w:rPr>
        <w:t xml:space="preserve"> describes a monsoon-dependent landscape. This shapes livestock and cropping risks directly. Goats distributed during peak monsoon face higher disease risk, which is why the project schedules distribution outside it and only after vaccination. Kitchen gardens need to be designed for limited water, which is why raised beds and watering cans are included. Low-input, compact enterprises such as poultry and mushrooms suit a setting where water and land are constrained. The ecology does not rule out homestead livelihoods, but it demands that they be chosen and timed with care.</w:t>
      </w:r>
    </w:p>
    <w:p>
      <w:pPr>
        <w:spacing w:after="100" w:before="200"/>
      </w:pPr>
      <w:r>
        <w:rPr>
          <w:b/>
          <w:bCs/>
          <w:color w:val="0F6E5C"/>
          <w:sz w:val="24"/>
          <w:szCs w:val="24"/>
        </w:rPr>
        <w:t xml:space="preserve">Why the Situation Persists</w:t>
      </w:r>
    </w:p>
    <w:p>
      <w:pPr>
        <w:spacing w:after="160"/>
        <w:jc w:val="both"/>
      </w:pPr>
      <w:r>
        <w:rPr>
          <w:sz w:val="22"/>
          <w:szCs w:val="22"/>
        </w:rPr>
        <w:t xml:space="preserve">The dimensions above form a closed loop:</w:t>
      </w:r>
    </w:p>
    <w:p>
      <w:pPr>
        <w:spacing w:after="60"/>
        <w:ind w:left="360"/>
      </w:pPr>
      <w:r>
        <w:rPr>
          <w:b/>
          <w:bCs/>
          <w:sz w:val="22"/>
          <w:szCs w:val="22"/>
        </w:rPr>
        <w:t xml:space="preserve">1. </w:t>
      </w:r>
      <w:r>
        <w:rPr>
          <w:sz w:val="22"/>
          <w:szCs w:val="22"/>
        </w:rPr>
        <w:t xml:space="preserve">Rain-fed field agriculture keeps PwDs dependent on family labour.</w:t>
      </w:r>
    </w:p>
    <w:p>
      <w:pPr>
        <w:spacing w:after="60"/>
        <w:ind w:left="360"/>
      </w:pPr>
      <w:r>
        <w:rPr>
          <w:b/>
          <w:bCs/>
          <w:sz w:val="22"/>
          <w:szCs w:val="22"/>
        </w:rPr>
        <w:t xml:space="preserve">2. </w:t>
      </w:r>
      <w:r>
        <w:rPr>
          <w:sz w:val="22"/>
          <w:szCs w:val="22"/>
        </w:rPr>
        <w:t xml:space="preserve">Dependence and low schooling, especially for women, make it harder to obtain certificates.</w:t>
      </w:r>
    </w:p>
    <w:p>
      <w:pPr>
        <w:spacing w:after="60"/>
        <w:ind w:left="360"/>
      </w:pPr>
      <w:r>
        <w:rPr>
          <w:b/>
          <w:bCs/>
          <w:sz w:val="22"/>
          <w:szCs w:val="22"/>
        </w:rPr>
        <w:t xml:space="preserve">3. </w:t>
      </w:r>
      <w:r>
        <w:rPr>
          <w:sz w:val="22"/>
          <w:szCs w:val="22"/>
        </w:rPr>
        <w:t xml:space="preserve">Without certificates, pensions and devices remain out of reach.</w:t>
      </w:r>
    </w:p>
    <w:p>
      <w:pPr>
        <w:spacing w:after="60"/>
        <w:ind w:left="360"/>
      </w:pPr>
      <w:r>
        <w:rPr>
          <w:b/>
          <w:bCs/>
          <w:sz w:val="22"/>
          <w:szCs w:val="22"/>
        </w:rPr>
        <w:t xml:space="preserve">4. </w:t>
      </w:r>
      <w:r>
        <w:rPr>
          <w:sz w:val="22"/>
          <w:szCs w:val="22"/>
        </w:rPr>
        <w:t xml:space="preserve">Without these, disability costs continue to drain household budgets and deepen dependence.</w:t>
      </w:r>
    </w:p>
    <w:p>
      <w:pPr>
        <w:spacing w:after="60"/>
        <w:ind w:left="360"/>
      </w:pPr>
      <w:r>
        <w:rPr>
          <w:b/>
          <w:bCs/>
          <w:sz w:val="22"/>
          <w:szCs w:val="22"/>
        </w:rPr>
        <w:t xml:space="preserve">5. </w:t>
      </w:r>
      <w:r>
        <w:rPr>
          <w:sz w:val="22"/>
          <w:szCs w:val="22"/>
        </w:rPr>
        <w:t xml:space="preserve">The collective that could break this loop has no formal structure through which to act.</w:t>
      </w:r>
    </w:p>
    <w:p>
      <w:pPr>
        <w:spacing w:after="160"/>
        <w:jc w:val="both"/>
      </w:pPr>
      <w:r>
        <w:rPr>
          <w:sz w:val="22"/>
          <w:szCs w:val="22"/>
        </w:rPr>
        <w:t xml:space="preserve">No single scheme resolves this, because each scheme assumes the PwD can already reach it. The loop will not open on its own. Breaking it requires three changes together: an income the PwD controls, documentation that turns into actual benefits, and an institution that sustains both. The next chapter states that change as an objective.</w:t>
      </w:r>
    </w:p>
    <w:p>
      <w:pPr>
        <w:pStyle w:val="Heading1"/>
        <w:pageBreakBefore/>
        <w:spacing w:after="140" w:before="280"/>
      </w:pPr>
      <w:r>
        <w:rPr>
          <w:b/>
          <w:bCs/>
          <w:color w:val="0F3D34"/>
          <w:sz w:val="30"/>
          <w:szCs w:val="30"/>
        </w:rPr>
        <w:t xml:space="preserve">Project Objective</w:t>
      </w:r>
    </w:p>
    <w:p>
      <w:pPr>
        <w:spacing w:after="160"/>
        <w:jc w:val="both"/>
      </w:pPr>
      <w:r>
        <w:rPr>
          <w:sz w:val="22"/>
          <w:szCs w:val="22"/>
        </w:rPr>
        <w:t xml:space="preserve">The problem analysis identified three linked failures: economic dependence, exclusion from entitlements, and a collective without formal structure. The objective addresses all three together, because solving any one alone would leave the loop intact.</w:t>
      </w:r>
    </w:p>
    <w:p>
      <w:pPr>
        <w:spacing w:after="160"/>
        <w:jc w:val="both"/>
      </w:pPr>
      <w:r>
        <w:rPr>
          <w:b/>
          <w:bCs/>
          <w:sz w:val="22"/>
          <w:szCs w:val="22"/>
        </w:rPr>
        <w:t xml:space="preserve">Objective:</w:t>
      </w:r>
      <w:r>
        <w:rPr>
          <w:sz w:val="22"/>
          <w:szCs w:val="22"/>
        </w:rPr>
        <w:t xml:space="preserve"> Within 12 months, members of the Angara PwD Sangathan earn income they control from homestead enterprises, actually receive the disability entitlements they are eligible for, and run a self-governing Sangathan able to continue entitlement follow-up and member support after the project.</w:t>
      </w:r>
    </w:p>
    <w:p>
      <w:pPr>
        <w:spacing w:after="160"/>
        <w:jc w:val="both"/>
      </w:pPr>
      <w:r>
        <w:rPr>
          <w:b/>
          <w:bCs/>
          <w:sz w:val="22"/>
          <w:szCs w:val="22"/>
        </w:rPr>
        <w:t xml:space="preserve">Who the project reaches.</w:t>
      </w:r>
      <w:r>
        <w:rPr>
          <w:sz w:val="22"/>
          <w:szCs w:val="22"/>
        </w:rPr>
        <w:t xml:space="preserve"> The project serves the Sangathan's 1,000 members, who are assumed to be PwDs spread across Angara block. This will be confirmed against the Sangathan's member list. The project works at two tiers:</w:t>
      </w:r>
    </w:p>
    <w:p>
      <w:pPr>
        <w:pStyle w:val="ListParagraph"/>
        <w:numPr>
          <w:ilvl w:val="0"/>
          <w:numId w:val="1"/>
        </w:numPr>
        <w:spacing w:after="60"/>
      </w:pPr>
      <w:r>
        <w:rPr>
          <w:b/>
          <w:bCs/>
          <w:sz w:val="22"/>
          <w:szCs w:val="22"/>
        </w:rPr>
        <w:t xml:space="preserve">Block-wide tier:</w:t>
      </w:r>
    </w:p>
    <w:p>
      <w:pPr>
        <w:pStyle w:val="ListParagraph"/>
        <w:numPr>
          <w:ilvl w:val="0"/>
          <w:numId w:val="1"/>
        </w:numPr>
        <w:spacing w:after="60"/>
      </w:pPr>
      <w:r>
        <w:rPr>
          <w:sz w:val="22"/>
          <w:szCs w:val="22"/>
        </w:rPr>
        <w:t xml:space="preserve">At least 850 consenting members receive a needs assessment.</w:t>
      </w:r>
    </w:p>
    <w:p>
      <w:pPr>
        <w:pStyle w:val="ListParagraph"/>
        <w:numPr>
          <w:ilvl w:val="0"/>
          <w:numId w:val="1"/>
        </w:numPr>
        <w:spacing w:after="60"/>
      </w:pPr>
      <w:r>
        <w:rPr>
          <w:sz w:val="22"/>
          <w:szCs w:val="22"/>
        </w:rPr>
        <w:t xml:space="preserve">At least 500 members with identified gaps receive entitlement facilitation.</w:t>
      </w:r>
    </w:p>
    <w:p>
      <w:pPr>
        <w:pStyle w:val="ListParagraph"/>
        <w:numPr>
          <w:ilvl w:val="0"/>
          <w:numId w:val="1"/>
        </w:numPr>
        <w:spacing w:after="60"/>
      </w:pPr>
      <w:r>
        <w:rPr>
          <w:b/>
          <w:bCs/>
          <w:sz w:val="22"/>
          <w:szCs w:val="22"/>
        </w:rPr>
        <w:t xml:space="preserve">Cluster tier:</w:t>
      </w:r>
    </w:p>
    <w:p>
      <w:pPr>
        <w:pStyle w:val="ListParagraph"/>
        <w:numPr>
          <w:ilvl w:val="0"/>
          <w:numId w:val="1"/>
        </w:numPr>
        <w:spacing w:after="60"/>
      </w:pPr>
      <w:r>
        <w:rPr>
          <w:sz w:val="22"/>
          <w:szCs w:val="22"/>
        </w:rPr>
        <w:t xml:space="preserve">150 PwD households in 10 cluster villages receive homestead livelihood support. These villages will be selected for the highest concentration of members identified in the Month 1 to 3 survey.</w:t>
      </w:r>
    </w:p>
    <w:p>
      <w:pPr>
        <w:pStyle w:val="ListParagraph"/>
        <w:numPr>
          <w:ilvl w:val="0"/>
          <w:numId w:val="1"/>
        </w:numPr>
        <w:spacing w:after="60"/>
      </w:pPr>
      <w:r>
        <w:rPr>
          <w:sz w:val="22"/>
          <w:szCs w:val="22"/>
        </w:rPr>
        <w:t xml:space="preserve">At least 50% of these participants are women with disabilities.</w:t>
      </w:r>
    </w:p>
    <w:p>
      <w:pPr>
        <w:pStyle w:val="ListParagraph"/>
        <w:numPr>
          <w:ilvl w:val="0"/>
          <w:numId w:val="1"/>
        </w:numPr>
        <w:spacing w:after="60"/>
      </w:pPr>
      <w:r>
        <w:rPr>
          <w:sz w:val="22"/>
          <w:szCs w:val="22"/>
        </w:rPr>
        <w:t xml:space="preserve">At least 30% have non-locomotor disabilities.</w:t>
      </w:r>
    </w:p>
    <w:p>
      <w:pPr>
        <w:pStyle w:val="ListParagraph"/>
        <w:numPr>
          <w:ilvl w:val="0"/>
          <w:numId w:val="1"/>
        </w:numPr>
        <w:spacing w:after="60"/>
      </w:pPr>
      <w:r>
        <w:rPr>
          <w:sz w:val="22"/>
          <w:szCs w:val="22"/>
        </w:rPr>
        <w:t xml:space="preserve">Priority goes to the poorest households without pension or income.</w:t>
      </w:r>
    </w:p>
    <w:p>
      <w:pPr>
        <w:pStyle w:val="ListParagraph"/>
        <w:numPr>
          <w:ilvl w:val="0"/>
          <w:numId w:val="1"/>
        </w:numPr>
        <w:spacing w:after="60"/>
      </w:pPr>
      <w:r>
        <w:rPr>
          <w:b/>
          <w:bCs/>
          <w:sz w:val="22"/>
          <w:szCs w:val="22"/>
        </w:rPr>
        <w:t xml:space="preserve">Leadership tier:</w:t>
      </w:r>
    </w:p>
    <w:p>
      <w:pPr>
        <w:pStyle w:val="ListParagraph"/>
        <w:numPr>
          <w:ilvl w:val="0"/>
          <w:numId w:val="1"/>
        </w:numPr>
        <w:spacing w:after="60"/>
      </w:pPr>
      <w:r>
        <w:rPr>
          <w:sz w:val="22"/>
          <w:szCs w:val="22"/>
        </w:rPr>
        <w:t xml:space="preserve">15 to 20 emerging leaders, at least half of them women, are trained to carry the institution forward.</w:t>
      </w:r>
    </w:p>
    <w:p>
      <w:pPr>
        <w:spacing w:after="160"/>
        <w:jc w:val="both"/>
      </w:pPr>
      <w:r>
        <w:rPr>
          <w:b/>
          <w:bCs/>
          <w:sz w:val="22"/>
          <w:szCs w:val="22"/>
        </w:rPr>
        <w:t xml:space="preserve">Timeframe.</w:t>
      </w:r>
      <w:r>
        <w:rPr>
          <w:sz w:val="22"/>
          <w:szCs w:val="22"/>
        </w:rPr>
        <w:t xml:space="preserve"> The project runs for 12 months. Two results follow biological and administrative calendars rather than the project calendar: goat kidding and pass-on, and Sangathan registration. These may complete after Month 12. The Sangathan's own tracker will follow them, and an optional six-month light follow-on is flagged for the donor's consideration.</w:t>
      </w:r>
    </w:p>
    <w:p>
      <w:pPr>
        <w:spacing w:after="160"/>
        <w:jc w:val="both"/>
      </w:pPr>
      <w:r>
        <w:rPr>
          <w:b/>
          <w:bCs/>
          <w:sz w:val="22"/>
          <w:szCs w:val="22"/>
        </w:rPr>
        <w:t xml:space="preserve">Donor fit.</w:t>
      </w:r>
      <w:r>
        <w:rPr>
          <w:sz w:val="22"/>
          <w:szCs w:val="22"/>
        </w:rPr>
        <w:t xml:space="preserve"> The objective fits Usha Martin Foundation's stated CSR priority "Empowering Differently Abled Individuals", alongside Livelihood and Financial Inclusion </w:t>
      </w:r>
      <w:r>
        <w:rPr>
          <w:color w:val="0F6E5C"/>
          <w:sz w:val="16"/>
          <w:szCs w:val="16"/>
          <w:vertAlign w:val="superscript"/>
        </w:rPr>
        <w:t xml:space="preserve">[S32]</w:t>
      </w:r>
      <w:r>
        <w:rPr>
          <w:sz w:val="22"/>
          <w:szCs w:val="22"/>
        </w:rPr>
        <w:t xml:space="preserve">. It also builds on the Foundation's existing investment at Angara through the Skill Training Centre for persons with disabilities.</w:t>
      </w:r>
    </w:p>
    <w:p>
      <w:pPr>
        <w:pStyle w:val="Heading1"/>
        <w:pageBreakBefore/>
        <w:spacing w:after="140" w:before="280"/>
      </w:pPr>
      <w:r>
        <w:rPr>
          <w:b/>
          <w:bCs/>
          <w:color w:val="0F3D34"/>
          <w:sz w:val="30"/>
          <w:szCs w:val="30"/>
        </w:rPr>
        <w:t xml:space="preserve">Operational Strategy</w:t>
      </w:r>
    </w:p>
    <w:p>
      <w:pPr>
        <w:spacing w:after="160"/>
        <w:jc w:val="both"/>
      </w:pPr>
      <w:r>
        <w:rPr>
          <w:sz w:val="22"/>
          <w:szCs w:val="22"/>
        </w:rPr>
        <w:t xml:space="preserve">The objective asks for three changes at once. The strategy explains why this combination, delivered in this way, fits the conditions described in the problem analysis. The approach rests on a clear Theory of Change:</w:t>
      </w:r>
    </w:p>
    <w:p>
      <w:pPr>
        <w:pStyle w:val="ListParagraph"/>
        <w:numPr>
          <w:ilvl w:val="0"/>
          <w:numId w:val="1"/>
        </w:numPr>
        <w:spacing w:after="60"/>
      </w:pPr>
      <w:r>
        <w:rPr>
          <w:b/>
          <w:bCs/>
          <w:sz w:val="22"/>
          <w:szCs w:val="22"/>
        </w:rPr>
        <w:t xml:space="preserve">The situation.</w:t>
      </w:r>
      <w:r>
        <w:rPr>
          <w:sz w:val="22"/>
          <w:szCs w:val="22"/>
        </w:rPr>
        <w:t xml:space="preserve"> PwDs in Angara are socially organised but economically dependent on family, mostly undocumented, and therefore excluded from entitlements. Their collective has no formal structure.</w:t>
      </w:r>
    </w:p>
    <w:p>
      <w:pPr>
        <w:pStyle w:val="ListParagraph"/>
        <w:numPr>
          <w:ilvl w:val="0"/>
          <w:numId w:val="1"/>
        </w:numPr>
        <w:spacing w:after="60"/>
      </w:pPr>
      <w:r>
        <w:rPr>
          <w:b/>
          <w:bCs/>
          <w:sz w:val="22"/>
          <w:szCs w:val="22"/>
        </w:rPr>
        <w:t xml:space="preserve">What must change.</w:t>
      </w:r>
      <w:r>
        <w:rPr>
          <w:sz w:val="22"/>
          <w:szCs w:val="22"/>
        </w:rPr>
        <w:t xml:space="preserve"> PwDs need an income source they can run and control alone; documentation that converts into actual benefits; and an institution that keeps both going.</w:t>
      </w:r>
    </w:p>
    <w:p>
      <w:pPr>
        <w:pStyle w:val="ListParagraph"/>
        <w:numPr>
          <w:ilvl w:val="0"/>
          <w:numId w:val="1"/>
        </w:numPr>
        <w:spacing w:after="60"/>
      </w:pPr>
      <w:r>
        <w:rPr>
          <w:b/>
          <w:bCs/>
          <w:sz w:val="22"/>
          <w:szCs w:val="22"/>
        </w:rPr>
        <w:t xml:space="preserve">How change happens.</w:t>
      </w:r>
      <w:r>
        <w:rPr>
          <w:sz w:val="22"/>
          <w:szCs w:val="22"/>
        </w:rPr>
        <w:t xml:space="preserve"> Activities produce outputs, outputs produce outcomes, and outcomes lead to greater self-reliance and entitlement security.</w:t>
      </w:r>
    </w:p>
    <w:p>
      <w:pPr>
        <w:spacing w:after="100" w:before="200"/>
      </w:pPr>
      <w:r>
        <w:rPr>
          <w:b/>
          <w:bCs/>
          <w:color w:val="0F6E5C"/>
          <w:sz w:val="24"/>
          <w:szCs w:val="24"/>
        </w:rPr>
        <w:t xml:space="preserve">Why Homestead Enterprises, Not Field Agriculture</w:t>
      </w:r>
    </w:p>
    <w:p>
      <w:pPr>
        <w:spacing w:after="160"/>
        <w:jc w:val="both"/>
      </w:pPr>
      <w:r>
        <w:rPr>
          <w:sz w:val="22"/>
          <w:szCs w:val="22"/>
        </w:rPr>
        <w:t xml:space="preserve">The central design choice is to build livelihoods around the home rather than the field. Field agriculture continues as a family activity, and the project does not try to change it. Instead, it adds an enterprise that the PwD can run independently. The causal assumption is simple: homestead activities remove the need for others' labour, so the PwD controls the output.</w:t>
      </w:r>
    </w:p>
    <w:p>
      <w:pPr>
        <w:spacing w:after="160"/>
        <w:jc w:val="both"/>
      </w:pPr>
      <w:r>
        <w:rPr>
          <w:sz w:val="22"/>
          <w:szCs w:val="22"/>
        </w:rPr>
        <w:t xml:space="preserve">The four enterprises are matched to different abilities and to Angara's water-scarce ecology:</w:t>
      </w:r>
    </w:p>
    <w:p>
      <w:pPr>
        <w:spacing w:after="160"/>
        <w:jc w:val="both"/>
      </w:pPr>
      <w:r>
        <w:rPr>
          <w:sz w:val="22"/>
          <w:szCs w:val="22"/>
        </w:rPr>
        <w:t xml:space="preserve">| Enterprise | Households | |---|---| | Backyard poultry | 50 | | Goat units | 30 | | Oyster mushroom | 30 | | Raised-bed kitchen gardens | 40 | | </w:t>
      </w:r>
      <w:r>
        <w:rPr>
          <w:b/>
          <w:bCs/>
          <w:sz w:val="22"/>
          <w:szCs w:val="22"/>
        </w:rPr>
        <w:t xml:space="preserve">Total</w:t>
      </w:r>
      <w:r>
        <w:rPr>
          <w:sz w:val="22"/>
          <w:szCs w:val="22"/>
        </w:rPr>
        <w:t xml:space="preserve"> | </w:t>
      </w:r>
      <w:r>
        <w:rPr>
          <w:b/>
          <w:bCs/>
          <w:sz w:val="22"/>
          <w:szCs w:val="22"/>
        </w:rPr>
        <w:t xml:space="preserve">150</w:t>
      </w:r>
      <w:r>
        <w:rPr>
          <w:sz w:val="22"/>
          <w:szCs w:val="22"/>
        </w:rPr>
        <w:t xml:space="preserve"> |</w:t>
      </w:r>
    </w:p>
    <w:p>
      <w:pPr>
        <w:spacing w:after="160"/>
        <w:jc w:val="both"/>
      </w:pPr>
      <w:r>
        <w:rPr>
          <w:sz w:val="22"/>
          <w:szCs w:val="22"/>
        </w:rPr>
        <w:t xml:space="preserve">Each unit is registered in the PwD's own name. Ownership is not symbolic. It is the principal safeguard against family members taking over the new income, a risk the project rates as medium. That safeguard is reinforced by an income-control indicator and by family orientation.</w:t>
      </w:r>
    </w:p>
    <w:p>
      <w:pPr>
        <w:spacing w:after="100" w:before="200"/>
      </w:pPr>
      <w:r>
        <w:rPr>
          <w:b/>
          <w:bCs/>
          <w:color w:val="0F6E5C"/>
          <w:sz w:val="24"/>
          <w:szCs w:val="24"/>
        </w:rPr>
        <w:t xml:space="preserve">Making Enterprises Work Across Disability Types</w:t>
      </w:r>
    </w:p>
    <w:p>
      <w:pPr>
        <w:spacing w:after="160"/>
        <w:jc w:val="both"/>
      </w:pPr>
      <w:r>
        <w:rPr>
          <w:sz w:val="22"/>
          <w:szCs w:val="22"/>
        </w:rPr>
        <w:t xml:space="preserve">A livelihood designed for a person with a locomotor disability does not automatically work for someone who is blind or deaf. The strategy therefore adapts each activity by disability type:</w:t>
      </w:r>
    </w:p>
    <w:p>
      <w:pPr>
        <w:pStyle w:val="ListParagraph"/>
        <w:numPr>
          <w:ilvl w:val="0"/>
          <w:numId w:val="1"/>
        </w:numPr>
        <w:spacing w:after="60"/>
      </w:pPr>
      <w:r>
        <w:rPr>
          <w:b/>
          <w:bCs/>
          <w:sz w:val="22"/>
          <w:szCs w:val="22"/>
        </w:rPr>
        <w:t xml:space="preserve">Visual impairment:</w:t>
      </w:r>
      <w:r>
        <w:rPr>
          <w:sz w:val="22"/>
          <w:szCs w:val="22"/>
        </w:rPr>
        <w:t xml:space="preserve"> tactile-marked mushroom bags and poultry equipment.</w:t>
      </w:r>
    </w:p>
    <w:p>
      <w:pPr>
        <w:pStyle w:val="ListParagraph"/>
        <w:numPr>
          <w:ilvl w:val="0"/>
          <w:numId w:val="1"/>
        </w:numPr>
        <w:spacing w:after="60"/>
      </w:pPr>
      <w:r>
        <w:rPr>
          <w:b/>
          <w:bCs/>
          <w:sz w:val="22"/>
          <w:szCs w:val="22"/>
        </w:rPr>
        <w:t xml:space="preserve">Hearing impairment:</w:t>
      </w:r>
      <w:r>
        <w:rPr>
          <w:sz w:val="22"/>
          <w:szCs w:val="22"/>
        </w:rPr>
        <w:t xml:space="preserve"> pictorial modules and a sign interpreter.</w:t>
      </w:r>
    </w:p>
    <w:p>
      <w:pPr>
        <w:pStyle w:val="ListParagraph"/>
        <w:numPr>
          <w:ilvl w:val="0"/>
          <w:numId w:val="1"/>
        </w:numPr>
        <w:spacing w:after="60"/>
      </w:pPr>
      <w:r>
        <w:rPr>
          <w:b/>
          <w:bCs/>
          <w:sz w:val="22"/>
          <w:szCs w:val="22"/>
        </w:rPr>
        <w:t xml:space="preserve">Intellectual or psychosocial disability:</w:t>
      </w:r>
      <w:r>
        <w:rPr>
          <w:sz w:val="22"/>
          <w:szCs w:val="22"/>
        </w:rPr>
        <w:t xml:space="preserve"> a family-supported model with the PwD as named owner.</w:t>
      </w:r>
    </w:p>
    <w:p>
      <w:pPr>
        <w:pStyle w:val="ListParagraph"/>
        <w:numPr>
          <w:ilvl w:val="0"/>
          <w:numId w:val="1"/>
        </w:numPr>
        <w:spacing w:after="60"/>
      </w:pPr>
      <w:r>
        <w:rPr>
          <w:b/>
          <w:bCs/>
          <w:sz w:val="22"/>
          <w:szCs w:val="22"/>
        </w:rPr>
        <w:t xml:space="preserve">Locomotor disability:</w:t>
      </w:r>
      <w:r>
        <w:rPr>
          <w:sz w:val="22"/>
          <w:szCs w:val="22"/>
        </w:rPr>
        <w:t xml:space="preserve"> raised beds and accessible training venues.</w:t>
      </w:r>
    </w:p>
    <w:p>
      <w:pPr>
        <w:spacing w:after="160"/>
        <w:jc w:val="both"/>
      </w:pPr>
      <w:r>
        <w:rPr>
          <w:sz w:val="22"/>
          <w:szCs w:val="22"/>
        </w:rPr>
        <w:t xml:space="preserve">This is also why at least 30% of livelihood places are reserved for non-locomotor disabilities. Without the quota, programmes tend to select those easiest to serve.</w:t>
      </w:r>
    </w:p>
    <w:p>
      <w:pPr>
        <w:spacing w:after="100" w:before="200"/>
      </w:pPr>
      <w:r>
        <w:rPr>
          <w:b/>
          <w:bCs/>
          <w:color w:val="0F6E5C"/>
          <w:sz w:val="24"/>
          <w:szCs w:val="24"/>
        </w:rPr>
        <w:t xml:space="preserve">Documentation That Converts into Benefits</w:t>
      </w:r>
    </w:p>
    <w:p>
      <w:pPr>
        <w:spacing w:after="160"/>
        <w:jc w:val="both"/>
      </w:pPr>
      <w:r>
        <w:rPr>
          <w:sz w:val="22"/>
          <w:szCs w:val="22"/>
        </w:rPr>
        <w:t xml:space="preserve">The second pillar treats the certificate or UDID as a gateway rather than an end. Holding the document leads to the pension, ADIP devices and priority in schemes. Pensions and devices, in turn, lower dependence and cushion households against health-cost shocks, which the problem analysis showed are widespread. The strategy therefore measures success by benefits received, not applications filed.</w:t>
      </w:r>
    </w:p>
    <w:p>
      <w:pPr>
        <w:spacing w:after="160"/>
        <w:jc w:val="both"/>
      </w:pPr>
      <w:r>
        <w:rPr>
          <w:sz w:val="22"/>
          <w:szCs w:val="22"/>
        </w:rPr>
        <w:t xml:space="preserve">The convergence routes are specific:</w:t>
      </w:r>
    </w:p>
    <w:p>
      <w:pPr>
        <w:pStyle w:val="ListParagraph"/>
        <w:numPr>
          <w:ilvl w:val="0"/>
          <w:numId w:val="1"/>
        </w:numPr>
        <w:spacing w:after="60"/>
      </w:pPr>
      <w:r>
        <w:rPr>
          <w:b/>
          <w:bCs/>
          <w:sz w:val="22"/>
          <w:szCs w:val="22"/>
        </w:rPr>
        <w:t xml:space="preserve">UDID and certificates:</w:t>
      </w:r>
      <w:r>
        <w:rPr>
          <w:sz w:val="22"/>
          <w:szCs w:val="22"/>
        </w:rPr>
        <w:t xml:space="preserve"> through the Swavlamban/UDID portal with the DDRC and medical boards </w:t>
      </w:r>
      <w:r>
        <w:rPr>
          <w:color w:val="0F6E5C"/>
          <w:sz w:val="16"/>
          <w:szCs w:val="16"/>
          <w:vertAlign w:val="superscript"/>
        </w:rPr>
        <w:t xml:space="preserve">[S24]</w:t>
      </w:r>
      <w:r>
        <w:rPr>
          <w:sz w:val="22"/>
          <w:szCs w:val="22"/>
        </w:rPr>
        <w:t xml:space="preserve">.</w:t>
      </w:r>
    </w:p>
    <w:p>
      <w:pPr>
        <w:pStyle w:val="ListParagraph"/>
        <w:numPr>
          <w:ilvl w:val="0"/>
          <w:numId w:val="1"/>
        </w:numPr>
        <w:spacing w:after="60"/>
      </w:pPr>
      <w:r>
        <w:rPr>
          <w:b/>
          <w:bCs/>
          <w:sz w:val="22"/>
          <w:szCs w:val="22"/>
        </w:rPr>
        <w:t xml:space="preserve">Assistive devices:</w:t>
      </w:r>
      <w:r>
        <w:rPr>
          <w:sz w:val="22"/>
          <w:szCs w:val="22"/>
        </w:rPr>
        <w:t xml:space="preserve"> through ADIP with ALIMCO or the DDRC. ADIP gives a free device where monthly income is up to Rs 22,500, and pays Rs 250 transport per PwD to attend camps </w:t>
      </w:r>
      <w:r>
        <w:rPr>
          <w:color w:val="0F6E5C"/>
          <w:sz w:val="16"/>
          <w:szCs w:val="16"/>
          <w:vertAlign w:val="superscript"/>
        </w:rPr>
        <w:t xml:space="preserve">[S21][S22][S23]</w:t>
      </w:r>
      <w:r>
        <w:rPr>
          <w:sz w:val="22"/>
          <w:szCs w:val="22"/>
        </w:rPr>
        <w:t xml:space="preserve">.</w:t>
      </w:r>
    </w:p>
    <w:p>
      <w:pPr>
        <w:pStyle w:val="ListParagraph"/>
        <w:numPr>
          <w:ilvl w:val="0"/>
          <w:numId w:val="1"/>
        </w:numPr>
        <w:spacing w:after="60"/>
      </w:pPr>
      <w:r>
        <w:rPr>
          <w:b/>
          <w:bCs/>
          <w:sz w:val="22"/>
          <w:szCs w:val="22"/>
        </w:rPr>
        <w:t xml:space="preserve">Disability pension:</w:t>
      </w:r>
      <w:r>
        <w:rPr>
          <w:sz w:val="22"/>
          <w:szCs w:val="22"/>
        </w:rPr>
        <w:t xml:space="preserve"> under SVNSPY, reported at Rs 1,000 a month for certificate holders with 40% or more disability, with rate and criteria to be verified </w:t>
      </w:r>
      <w:r>
        <w:rPr>
          <w:color w:val="0F6E5C"/>
          <w:sz w:val="16"/>
          <w:szCs w:val="16"/>
          <w:vertAlign w:val="superscript"/>
        </w:rPr>
        <w:t xml:space="preserve">[S18][S19]</w:t>
      </w:r>
      <w:r>
        <w:rPr>
          <w:sz w:val="22"/>
          <w:szCs w:val="22"/>
        </w:rPr>
        <w:t xml:space="preserve">.</w:t>
      </w:r>
    </w:p>
    <w:p>
      <w:pPr>
        <w:pStyle w:val="ListParagraph"/>
        <w:numPr>
          <w:ilvl w:val="0"/>
          <w:numId w:val="1"/>
        </w:numPr>
        <w:spacing w:after="60"/>
      </w:pPr>
      <w:r>
        <w:rPr>
          <w:b/>
          <w:bCs/>
          <w:sz w:val="22"/>
          <w:szCs w:val="22"/>
        </w:rPr>
        <w:t xml:space="preserve">Poultry and goat units:</w:t>
      </w:r>
      <w:r>
        <w:rPr>
          <w:sz w:val="22"/>
          <w:szCs w:val="22"/>
        </w:rPr>
        <w:t xml:space="preserve"> through MPVY, following the state goat unit norm of 4 females and 1 male with priority for women and destitute widows </w:t>
      </w:r>
      <w:r>
        <w:rPr>
          <w:color w:val="0F6E5C"/>
          <w:sz w:val="16"/>
          <w:szCs w:val="16"/>
          <w:vertAlign w:val="superscript"/>
        </w:rPr>
        <w:t xml:space="preserve">[S26]</w:t>
      </w:r>
      <w:r>
        <w:rPr>
          <w:sz w:val="22"/>
          <w:szCs w:val="22"/>
        </w:rPr>
        <w:t xml:space="preserve">.</w:t>
      </w:r>
    </w:p>
    <w:p>
      <w:pPr>
        <w:pStyle w:val="ListParagraph"/>
        <w:numPr>
          <w:ilvl w:val="0"/>
          <w:numId w:val="1"/>
        </w:numPr>
        <w:spacing w:after="60"/>
      </w:pPr>
      <w:r>
        <w:rPr>
          <w:b/>
          <w:bCs/>
          <w:sz w:val="22"/>
          <w:szCs w:val="22"/>
        </w:rPr>
        <w:t xml:space="preserve">Wage work:</w:t>
      </w:r>
      <w:r>
        <w:rPr>
          <w:sz w:val="22"/>
          <w:szCs w:val="22"/>
        </w:rPr>
        <w:t xml:space="preserve"> through VB-G RAM G, which replaces MGNREGA from 1 July 2026 </w:t>
      </w:r>
      <w:r>
        <w:rPr>
          <w:color w:val="0F6E5C"/>
          <w:sz w:val="16"/>
          <w:szCs w:val="16"/>
          <w:vertAlign w:val="superscript"/>
        </w:rPr>
        <w:t xml:space="preserve">[S29]</w:t>
      </w:r>
      <w:r>
        <w:rPr>
          <w:sz w:val="22"/>
          <w:szCs w:val="22"/>
        </w:rPr>
        <w:t xml:space="preserve">.</w:t>
      </w:r>
    </w:p>
    <w:p>
      <w:pPr>
        <w:pStyle w:val="ListParagraph"/>
        <w:numPr>
          <w:ilvl w:val="0"/>
          <w:numId w:val="1"/>
        </w:numPr>
        <w:spacing w:after="60"/>
      </w:pPr>
      <w:r>
        <w:rPr>
          <w:b/>
          <w:bCs/>
          <w:sz w:val="22"/>
          <w:szCs w:val="22"/>
        </w:rPr>
        <w:t xml:space="preserve">Housing and farm support:</w:t>
      </w:r>
      <w:r>
        <w:rPr>
          <w:sz w:val="22"/>
          <w:szCs w:val="22"/>
        </w:rPr>
        <w:t xml:space="preserve"> through PMAY and PM-Kisan.</w:t>
      </w:r>
    </w:p>
    <w:p>
      <w:pPr>
        <w:spacing w:after="160"/>
        <w:jc w:val="both"/>
      </w:pPr>
      <w:r>
        <w:rPr>
          <w:sz w:val="22"/>
          <w:szCs w:val="22"/>
        </w:rPr>
        <w:t xml:space="preserve">The Jharkhand percentage-abolition announcement is treated as an announcement only </w:t>
      </w:r>
      <w:r>
        <w:rPr>
          <w:color w:val="0F6E5C"/>
          <w:sz w:val="16"/>
          <w:szCs w:val="16"/>
          <w:vertAlign w:val="superscript"/>
        </w:rPr>
        <w:t xml:space="preserve">[S20]</w:t>
      </w:r>
      <w:r>
        <w:rPr>
          <w:sz w:val="22"/>
          <w:szCs w:val="22"/>
        </w:rPr>
        <w:t xml:space="preserve">. Eligibility counselling will follow notified rules, so that members are not led into applications that are later rejected.</w:t>
      </w:r>
    </w:p>
    <w:p>
      <w:pPr>
        <w:spacing w:after="160"/>
        <w:jc w:val="both"/>
      </w:pPr>
      <w:r>
        <w:rPr>
          <w:sz w:val="22"/>
          <w:szCs w:val="22"/>
        </w:rPr>
        <w:t xml:space="preserve">Convergence is deliberately non-adversarial. The project co-fixes camp dates with departments, holds joint convergence meets and brings officials into the inception meeting. The purpose is to make the administration's own work easier by bringing prepared, documented applicants to its doors. Where officials cannot attend, applications continue online through CSCs.</w:t>
      </w:r>
    </w:p>
    <w:p>
      <w:pPr>
        <w:spacing w:after="100" w:before="200"/>
      </w:pPr>
      <w:r>
        <w:rPr>
          <w:b/>
          <w:bCs/>
          <w:color w:val="0F6E5C"/>
          <w:sz w:val="24"/>
          <w:szCs w:val="24"/>
        </w:rPr>
        <w:t xml:space="preserve">The Sangathan as Anchor</w:t>
      </w:r>
    </w:p>
    <w:p>
      <w:pPr>
        <w:spacing w:after="160"/>
        <w:jc w:val="both"/>
      </w:pPr>
      <w:r>
        <w:rPr>
          <w:sz w:val="22"/>
          <w:szCs w:val="22"/>
        </w:rPr>
        <w:t xml:space="preserve">The third pillar reflects Agadhbodh's founding value: the Sangathan leads, and Agadhbodh facilitates. The Sangathan owns the members' data, verifies the livelihood selection list, supplies the 10 village coordinators and holds the tracker. The assumption is that a registered, trained Sangathan can renew entitlements after the project, such as life certificates and UDID renewals.</w:t>
      </w:r>
    </w:p>
    <w:p>
      <w:pPr>
        <w:spacing w:after="160"/>
        <w:jc w:val="both"/>
      </w:pPr>
      <w:r>
        <w:rPr>
          <w:sz w:val="22"/>
          <w:szCs w:val="22"/>
        </w:rPr>
        <w:t xml:space="preserve">Building this capacity inside the project, rather than handing over at the end, is what allows gains to continue. The risk of elite capture is addressed through three measures:</w:t>
      </w:r>
    </w:p>
    <w:p>
      <w:pPr>
        <w:pStyle w:val="ListParagraph"/>
        <w:numPr>
          <w:ilvl w:val="0"/>
          <w:numId w:val="1"/>
        </w:numPr>
        <w:spacing w:after="60"/>
      </w:pPr>
      <w:r>
        <w:rPr>
          <w:sz w:val="22"/>
          <w:szCs w:val="22"/>
        </w:rPr>
        <w:t xml:space="preserve">published selection criteria;</w:t>
      </w:r>
    </w:p>
    <w:p>
      <w:pPr>
        <w:pStyle w:val="ListParagraph"/>
        <w:numPr>
          <w:ilvl w:val="0"/>
          <w:numId w:val="1"/>
        </w:numPr>
        <w:spacing w:after="60"/>
      </w:pPr>
      <w:r>
        <w:rPr>
          <w:sz w:val="22"/>
          <w:szCs w:val="22"/>
        </w:rPr>
        <w:t xml:space="preserve">an open general body;</w:t>
      </w:r>
    </w:p>
    <w:p>
      <w:pPr>
        <w:pStyle w:val="ListParagraph"/>
        <w:numPr>
          <w:ilvl w:val="0"/>
          <w:numId w:val="1"/>
        </w:numPr>
        <w:spacing w:after="60"/>
      </w:pPr>
      <w:r>
        <w:rPr>
          <w:sz w:val="22"/>
          <w:szCs w:val="22"/>
        </w:rPr>
        <w:t xml:space="preserve">rotation and women's representation in office-bearer posts.</w:t>
      </w:r>
    </w:p>
    <w:p>
      <w:pPr>
        <w:spacing w:after="100" w:before="200"/>
      </w:pPr>
      <w:r>
        <w:rPr>
          <w:b/>
          <w:bCs/>
          <w:color w:val="0F6E5C"/>
          <w:sz w:val="24"/>
          <w:szCs w:val="24"/>
        </w:rPr>
        <w:t xml:space="preserve">Two-Tier Coverage</w:t>
      </w:r>
    </w:p>
    <w:p>
      <w:pPr>
        <w:spacing w:after="160"/>
        <w:jc w:val="both"/>
      </w:pPr>
      <w:r>
        <w:rPr>
          <w:sz w:val="22"/>
          <w:szCs w:val="22"/>
        </w:rPr>
        <w:t xml:space="preserve">Two tiers reconcile reach with depth. Needs assessment and entitlement facilitation cover members wherever they live in Angara block, because documentation is a right that should not depend on location. Livelihood units, village coordinators and collective marketing are concentrated in 10 cluster villages. Concentration makes Pashu Sakhi visits, marketing groups and buck-sharing viable.</w:t>
      </w:r>
    </w:p>
    <w:p>
      <w:pPr>
        <w:spacing w:after="160"/>
        <w:jc w:val="both"/>
      </w:pPr>
      <w:r>
        <w:rPr>
          <w:sz w:val="22"/>
          <w:szCs w:val="22"/>
        </w:rPr>
        <w:t xml:space="preserve">Staffing follows this structure. One coordinator and two field facilitators are supported by 10 Sangathan village coordinators, each covering about 100 members and 15 livelihood households. Pashu Sakhi visits serve 80 livestock households, and survey enumerators are engaged in Months 1 to 3 only.</w:t>
      </w:r>
    </w:p>
    <w:p>
      <w:pPr>
        <w:spacing w:after="100" w:before="200"/>
      </w:pPr>
      <w:r>
        <w:rPr>
          <w:b/>
          <w:bCs/>
          <w:color w:val="0F6E5C"/>
          <w:sz w:val="24"/>
          <w:szCs w:val="24"/>
        </w:rPr>
        <w:t xml:space="preserve">Fair Selection</w:t>
      </w:r>
    </w:p>
    <w:p>
      <w:pPr>
        <w:spacing w:after="160"/>
        <w:jc w:val="both"/>
      </w:pPr>
      <w:r>
        <w:rPr>
          <w:sz w:val="22"/>
          <w:szCs w:val="22"/>
        </w:rPr>
        <w:t xml:space="preserve">Livelihood participants are chosen on published criteria:</w:t>
      </w:r>
    </w:p>
    <w:p>
      <w:pPr>
        <w:pStyle w:val="ListParagraph"/>
        <w:numPr>
          <w:ilvl w:val="0"/>
          <w:numId w:val="1"/>
        </w:numPr>
        <w:spacing w:after="60"/>
      </w:pPr>
      <w:r>
        <w:rPr>
          <w:sz w:val="22"/>
          <w:szCs w:val="22"/>
        </w:rPr>
        <w:t xml:space="preserve">at least 50% women with disabilities;</w:t>
      </w:r>
    </w:p>
    <w:p>
      <w:pPr>
        <w:pStyle w:val="ListParagraph"/>
        <w:numPr>
          <w:ilvl w:val="0"/>
          <w:numId w:val="1"/>
        </w:numPr>
        <w:spacing w:after="60"/>
      </w:pPr>
      <w:r>
        <w:rPr>
          <w:sz w:val="22"/>
          <w:szCs w:val="22"/>
        </w:rPr>
        <w:t xml:space="preserve">priority to Antyodaya or BPL, landless or marginal households, or households without any pension or income;</w:t>
      </w:r>
    </w:p>
    <w:p>
      <w:pPr>
        <w:pStyle w:val="ListParagraph"/>
        <w:numPr>
          <w:ilvl w:val="0"/>
          <w:numId w:val="1"/>
        </w:numPr>
        <w:spacing w:after="60"/>
      </w:pPr>
      <w:r>
        <w:rPr>
          <w:sz w:val="22"/>
          <w:szCs w:val="22"/>
        </w:rPr>
        <w:t xml:space="preserve">at least 30% of participants with non-locomotor disabilities.</w:t>
      </w:r>
    </w:p>
    <w:p>
      <w:pPr>
        <w:spacing w:after="160"/>
        <w:jc w:val="both"/>
      </w:pPr>
      <w:r>
        <w:rPr>
          <w:sz w:val="22"/>
          <w:szCs w:val="22"/>
        </w:rPr>
        <w:t xml:space="preserve">The selection list is verified by the Sangathan executive and displayed in the village. Transparency is the first defence against capture.</w:t>
      </w:r>
    </w:p>
    <w:p>
      <w:pPr>
        <w:spacing w:after="100" w:before="200"/>
      </w:pPr>
      <w:r>
        <w:rPr>
          <w:b/>
          <w:bCs/>
          <w:color w:val="0F6E5C"/>
          <w:sz w:val="24"/>
          <w:szCs w:val="24"/>
        </w:rPr>
        <w:t xml:space="preserve">Data Protection and Dignity</w:t>
      </w:r>
    </w:p>
    <w:p>
      <w:pPr>
        <w:spacing w:after="160"/>
        <w:jc w:val="both"/>
      </w:pPr>
      <w:r>
        <w:rPr>
          <w:sz w:val="22"/>
          <w:szCs w:val="22"/>
        </w:rPr>
        <w:t xml:space="preserve">A database of 850 or more PwDs, with details of disability, income and entitlements, is sensitive. The strategy follows the DPDP Act 2023:</w:t>
      </w:r>
    </w:p>
    <w:p>
      <w:pPr>
        <w:pStyle w:val="ListParagraph"/>
        <w:numPr>
          <w:ilvl w:val="0"/>
          <w:numId w:val="1"/>
        </w:numPr>
        <w:spacing w:after="60"/>
      </w:pPr>
      <w:r>
        <w:rPr>
          <w:b/>
          <w:bCs/>
          <w:sz w:val="22"/>
          <w:szCs w:val="22"/>
        </w:rPr>
        <w:t xml:space="preserve">Consent:</w:t>
      </w:r>
      <w:r>
        <w:rPr>
          <w:sz w:val="22"/>
          <w:szCs w:val="22"/>
        </w:rPr>
        <w:t xml:space="preserve"> informed consent in accessible formats, with supported decision-making where needed.</w:t>
      </w:r>
    </w:p>
    <w:p>
      <w:pPr>
        <w:pStyle w:val="ListParagraph"/>
        <w:numPr>
          <w:ilvl w:val="0"/>
          <w:numId w:val="1"/>
        </w:numPr>
        <w:spacing w:after="60"/>
      </w:pPr>
      <w:r>
        <w:rPr>
          <w:b/>
          <w:bCs/>
          <w:sz w:val="22"/>
          <w:szCs w:val="22"/>
        </w:rPr>
        <w:t xml:space="preserve">Ownership:</w:t>
      </w:r>
      <w:r>
        <w:rPr>
          <w:sz w:val="22"/>
          <w:szCs w:val="22"/>
        </w:rPr>
        <w:t xml:space="preserve"> the Sangathan owns the data, and Agadhbodh acts as processor.</w:t>
      </w:r>
    </w:p>
    <w:p>
      <w:pPr>
        <w:pStyle w:val="ListParagraph"/>
        <w:numPr>
          <w:ilvl w:val="0"/>
          <w:numId w:val="1"/>
        </w:numPr>
        <w:spacing w:after="60"/>
      </w:pPr>
      <w:r>
        <w:rPr>
          <w:b/>
          <w:bCs/>
          <w:sz w:val="22"/>
          <w:szCs w:val="22"/>
        </w:rPr>
        <w:t xml:space="preserve">Purpose:</w:t>
      </w:r>
      <w:r>
        <w:rPr>
          <w:sz w:val="22"/>
          <w:szCs w:val="22"/>
        </w:rPr>
        <w:t xml:space="preserve"> use is limited to entitlement facilitation.</w:t>
      </w:r>
    </w:p>
    <w:p>
      <w:pPr>
        <w:pStyle w:val="ListParagraph"/>
        <w:numPr>
          <w:ilvl w:val="0"/>
          <w:numId w:val="1"/>
        </w:numPr>
        <w:spacing w:after="60"/>
      </w:pPr>
      <w:r>
        <w:rPr>
          <w:b/>
          <w:bCs/>
          <w:sz w:val="22"/>
          <w:szCs w:val="22"/>
        </w:rPr>
        <w:t xml:space="preserve">Sharing:</w:t>
      </w:r>
      <w:r>
        <w:rPr>
          <w:sz w:val="22"/>
          <w:szCs w:val="22"/>
        </w:rPr>
        <w:t xml:space="preserve"> individual records are shared with a department only with the member's consent, for that member's own application. Departments receive only aggregated, anonymised data.</w:t>
      </w:r>
    </w:p>
    <w:p>
      <w:pPr>
        <w:pStyle w:val="ListParagraph"/>
        <w:numPr>
          <w:ilvl w:val="0"/>
          <w:numId w:val="1"/>
        </w:numPr>
        <w:spacing w:after="60"/>
      </w:pPr>
      <w:r>
        <w:rPr>
          <w:b/>
          <w:bCs/>
          <w:sz w:val="22"/>
          <w:szCs w:val="22"/>
        </w:rPr>
        <w:t xml:space="preserve">Security:</w:t>
      </w:r>
      <w:r>
        <w:rPr>
          <w:sz w:val="22"/>
          <w:szCs w:val="22"/>
        </w:rPr>
        <w:t xml:space="preserve"> encrypted, password-protected tablets with role-based access, and no photographs held except those an application requires.</w:t>
      </w:r>
    </w:p>
    <w:p>
      <w:pPr>
        <w:pStyle w:val="ListParagraph"/>
        <w:numPr>
          <w:ilvl w:val="0"/>
          <w:numId w:val="1"/>
        </w:numPr>
        <w:spacing w:after="60"/>
      </w:pPr>
      <w:r>
        <w:rPr>
          <w:b/>
          <w:bCs/>
          <w:sz w:val="22"/>
          <w:szCs w:val="22"/>
        </w:rPr>
        <w:t xml:space="preserve">Member rights:</w:t>
      </w:r>
      <w:r>
        <w:rPr>
          <w:sz w:val="22"/>
          <w:szCs w:val="22"/>
        </w:rPr>
        <w:t xml:space="preserve"> retention and deletion rules, and a right to withdraw.</w:t>
      </w:r>
    </w:p>
    <w:p>
      <w:pPr>
        <w:spacing w:after="160"/>
        <w:jc w:val="both"/>
      </w:pPr>
      <w:r>
        <w:rPr>
          <w:sz w:val="22"/>
          <w:szCs w:val="22"/>
        </w:rPr>
        <w:t xml:space="preserve">The visibility protocol applies the same principle. There is written consent for every image and testimonial, no "before-and-after" or pity framing, and members tell their own stories. Donor visibility is built into the inception meeting, the convergence meets, the livelihood mela and the Sangathan convention.</w:t>
      </w:r>
    </w:p>
    <w:p>
      <w:pPr>
        <w:spacing w:after="100" w:before="200"/>
      </w:pPr>
      <w:r>
        <w:rPr>
          <w:b/>
          <w:bCs/>
          <w:color w:val="0F6E5C"/>
          <w:sz w:val="24"/>
          <w:szCs w:val="24"/>
        </w:rPr>
        <w:t xml:space="preserve">Assumptions</w:t>
      </w:r>
    </w:p>
    <w:p>
      <w:pPr>
        <w:spacing w:after="160"/>
        <w:jc w:val="both"/>
      </w:pPr>
      <w:r>
        <w:rPr>
          <w:sz w:val="22"/>
          <w:szCs w:val="22"/>
        </w:rPr>
        <w:t xml:space="preserve">The strategy rests on five assumptions:</w:t>
      </w:r>
    </w:p>
    <w:p>
      <w:pPr>
        <w:spacing w:after="60"/>
        <w:ind w:left="360"/>
      </w:pPr>
      <w:r>
        <w:rPr>
          <w:b/>
          <w:bCs/>
          <w:sz w:val="22"/>
          <w:szCs w:val="22"/>
        </w:rPr>
        <w:t xml:space="preserve">1. </w:t>
      </w:r>
      <w:r>
        <w:rPr>
          <w:sz w:val="22"/>
          <w:szCs w:val="22"/>
        </w:rPr>
        <w:t xml:space="preserve">The DDRC, medical boards, the block office and ALIMCO agree to hold camps or referrals.</w:t>
      </w:r>
    </w:p>
    <w:p>
      <w:pPr>
        <w:spacing w:after="60"/>
        <w:ind w:left="360"/>
      </w:pPr>
      <w:r>
        <w:rPr>
          <w:b/>
          <w:bCs/>
          <w:sz w:val="22"/>
          <w:szCs w:val="22"/>
        </w:rPr>
        <w:t xml:space="preserve">2. </w:t>
      </w:r>
      <w:r>
        <w:rPr>
          <w:sz w:val="22"/>
          <w:szCs w:val="22"/>
        </w:rPr>
        <w:t xml:space="preserve">The Sangathan leadership endorses formalisation and data sharing.</w:t>
      </w:r>
    </w:p>
    <w:p>
      <w:pPr>
        <w:spacing w:after="60"/>
        <w:ind w:left="360"/>
      </w:pPr>
      <w:r>
        <w:rPr>
          <w:b/>
          <w:bCs/>
          <w:sz w:val="22"/>
          <w:szCs w:val="22"/>
        </w:rPr>
        <w:t xml:space="preserve">3. </w:t>
      </w:r>
      <w:r>
        <w:rPr>
          <w:sz w:val="22"/>
          <w:szCs w:val="22"/>
        </w:rPr>
        <w:t xml:space="preserve">Members are PwDs located within Angara.</w:t>
      </w:r>
    </w:p>
    <w:p>
      <w:pPr>
        <w:spacing w:after="60"/>
        <w:ind w:left="360"/>
      </w:pPr>
      <w:r>
        <w:rPr>
          <w:b/>
          <w:bCs/>
          <w:sz w:val="22"/>
          <w:szCs w:val="22"/>
        </w:rPr>
        <w:t xml:space="preserve">4. </w:t>
      </w:r>
      <w:r>
        <w:rPr>
          <w:sz w:val="22"/>
          <w:szCs w:val="22"/>
        </w:rPr>
        <w:t xml:space="preserve">Local markets or haats absorb eggs, mushrooms and vegetables.</w:t>
      </w:r>
    </w:p>
    <w:p>
      <w:pPr>
        <w:spacing w:after="60"/>
        <w:ind w:left="360"/>
      </w:pPr>
      <w:r>
        <w:rPr>
          <w:b/>
          <w:bCs/>
          <w:sz w:val="22"/>
          <w:szCs w:val="22"/>
        </w:rPr>
        <w:t xml:space="preserve">5. </w:t>
      </w:r>
      <w:r>
        <w:rPr>
          <w:sz w:val="22"/>
          <w:szCs w:val="22"/>
        </w:rPr>
        <w:t xml:space="preserve">Scheme rules stay stable for the year.</w:t>
      </w:r>
    </w:p>
    <w:p>
      <w:pPr>
        <w:spacing w:after="160"/>
        <w:jc w:val="both"/>
      </w:pPr>
      <w:r>
        <w:rPr>
          <w:sz w:val="22"/>
          <w:szCs w:val="22"/>
        </w:rPr>
        <w:t xml:space="preserve">The first is the most exposed. Medical-board and pension-sanction delays are rated high likelihood and high impact. The project responds with early engagement, an escalation-based tracker, and outcome targets set deliberately below application targets. The next chapter sets out those targets level by level.</w:t>
      </w:r>
    </w:p>
    <w:p>
      <w:pPr>
        <w:pStyle w:val="Heading1"/>
        <w:pageBreakBefore/>
        <w:spacing w:after="140" w:before="280"/>
      </w:pPr>
      <w:r>
        <w:rPr>
          <w:b/>
          <w:bCs/>
          <w:color w:val="0F3D34"/>
          <w:sz w:val="30"/>
          <w:szCs w:val="30"/>
        </w:rPr>
        <w:t xml:space="preserve">Activities</w:t>
      </w:r>
    </w:p>
    <w:p>
      <w:pPr>
        <w:spacing w:after="160"/>
        <w:jc w:val="both"/>
      </w:pPr>
      <w:r>
        <w:rPr>
          <w:sz w:val="22"/>
          <w:szCs w:val="22"/>
        </w:rPr>
        <w:t xml:space="preserve">The results chain describes what will change. This chapter describes how, activity by activity. It shows how each cluster of work produces its output and so moves the Theory of Change forward. Activities are sequenced so that consent comes first, then data, then selection, then assets, and institutional capacity builds throughout.</w:t>
      </w:r>
    </w:p>
    <w:p>
      <w:pPr>
        <w:spacing w:after="100" w:before="200"/>
      </w:pPr>
      <w:r>
        <w:rPr>
          <w:b/>
          <w:bCs/>
          <w:color w:val="0F6E5C"/>
          <w:sz w:val="24"/>
          <w:szCs w:val="24"/>
        </w:rPr>
        <w:t xml:space="preserve">Laying the Foundation: Consent, Inception and Baseline (A1, A2, A3)</w:t>
      </w:r>
    </w:p>
    <w:p>
      <w:pPr>
        <w:spacing w:after="160"/>
        <w:jc w:val="both"/>
      </w:pPr>
      <w:r>
        <w:rPr>
          <w:b/>
          <w:bCs/>
          <w:sz w:val="22"/>
          <w:szCs w:val="22"/>
        </w:rPr>
        <w:t xml:space="preserve">A1: Inception (Month 1).</w:t>
      </w:r>
      <w:r>
        <w:rPr>
          <w:sz w:val="22"/>
          <w:szCs w:val="22"/>
        </w:rPr>
        <w:t xml:space="preserve"> The project opens with a Sangathan general meeting that passes a consent and endorsement resolution. This comes first because the Sangathan's ownership is the project's premise, not a step added later. Staff induction and a short, low-cost inception meeting with Usha Martin Foundation and block officials follow. The inception meeting also opens the convergence relationship early, before any camp is requested.</w:t>
      </w:r>
    </w:p>
    <w:p>
      <w:pPr>
        <w:spacing w:after="160"/>
        <w:jc w:val="both"/>
      </w:pPr>
      <w:r>
        <w:rPr>
          <w:b/>
          <w:bCs/>
          <w:sz w:val="22"/>
          <w:szCs w:val="22"/>
        </w:rPr>
        <w:t xml:space="preserve">A2: Baseline (Months 1 to 3).</w:t>
      </w:r>
      <w:r>
        <w:rPr>
          <w:sz w:val="22"/>
          <w:szCs w:val="22"/>
        </w:rPr>
        <w:t xml:space="preserve"> A consent-based household needs assessment covers every consenting member, with a target of at least 850. It records:</w:t>
      </w:r>
    </w:p>
    <w:p>
      <w:pPr>
        <w:pStyle w:val="ListParagraph"/>
        <w:numPr>
          <w:ilvl w:val="0"/>
          <w:numId w:val="1"/>
        </w:numPr>
        <w:spacing w:after="60"/>
      </w:pPr>
      <w:r>
        <w:rPr>
          <w:sz w:val="22"/>
          <w:szCs w:val="22"/>
        </w:rPr>
        <w:t xml:space="preserve">disability type;</w:t>
      </w:r>
    </w:p>
    <w:p>
      <w:pPr>
        <w:pStyle w:val="ListParagraph"/>
        <w:numPr>
          <w:ilvl w:val="0"/>
          <w:numId w:val="1"/>
        </w:numPr>
        <w:spacing w:after="60"/>
      </w:pPr>
      <w:r>
        <w:rPr>
          <w:sz w:val="22"/>
          <w:szCs w:val="22"/>
        </w:rPr>
        <w:t xml:space="preserve">UDID or certificate status;</w:t>
      </w:r>
    </w:p>
    <w:p>
      <w:pPr>
        <w:pStyle w:val="ListParagraph"/>
        <w:numPr>
          <w:ilvl w:val="0"/>
          <w:numId w:val="1"/>
        </w:numPr>
        <w:spacing w:after="60"/>
      </w:pPr>
      <w:r>
        <w:rPr>
          <w:sz w:val="22"/>
          <w:szCs w:val="22"/>
        </w:rPr>
        <w:t xml:space="preserve">pension and device status;</w:t>
      </w:r>
    </w:p>
    <w:p>
      <w:pPr>
        <w:pStyle w:val="ListParagraph"/>
        <w:numPr>
          <w:ilvl w:val="0"/>
          <w:numId w:val="1"/>
        </w:numPr>
        <w:spacing w:after="60"/>
      </w:pPr>
      <w:r>
        <w:rPr>
          <w:sz w:val="22"/>
          <w:szCs w:val="22"/>
        </w:rPr>
        <w:t xml:space="preserve">land and income;</w:t>
      </w:r>
    </w:p>
    <w:p>
      <w:pPr>
        <w:pStyle w:val="ListParagraph"/>
        <w:numPr>
          <w:ilvl w:val="0"/>
          <w:numId w:val="1"/>
        </w:numPr>
        <w:spacing w:after="60"/>
      </w:pPr>
      <w:r>
        <w:rPr>
          <w:sz w:val="22"/>
          <w:szCs w:val="22"/>
        </w:rPr>
        <w:t xml:space="preserve">decision-making over income.</w:t>
      </w:r>
    </w:p>
    <w:p>
      <w:pPr>
        <w:spacing w:after="160"/>
        <w:jc w:val="both"/>
      </w:pPr>
      <w:r>
        <w:rPr>
          <w:sz w:val="22"/>
          <w:szCs w:val="22"/>
        </w:rPr>
        <w:t xml:space="preserve">This fills the data gap identified in the problem analysis. It also gives every later indicator its baseline, including the income-control measure. Enumerators work in Months 1 to 3 only, with field staff covering the balance of interviews. The data-protection protocol is adopted and encrypted tablets and the tracker are set up in Months 1 and 2, before sensitive data accumulates. The survey then identifies the 10 cluster villages with the highest concentration of members.</w:t>
      </w:r>
    </w:p>
    <w:p>
      <w:pPr>
        <w:spacing w:after="160"/>
        <w:jc w:val="both"/>
      </w:pPr>
      <w:r>
        <w:rPr>
          <w:b/>
          <w:bCs/>
          <w:sz w:val="22"/>
          <w:szCs w:val="22"/>
        </w:rPr>
        <w:t xml:space="preserve">A3: Livelihood participant selection (Months 2 and 3).</w:t>
      </w:r>
      <w:r>
        <w:rPr>
          <w:sz w:val="22"/>
          <w:szCs w:val="22"/>
        </w:rPr>
        <w:t xml:space="preserve"> Participants are selected against the published inclusion criteria. The list is verified by the Sangathan executive and displayed in the village. Public display makes the quotas visible and challengeable, which is the most direct protection against elite capture.</w:t>
      </w:r>
    </w:p>
    <w:p>
      <w:pPr>
        <w:spacing w:after="100" w:before="200"/>
      </w:pPr>
      <w:r>
        <w:rPr>
          <w:b/>
          <w:bCs/>
          <w:color w:val="0F6E5C"/>
          <w:sz w:val="24"/>
          <w:szCs w:val="24"/>
        </w:rPr>
        <w:t xml:space="preserve">Building Enterprises People Can Run Alone (A4, A5, A6)</w:t>
      </w:r>
    </w:p>
    <w:p>
      <w:pPr>
        <w:spacing w:after="160"/>
        <w:jc w:val="both"/>
      </w:pPr>
      <w:r>
        <w:rPr>
          <w:b/>
          <w:bCs/>
          <w:sz w:val="22"/>
          <w:szCs w:val="22"/>
        </w:rPr>
        <w:t xml:space="preserve">A4: Livelihood trainings (Months 3 and 4).</w:t>
      </w:r>
      <w:r>
        <w:rPr>
          <w:sz w:val="22"/>
          <w:szCs w:val="22"/>
        </w:rPr>
        <w:t xml:space="preserve"> Six two-day batches are held, with at least one per enterprise: poultry, goat, mushroom and kitchen garden. Venues are accessible, and batches use sign interpretation and pictorial or tactile materials. Training costs follow the ATMA within-district farmer training norm of INR 250 per trainee-day </w:t>
      </w:r>
      <w:r>
        <w:rPr>
          <w:color w:val="0F6E5C"/>
          <w:sz w:val="16"/>
          <w:szCs w:val="16"/>
          <w:vertAlign w:val="superscript"/>
        </w:rPr>
        <w:t xml:space="preserve">[S30]</w:t>
      </w:r>
      <w:r>
        <w:rPr>
          <w:sz w:val="22"/>
          <w:szCs w:val="22"/>
        </w:rPr>
        <w:t xml:space="preserve">. Accessibility is budgeted separately at INR 5,000 per batch, so that it is not squeezed out. This is how the disability-matching logic becomes concrete. A participant who is deaf or blind leaves training able to run the unit, not merely having attended.</w:t>
      </w:r>
    </w:p>
    <w:p>
      <w:pPr>
        <w:spacing w:after="160"/>
        <w:jc w:val="both"/>
      </w:pPr>
      <w:r>
        <w:rPr>
          <w:b/>
          <w:bCs/>
          <w:sz w:val="22"/>
          <w:szCs w:val="22"/>
        </w:rPr>
        <w:t xml:space="preserve">A5: Input distribution (Months 4 and 5).</w:t>
      </w:r>
    </w:p>
    <w:p>
      <w:pPr>
        <w:pStyle w:val="ListParagraph"/>
        <w:numPr>
          <w:ilvl w:val="0"/>
          <w:numId w:val="1"/>
        </w:numPr>
        <w:spacing w:after="60"/>
      </w:pPr>
      <w:r>
        <w:rPr>
          <w:b/>
          <w:bCs/>
          <w:sz w:val="22"/>
          <w:szCs w:val="22"/>
        </w:rPr>
        <w:t xml:space="preserve">Poultry, mushroom and kitchen-garden inputs</w:t>
      </w:r>
      <w:r>
        <w:rPr>
          <w:sz w:val="22"/>
          <w:szCs w:val="22"/>
        </w:rPr>
        <w:t xml:space="preserve"> follow training directly, while skills are fresh. Each poultry unit has 20 improved-breed birds with a night shelter, starter feed and vaccination. Each mushroom kit covers two cycles. Each kitchen garden has raised-bed materials and seeds for two seasons.</w:t>
      </w:r>
    </w:p>
    <w:p>
      <w:pPr>
        <w:pStyle w:val="ListParagraph"/>
        <w:numPr>
          <w:ilvl w:val="0"/>
          <w:numId w:val="1"/>
        </w:numPr>
        <w:spacing w:after="60"/>
      </w:pPr>
      <w:r>
        <w:rPr>
          <w:b/>
          <w:bCs/>
          <w:sz w:val="22"/>
          <w:szCs w:val="22"/>
        </w:rPr>
        <w:t xml:space="preserve">Goat units</w:t>
      </w:r>
      <w:r>
        <w:rPr>
          <w:sz w:val="22"/>
          <w:szCs w:val="22"/>
        </w:rPr>
        <w:t xml:space="preserve"> have three Black Bengal does, with one shared buck per 10 households, working toward the MPVY 4+1 norm </w:t>
      </w:r>
      <w:r>
        <w:rPr>
          <w:color w:val="0F6E5C"/>
          <w:sz w:val="16"/>
          <w:szCs w:val="16"/>
          <w:vertAlign w:val="superscript"/>
        </w:rPr>
        <w:t xml:space="preserve">[S26]</w:t>
      </w:r>
      <w:r>
        <w:rPr>
          <w:sz w:val="22"/>
          <w:szCs w:val="22"/>
        </w:rPr>
        <w:t xml:space="preserve">. They are distributed only after vaccination and outside peak monsoon, which is the main mitigation against the medium-likelihood, high-impact risk of livestock mortality. Each goat household signs a pass-on agreement at distribution, so the obligation is agreed before the asset arrives.</w:t>
      </w:r>
    </w:p>
    <w:p>
      <w:pPr>
        <w:pStyle w:val="ListParagraph"/>
        <w:numPr>
          <w:ilvl w:val="0"/>
          <w:numId w:val="1"/>
        </w:numPr>
        <w:spacing w:after="60"/>
      </w:pPr>
      <w:r>
        <w:rPr>
          <w:b/>
          <w:bCs/>
          <w:sz w:val="22"/>
          <w:szCs w:val="22"/>
        </w:rPr>
        <w:t xml:space="preserve">MPVY applications</w:t>
      </w:r>
      <w:r>
        <w:rPr>
          <w:sz w:val="22"/>
          <w:szCs w:val="22"/>
        </w:rPr>
        <w:t xml:space="preserve"> (Months 3 to 6) run alongside, so that at least 30 more members can access government units. Any MPVY co-funding of project units frees budget for additional households.</w:t>
      </w:r>
    </w:p>
    <w:p>
      <w:pPr>
        <w:spacing w:after="160"/>
        <w:jc w:val="both"/>
      </w:pPr>
      <w:r>
        <w:rPr>
          <w:b/>
          <w:bCs/>
          <w:sz w:val="22"/>
          <w:szCs w:val="22"/>
        </w:rPr>
        <w:t xml:space="preserve">A6: Handholding (Months 4 to 12).</w:t>
      </w:r>
    </w:p>
    <w:p>
      <w:pPr>
        <w:pStyle w:val="ListParagraph"/>
        <w:numPr>
          <w:ilvl w:val="0"/>
          <w:numId w:val="1"/>
        </w:numPr>
        <w:spacing w:after="60"/>
      </w:pPr>
      <w:r>
        <w:rPr>
          <w:sz w:val="22"/>
          <w:szCs w:val="22"/>
        </w:rPr>
        <w:t xml:space="preserve">Monthly Pashu Sakhi visits reach 80 livestock households, about 720 visits in all.</w:t>
      </w:r>
    </w:p>
    <w:p>
      <w:pPr>
        <w:pStyle w:val="ListParagraph"/>
        <w:numPr>
          <w:ilvl w:val="0"/>
          <w:numId w:val="1"/>
        </w:numPr>
        <w:spacing w:after="60"/>
      </w:pPr>
      <w:r>
        <w:rPr>
          <w:sz w:val="22"/>
          <w:szCs w:val="22"/>
        </w:rPr>
        <w:t xml:space="preserve">Government vaccination camps are linked to project households.</w:t>
      </w:r>
    </w:p>
    <w:p>
      <w:pPr>
        <w:pStyle w:val="ListParagraph"/>
        <w:numPr>
          <w:ilvl w:val="0"/>
          <w:numId w:val="1"/>
        </w:numPr>
        <w:spacing w:after="60"/>
      </w:pPr>
      <w:r>
        <w:rPr>
          <w:sz w:val="22"/>
          <w:szCs w:val="22"/>
        </w:rPr>
        <w:t xml:space="preserve">Two CRP-led refresher rounds are held in Months 6 and 9, at the BPKP norm of INR 100 per participant </w:t>
      </w:r>
      <w:r>
        <w:rPr>
          <w:color w:val="0F6E5C"/>
          <w:sz w:val="16"/>
          <w:szCs w:val="16"/>
          <w:vertAlign w:val="superscript"/>
        </w:rPr>
        <w:t xml:space="preserve">[S31]</w:t>
      </w:r>
      <w:r>
        <w:rPr>
          <w:sz w:val="22"/>
          <w:szCs w:val="22"/>
        </w:rPr>
        <w:t xml:space="preserve">.</w:t>
      </w:r>
    </w:p>
    <w:p>
      <w:pPr>
        <w:pStyle w:val="ListParagraph"/>
        <w:numPr>
          <w:ilvl w:val="0"/>
          <w:numId w:val="1"/>
        </w:numPr>
        <w:spacing w:after="60"/>
      </w:pPr>
      <w:r>
        <w:rPr>
          <w:sz w:val="22"/>
          <w:szCs w:val="22"/>
        </w:rPr>
        <w:t xml:space="preserve">Each participant keeps income and expenditure records.</w:t>
      </w:r>
    </w:p>
    <w:p>
      <w:pPr>
        <w:spacing w:after="160"/>
        <w:jc w:val="both"/>
      </w:pPr>
      <w:r>
        <w:rPr>
          <w:sz w:val="22"/>
          <w:szCs w:val="22"/>
        </w:rPr>
        <w:t xml:space="preserve">The records serve two purposes. They are the evidence for Outcome 1. They also build the PwD's own awareness of what their enterprise earns, which strengthens their claim to control it. Livestock survival is what separates a distributed asset from a running enterprise, and this cluster is where that survival is secured.</w:t>
      </w:r>
    </w:p>
    <w:p>
      <w:pPr>
        <w:spacing w:after="100" w:before="200"/>
      </w:pPr>
      <w:r>
        <w:rPr>
          <w:b/>
          <w:bCs/>
          <w:color w:val="0F6E5C"/>
          <w:sz w:val="24"/>
          <w:szCs w:val="24"/>
        </w:rPr>
        <w:t xml:space="preserve">Reaching the Market (A7)</w:t>
      </w:r>
    </w:p>
    <w:p>
      <w:pPr>
        <w:spacing w:after="160"/>
        <w:jc w:val="both"/>
      </w:pPr>
      <w:r>
        <w:rPr>
          <w:b/>
          <w:bCs/>
          <w:sz w:val="22"/>
          <w:szCs w:val="22"/>
        </w:rPr>
        <w:t xml:space="preserve">A7: Collective marketing (Months 7 to 12).</w:t>
      </w:r>
      <w:r>
        <w:rPr>
          <w:sz w:val="22"/>
          <w:szCs w:val="22"/>
        </w:rPr>
        <w:t xml:space="preserve"> Ten village groups receive egg trays, scales and haat stall support. Selling together gives individual PwDs, many of whom face mobility or communication barriers, a way to reach buyers without depending on a relative to sell for them. It also addresses the assumption that local haats absorb produce.</w:t>
      </w:r>
    </w:p>
    <w:p>
      <w:pPr>
        <w:spacing w:after="160"/>
        <w:jc w:val="both"/>
      </w:pPr>
      <w:r>
        <w:rPr>
          <w:sz w:val="22"/>
          <w:szCs w:val="22"/>
        </w:rPr>
        <w:t xml:space="preserve">Where markets are weak, household consumption of eggs, mushrooms and vegetables is recorded as a nutrition gain. That matters in a district with the anaemia and child-undernutrition levels described earlier. The year-end livelihood mela, combined with the Sangathan convention in Month 11, showcases members' produce and gives donor visibility on terms members set.</w:t>
      </w:r>
    </w:p>
    <w:p>
      <w:pPr>
        <w:spacing w:after="100" w:before="200"/>
      </w:pPr>
      <w:r>
        <w:rPr>
          <w:b/>
          <w:bCs/>
          <w:color w:val="0F6E5C"/>
          <w:sz w:val="24"/>
          <w:szCs w:val="24"/>
        </w:rPr>
        <w:t xml:space="preserve">Converting Documents into Benefits (A8, A9)</w:t>
      </w:r>
    </w:p>
    <w:p>
      <w:pPr>
        <w:spacing w:after="160"/>
        <w:jc w:val="both"/>
      </w:pPr>
      <w:r>
        <w:rPr>
          <w:b/>
          <w:bCs/>
          <w:sz w:val="22"/>
          <w:szCs w:val="22"/>
        </w:rPr>
        <w:t xml:space="preserve">A8: Entitlement facilitation (Months 4 to 10).</w:t>
      </w:r>
    </w:p>
    <w:p>
      <w:pPr>
        <w:pStyle w:val="ListParagraph"/>
        <w:numPr>
          <w:ilvl w:val="0"/>
          <w:numId w:val="1"/>
        </w:numPr>
        <w:spacing w:after="60"/>
      </w:pPr>
      <w:r>
        <w:rPr>
          <w:b/>
          <w:bCs/>
          <w:sz w:val="22"/>
          <w:szCs w:val="22"/>
        </w:rPr>
        <w:t xml:space="preserve">Certification camps.</w:t>
      </w:r>
      <w:r>
        <w:rPr>
          <w:sz w:val="22"/>
          <w:szCs w:val="22"/>
        </w:rPr>
        <w:t xml:space="preserve"> Three UDID or certification camps are held with the DDRC and medical boards in Months 4, 6 and 8. Transport support is provided for 250 PwDs at INR 250 each, benchmarked to the ADIP allowance </w:t>
      </w:r>
      <w:r>
        <w:rPr>
          <w:color w:val="0F6E5C"/>
          <w:sz w:val="16"/>
          <w:szCs w:val="16"/>
          <w:vertAlign w:val="superscript"/>
        </w:rPr>
        <w:t xml:space="preserve">[S23]</w:t>
      </w:r>
      <w:r>
        <w:rPr>
          <w:sz w:val="22"/>
          <w:szCs w:val="22"/>
        </w:rPr>
        <w:t xml:space="preserve">. The camps bring the medical board closer to members, removing the distance barrier that keeps most PwDs uncertified. Transport support removes the cost of reaching it.</w:t>
      </w:r>
    </w:p>
    <w:p>
      <w:pPr>
        <w:pStyle w:val="ListParagraph"/>
        <w:numPr>
          <w:ilvl w:val="0"/>
          <w:numId w:val="1"/>
        </w:numPr>
        <w:spacing w:after="60"/>
      </w:pPr>
      <w:r>
        <w:rPr>
          <w:b/>
          <w:bCs/>
          <w:sz w:val="22"/>
          <w:szCs w:val="22"/>
        </w:rPr>
        <w:t xml:space="preserve">Between camps.</w:t>
      </w:r>
      <w:r>
        <w:rPr>
          <w:sz w:val="22"/>
          <w:szCs w:val="22"/>
        </w:rPr>
        <w:t xml:space="preserve"> Online and CSC applications continue through the DDRC and medical-board referral route. Application support covers CSC fees, photocopies, photographs, and Aadhaar and bank seeding for 500 members. These small costs often stop an application before it starts.</w:t>
      </w:r>
    </w:p>
    <w:p>
      <w:pPr>
        <w:pStyle w:val="ListParagraph"/>
        <w:numPr>
          <w:ilvl w:val="0"/>
          <w:numId w:val="1"/>
        </w:numPr>
        <w:spacing w:after="60"/>
      </w:pPr>
      <w:r>
        <w:rPr>
          <w:b/>
          <w:bCs/>
          <w:sz w:val="22"/>
          <w:szCs w:val="22"/>
        </w:rPr>
        <w:t xml:space="preserve">Assistive devices.</w:t>
      </w:r>
      <w:r>
        <w:rPr>
          <w:sz w:val="22"/>
          <w:szCs w:val="22"/>
        </w:rPr>
        <w:t xml:space="preserve"> One ADIP camp in Month 6, with devices and transport funded by ADIP </w:t>
      </w:r>
      <w:r>
        <w:rPr>
          <w:color w:val="0F6E5C"/>
          <w:sz w:val="16"/>
          <w:szCs w:val="16"/>
          <w:vertAlign w:val="superscript"/>
        </w:rPr>
        <w:t xml:space="preserve">[S21]</w:t>
      </w:r>
      <w:r>
        <w:rPr>
          <w:sz w:val="22"/>
          <w:szCs w:val="22"/>
        </w:rPr>
        <w:t xml:space="preserve">, delivers assistive devices.</w:t>
      </w:r>
    </w:p>
    <w:p>
      <w:pPr>
        <w:pStyle w:val="ListParagraph"/>
        <w:numPr>
          <w:ilvl w:val="0"/>
          <w:numId w:val="1"/>
        </w:numPr>
        <w:spacing w:after="60"/>
      </w:pPr>
      <w:r>
        <w:rPr>
          <w:b/>
          <w:bCs/>
          <w:sz w:val="22"/>
          <w:szCs w:val="22"/>
        </w:rPr>
        <w:t xml:space="preserve">Scheme applications.</w:t>
      </w:r>
      <w:r>
        <w:rPr>
          <w:sz w:val="22"/>
          <w:szCs w:val="22"/>
        </w:rPr>
        <w:t xml:space="preserve"> SVNSPY, PMAY, VB-G RAM G, PM-Kisan and MPVY applications are filed as members become eligible. Pension applications are sequenced after certification, because the certificate is the gateway.</w:t>
      </w:r>
    </w:p>
    <w:p>
      <w:pPr>
        <w:pStyle w:val="ListParagraph"/>
        <w:numPr>
          <w:ilvl w:val="0"/>
          <w:numId w:val="1"/>
        </w:numPr>
        <w:spacing w:after="60"/>
      </w:pPr>
      <w:r>
        <w:rPr>
          <w:b/>
          <w:bCs/>
          <w:sz w:val="22"/>
          <w:szCs w:val="22"/>
        </w:rPr>
        <w:t xml:space="preserve">Convergence meets.</w:t>
      </w:r>
      <w:r>
        <w:rPr>
          <w:sz w:val="22"/>
          <w:szCs w:val="22"/>
        </w:rPr>
        <w:t xml:space="preserve"> Two multi-department meetings, in Months 5 and 9, review progress with officials and clear stalled cases jointly.</w:t>
      </w:r>
    </w:p>
    <w:p>
      <w:pPr>
        <w:spacing w:after="160"/>
        <w:jc w:val="both"/>
      </w:pPr>
      <w:r>
        <w:rPr>
          <w:b/>
          <w:bCs/>
          <w:sz w:val="22"/>
          <w:szCs w:val="22"/>
        </w:rPr>
        <w:t xml:space="preserve">A9: Tracking (Months 5 to 12).</w:t>
      </w:r>
      <w:r>
        <w:rPr>
          <w:sz w:val="22"/>
          <w:szCs w:val="22"/>
        </w:rPr>
        <w:t xml:space="preserve"> Village coordinators update a per-member scheme tracker monthly. An escalation log records stalled cases. This activity turns applications into receipts. It is the direct response to the high-likelihood risk of medical-board and pension delays. Because Sangathan members run the tracker from the start, the tracking skill stays within the Sangathan rather than with project staff.</w:t>
      </w:r>
    </w:p>
    <w:p>
      <w:pPr>
        <w:spacing w:after="100" w:before="200"/>
      </w:pPr>
      <w:r>
        <w:rPr>
          <w:b/>
          <w:bCs/>
          <w:color w:val="0F6E5C"/>
          <w:sz w:val="24"/>
          <w:szCs w:val="24"/>
        </w:rPr>
        <w:t xml:space="preserve">Building the Institution (A10)</w:t>
      </w:r>
    </w:p>
    <w:p>
      <w:pPr>
        <w:spacing w:after="160"/>
        <w:jc w:val="both"/>
      </w:pPr>
      <w:r>
        <w:rPr>
          <w:b/>
          <w:bCs/>
          <w:sz w:val="22"/>
          <w:szCs w:val="22"/>
        </w:rPr>
        <w:t xml:space="preserve">A10: Sangathan strengthening (Months 1 to 12).</w:t>
      </w:r>
    </w:p>
    <w:p>
      <w:pPr>
        <w:pStyle w:val="ListParagraph"/>
        <w:numPr>
          <w:ilvl w:val="0"/>
          <w:numId w:val="1"/>
        </w:numPr>
        <w:spacing w:after="60"/>
      </w:pPr>
      <w:r>
        <w:rPr>
          <w:b/>
          <w:bCs/>
          <w:sz w:val="22"/>
          <w:szCs w:val="22"/>
        </w:rPr>
        <w:t xml:space="preserve">Monthly executive meetings</w:t>
      </w:r>
      <w:r>
        <w:rPr>
          <w:sz w:val="22"/>
          <w:szCs w:val="22"/>
        </w:rPr>
        <w:t xml:space="preserve"> run throughout, so that governance becomes a habit rather than an event.</w:t>
      </w:r>
    </w:p>
    <w:p>
      <w:pPr>
        <w:pStyle w:val="ListParagraph"/>
        <w:numPr>
          <w:ilvl w:val="0"/>
          <w:numId w:val="1"/>
        </w:numPr>
        <w:spacing w:after="60"/>
      </w:pPr>
      <w:r>
        <w:rPr>
          <w:b/>
          <w:bCs/>
          <w:sz w:val="22"/>
          <w:szCs w:val="22"/>
        </w:rPr>
        <w:t xml:space="preserve">Leadership training</w:t>
      </w:r>
      <w:r>
        <w:rPr>
          <w:sz w:val="22"/>
          <w:szCs w:val="22"/>
        </w:rPr>
        <w:t xml:space="preserve"> is held in two batches, in Months 4 and 7, costed at the BPKP norm of INR 50,000 per two-day training </w:t>
      </w:r>
      <w:r>
        <w:rPr>
          <w:color w:val="0F6E5C"/>
          <w:sz w:val="16"/>
          <w:szCs w:val="16"/>
          <w:vertAlign w:val="superscript"/>
        </w:rPr>
        <w:t xml:space="preserve">[S31]</w:t>
      </w:r>
      <w:r>
        <w:rPr>
          <w:sz w:val="22"/>
          <w:szCs w:val="22"/>
        </w:rPr>
        <w:t xml:space="preserve">. It covers scheme navigation, record-keeping, the tracker, data protection and fundraising. These are the exact skills Outcome 3 requires.</w:t>
      </w:r>
    </w:p>
    <w:p>
      <w:pPr>
        <w:pStyle w:val="ListParagraph"/>
        <w:numPr>
          <w:ilvl w:val="0"/>
          <w:numId w:val="1"/>
        </w:numPr>
        <w:spacing w:after="60"/>
      </w:pPr>
      <w:r>
        <w:rPr>
          <w:b/>
          <w:bCs/>
          <w:sz w:val="22"/>
          <w:szCs w:val="22"/>
        </w:rPr>
        <w:t xml:space="preserve">Formalisation</w:t>
      </w:r>
      <w:r>
        <w:rPr>
          <w:sz w:val="22"/>
          <w:szCs w:val="22"/>
        </w:rPr>
        <w:t xml:space="preserve"> runs from Months 6 to 11. Bylaws are drafted, a general body meets, elections are held by Month 10 with the gender and disability-type targets in view, and registration as a society is filed.</w:t>
      </w:r>
    </w:p>
    <w:p>
      <w:pPr>
        <w:pStyle w:val="ListParagraph"/>
        <w:numPr>
          <w:ilvl w:val="0"/>
          <w:numId w:val="1"/>
        </w:numPr>
        <w:spacing w:after="60"/>
      </w:pPr>
      <w:r>
        <w:rPr>
          <w:b/>
          <w:bCs/>
          <w:sz w:val="22"/>
          <w:szCs w:val="22"/>
        </w:rPr>
        <w:t xml:space="preserve">Village coordinators</w:t>
      </w:r>
      <w:r>
        <w:rPr>
          <w:sz w:val="22"/>
          <w:szCs w:val="22"/>
        </w:rPr>
        <w:t xml:space="preserve"> receive a modest honorarium. Their role builds on-the-ground leadership in each cluster.</w:t>
      </w:r>
    </w:p>
    <w:p>
      <w:pPr>
        <w:spacing w:after="160"/>
        <w:jc w:val="both"/>
      </w:pPr>
      <w:r>
        <w:rPr>
          <w:sz w:val="22"/>
          <w:szCs w:val="22"/>
        </w:rPr>
        <w:t xml:space="preserve">This cluster turns an informal collective into an institution that can hold data, seek funds and speak to departments in its own name.</w:t>
      </w:r>
    </w:p>
    <w:p>
      <w:pPr>
        <w:spacing w:after="100" w:before="200"/>
      </w:pPr>
      <w:r>
        <w:rPr>
          <w:b/>
          <w:bCs/>
          <w:color w:val="0F6E5C"/>
          <w:sz w:val="24"/>
          <w:szCs w:val="24"/>
        </w:rPr>
        <w:t xml:space="preserve">Learning and Handover (A11)</w:t>
      </w:r>
    </w:p>
    <w:p>
      <w:pPr>
        <w:spacing w:after="160"/>
        <w:jc w:val="both"/>
      </w:pPr>
      <w:r>
        <w:rPr>
          <w:b/>
          <w:bCs/>
          <w:sz w:val="22"/>
          <w:szCs w:val="22"/>
        </w:rPr>
        <w:t xml:space="preserve">A11: Monitoring, evaluation and learning.</w:t>
      </w:r>
    </w:p>
    <w:p>
      <w:pPr>
        <w:pStyle w:val="ListParagraph"/>
        <w:numPr>
          <w:ilvl w:val="0"/>
          <w:numId w:val="1"/>
        </w:numPr>
        <w:spacing w:after="60"/>
      </w:pPr>
      <w:r>
        <w:rPr>
          <w:b/>
          <w:bCs/>
          <w:sz w:val="22"/>
          <w:szCs w:val="22"/>
        </w:rPr>
        <w:t xml:space="preserve">Monthly monitoring</w:t>
      </w:r>
      <w:r>
        <w:rPr>
          <w:sz w:val="22"/>
          <w:szCs w:val="22"/>
        </w:rPr>
        <w:t xml:space="preserve"> draws on the tracker, so monitoring uses the same system the Sangathan will inherit.</w:t>
      </w:r>
    </w:p>
    <w:p>
      <w:pPr>
        <w:pStyle w:val="ListParagraph"/>
        <w:numPr>
          <w:ilvl w:val="0"/>
          <w:numId w:val="1"/>
        </w:numPr>
        <w:spacing w:after="60"/>
      </w:pPr>
      <w:r>
        <w:rPr>
          <w:b/>
          <w:bCs/>
          <w:sz w:val="22"/>
          <w:szCs w:val="22"/>
        </w:rPr>
        <w:t xml:space="preserve">Mid-term review (Month 6)</w:t>
      </w:r>
      <w:r>
        <w:rPr>
          <w:sz w:val="22"/>
          <w:szCs w:val="22"/>
        </w:rPr>
        <w:t xml:space="preserve"> allows course correction on selection, mortality or camp performance.</w:t>
      </w:r>
    </w:p>
    <w:p>
      <w:pPr>
        <w:pStyle w:val="ListParagraph"/>
        <w:numPr>
          <w:ilvl w:val="0"/>
          <w:numId w:val="1"/>
        </w:numPr>
        <w:spacing w:after="60"/>
      </w:pPr>
      <w:r>
        <w:rPr>
          <w:b/>
          <w:bCs/>
          <w:sz w:val="22"/>
          <w:szCs w:val="22"/>
        </w:rPr>
        <w:t xml:space="preserve">Endline assessment (Months 11 and 12)</w:t>
      </w:r>
      <w:r>
        <w:rPr>
          <w:sz w:val="22"/>
          <w:szCs w:val="22"/>
        </w:rPr>
        <w:t xml:space="preserve"> measures income and entitlement receipt against the baseline.</w:t>
      </w:r>
    </w:p>
    <w:p>
      <w:pPr>
        <w:pStyle w:val="ListParagraph"/>
        <w:numPr>
          <w:ilvl w:val="0"/>
          <w:numId w:val="1"/>
        </w:numPr>
        <w:spacing w:after="60"/>
      </w:pPr>
      <w:r>
        <w:rPr>
          <w:b/>
          <w:bCs/>
          <w:sz w:val="22"/>
          <w:szCs w:val="22"/>
        </w:rPr>
        <w:t xml:space="preserve">Case studies</w:t>
      </w:r>
      <w:r>
        <w:rPr>
          <w:sz w:val="22"/>
          <w:szCs w:val="22"/>
        </w:rPr>
        <w:t xml:space="preserve"> are prepared under the consent and dignity protocol, with members telling their own stories.</w:t>
      </w:r>
    </w:p>
    <w:p>
      <w:pPr>
        <w:pStyle w:val="ListParagraph"/>
        <w:numPr>
          <w:ilvl w:val="0"/>
          <w:numId w:val="1"/>
        </w:numPr>
        <w:spacing w:after="60"/>
      </w:pPr>
      <w:r>
        <w:rPr>
          <w:b/>
          <w:bCs/>
          <w:sz w:val="22"/>
          <w:szCs w:val="22"/>
        </w:rPr>
        <w:t xml:space="preserve">Completion and handover.</w:t>
      </w:r>
      <w:r>
        <w:rPr>
          <w:sz w:val="22"/>
          <w:szCs w:val="22"/>
        </w:rPr>
        <w:t xml:space="preserve"> The project closes with a completion report and formal handover of the tracker and tablets to the Sangathan.</w:t>
      </w:r>
    </w:p>
    <w:p>
      <w:pPr>
        <w:spacing w:after="100" w:before="200"/>
      </w:pPr>
      <w:r>
        <w:rPr>
          <w:b/>
          <w:bCs/>
          <w:color w:val="0F6E5C"/>
          <w:sz w:val="24"/>
          <w:szCs w:val="24"/>
        </w:rPr>
        <w:t xml:space="preserve">Resourcing the Activities</w:t>
      </w:r>
    </w:p>
    <w:p>
      <w:pPr>
        <w:spacing w:after="160"/>
        <w:jc w:val="both"/>
      </w:pPr>
      <w:r>
        <w:rPr>
          <w:sz w:val="22"/>
          <w:szCs w:val="22"/>
        </w:rPr>
        <w:t xml:space="preserve">The budget of INR 29,85,675 follows the activity logic. It comprises direct costs of INR 28,43,500 and a 5% overhead of INR 1,42,175.</w:t>
      </w:r>
    </w:p>
    <w:p>
      <w:pPr>
        <w:spacing w:after="160"/>
        <w:jc w:val="both"/>
      </w:pPr>
      <w:r>
        <w:rPr>
          <w:sz w:val="22"/>
          <w:szCs w:val="22"/>
        </w:rPr>
        <w:t xml:space="preserve">| Category | Amount (INR) | Share of direct costs | |---|---|---| | A. Human resources | 10,08,000 | | | B. Livelihood interventions | 11,03,000 | Largest single category | | C. Entitlement facilitation and convergence | 3,38,500 | | | D. Sangathan strengthening | 1,73,000 | | | E. Monitoring, documentation and visibility | 2,21,000 | | | </w:t>
      </w:r>
      <w:r>
        <w:rPr>
          <w:b/>
          <w:bCs/>
          <w:sz w:val="22"/>
          <w:szCs w:val="22"/>
        </w:rPr>
        <w:t xml:space="preserve">Direct costs</w:t>
      </w:r>
      <w:r>
        <w:rPr>
          <w:sz w:val="22"/>
          <w:szCs w:val="22"/>
        </w:rPr>
        <w:t xml:space="preserve"> | </w:t>
      </w:r>
      <w:r>
        <w:rPr>
          <w:b/>
          <w:bCs/>
          <w:sz w:val="22"/>
          <w:szCs w:val="22"/>
        </w:rPr>
        <w:t xml:space="preserve">28,43,500</w:t>
      </w:r>
      <w:r>
        <w:rPr>
          <w:sz w:val="22"/>
          <w:szCs w:val="22"/>
        </w:rPr>
        <w:t xml:space="preserve"> | | | F. Institutional overheads (5%) | 1,42,175 | | | </w:t>
      </w:r>
      <w:r>
        <w:rPr>
          <w:b/>
          <w:bCs/>
          <w:sz w:val="22"/>
          <w:szCs w:val="22"/>
        </w:rPr>
        <w:t xml:space="preserve">Total</w:t>
      </w:r>
      <w:r>
        <w:rPr>
          <w:sz w:val="22"/>
          <w:szCs w:val="22"/>
        </w:rPr>
        <w:t xml:space="preserve"> | </w:t>
      </w:r>
      <w:r>
        <w:rPr>
          <w:b/>
          <w:bCs/>
          <w:sz w:val="22"/>
          <w:szCs w:val="22"/>
        </w:rPr>
        <w:t xml:space="preserve">29,85,675</w:t>
      </w:r>
      <w:r>
        <w:rPr>
          <w:sz w:val="22"/>
          <w:szCs w:val="22"/>
        </w:rPr>
        <w:t xml:space="preserve"> | |</w:t>
      </w:r>
    </w:p>
    <w:p>
      <w:pPr>
        <w:spacing w:after="160"/>
        <w:jc w:val="both"/>
      </w:pPr>
      <w:r>
        <w:rPr>
          <w:sz w:val="22"/>
          <w:szCs w:val="22"/>
        </w:rPr>
        <w:t xml:space="preserve">Livelihood interventions take the largest share, reflecting the asset base members need. Entitlement facilitation is comparatively inexpensive because the benefits themselves, including pensions and devices, are funded by government. This is the leverage convergence provides. Several rates are drawn from government norms; others are estimates to be confirmed with local quotes, as noted in the budget table. The next chapter explains how these investments continue beyond Month 12.</w:t>
      </w:r>
    </w:p>
    <w:p>
      <w:pPr>
        <w:pStyle w:val="Heading1"/>
        <w:pageBreakBefore/>
        <w:spacing w:after="140" w:before="280"/>
      </w:pPr>
      <w:r>
        <w:rPr>
          <w:b/>
          <w:bCs/>
          <w:color w:val="0F3D34"/>
          <w:sz w:val="30"/>
          <w:szCs w:val="30"/>
        </w:rPr>
        <w:t xml:space="preserve">Implementation Timeline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400"/>
        <w:gridCol w:w="667"/>
        <w:gridCol w:w="667"/>
        <w:gridCol w:w="667"/>
        <w:gridCol w:w="667"/>
        <w:gridCol w:w="667"/>
        <w:gridCol w:w="667"/>
        <w:gridCol w:w="667"/>
        <w:gridCol w:w="667"/>
        <w:gridCol w:w="667"/>
        <w:gridCol w:w="667"/>
        <w:gridCol w:w="667"/>
        <w:gridCol w:w="667"/>
      </w:tblGrid>
      <w:tr>
        <w:tc>
          <w:tcPr>
            <w:tcW w:type="dxa" w:w="3400"/>
            <w:shd w:fill="0F3D34" w:val="clear"/>
          </w:tcPr>
          <w:p>
            <w:r>
              <w:rPr>
                <w:b/>
                <w:bCs/>
                <w:color w:val="FFFFFF"/>
                <w:sz w:val="16"/>
                <w:szCs w:val="16"/>
              </w:rPr>
              <w:t xml:space="preserve">Activity</w:t>
            </w:r>
          </w:p>
        </w:tc>
        <w:tc>
          <w:tcPr>
            <w:tcW w:type="dxa" w:w="667"/>
            <w:shd w:fill="0F3D34" w:val="clear"/>
          </w:tcPr>
          <w:p>
            <w:r>
              <w:rPr>
                <w:b/>
                <w:bCs/>
                <w:color w:val="FFFFFF"/>
                <w:sz w:val="16"/>
                <w:szCs w:val="16"/>
              </w:rPr>
              <w:t xml:space="preserve">M1</w:t>
            </w:r>
          </w:p>
        </w:tc>
        <w:tc>
          <w:tcPr>
            <w:tcW w:type="dxa" w:w="667"/>
            <w:shd w:fill="0F3D34" w:val="clear"/>
          </w:tcPr>
          <w:p>
            <w:r>
              <w:rPr>
                <w:b/>
                <w:bCs/>
                <w:color w:val="FFFFFF"/>
                <w:sz w:val="16"/>
                <w:szCs w:val="16"/>
              </w:rPr>
              <w:t xml:space="preserve">M2</w:t>
            </w:r>
          </w:p>
        </w:tc>
        <w:tc>
          <w:tcPr>
            <w:tcW w:type="dxa" w:w="667"/>
            <w:shd w:fill="0F3D34" w:val="clear"/>
          </w:tcPr>
          <w:p>
            <w:r>
              <w:rPr>
                <w:b/>
                <w:bCs/>
                <w:color w:val="FFFFFF"/>
                <w:sz w:val="16"/>
                <w:szCs w:val="16"/>
              </w:rPr>
              <w:t xml:space="preserve">M3</w:t>
            </w:r>
          </w:p>
        </w:tc>
        <w:tc>
          <w:tcPr>
            <w:tcW w:type="dxa" w:w="667"/>
            <w:shd w:fill="0F3D34" w:val="clear"/>
          </w:tcPr>
          <w:p>
            <w:r>
              <w:rPr>
                <w:b/>
                <w:bCs/>
                <w:color w:val="FFFFFF"/>
                <w:sz w:val="16"/>
                <w:szCs w:val="16"/>
              </w:rPr>
              <w:t xml:space="preserve">M4</w:t>
            </w:r>
          </w:p>
        </w:tc>
        <w:tc>
          <w:tcPr>
            <w:tcW w:type="dxa" w:w="667"/>
            <w:shd w:fill="0F3D34" w:val="clear"/>
          </w:tcPr>
          <w:p>
            <w:r>
              <w:rPr>
                <w:b/>
                <w:bCs/>
                <w:color w:val="FFFFFF"/>
                <w:sz w:val="16"/>
                <w:szCs w:val="16"/>
              </w:rPr>
              <w:t xml:space="preserve">M5</w:t>
            </w:r>
          </w:p>
        </w:tc>
        <w:tc>
          <w:tcPr>
            <w:tcW w:type="dxa" w:w="667"/>
            <w:shd w:fill="0F3D34" w:val="clear"/>
          </w:tcPr>
          <w:p>
            <w:r>
              <w:rPr>
                <w:b/>
                <w:bCs/>
                <w:color w:val="FFFFFF"/>
                <w:sz w:val="16"/>
                <w:szCs w:val="16"/>
              </w:rPr>
              <w:t xml:space="preserve">M6</w:t>
            </w:r>
          </w:p>
        </w:tc>
        <w:tc>
          <w:tcPr>
            <w:tcW w:type="dxa" w:w="667"/>
            <w:shd w:fill="0F3D34" w:val="clear"/>
          </w:tcPr>
          <w:p>
            <w:r>
              <w:rPr>
                <w:b/>
                <w:bCs/>
                <w:color w:val="FFFFFF"/>
                <w:sz w:val="16"/>
                <w:szCs w:val="16"/>
              </w:rPr>
              <w:t xml:space="preserve">M7</w:t>
            </w:r>
          </w:p>
        </w:tc>
        <w:tc>
          <w:tcPr>
            <w:tcW w:type="dxa" w:w="667"/>
            <w:shd w:fill="0F3D34" w:val="clear"/>
          </w:tcPr>
          <w:p>
            <w:r>
              <w:rPr>
                <w:b/>
                <w:bCs/>
                <w:color w:val="FFFFFF"/>
                <w:sz w:val="16"/>
                <w:szCs w:val="16"/>
              </w:rPr>
              <w:t xml:space="preserve">M8</w:t>
            </w:r>
          </w:p>
        </w:tc>
        <w:tc>
          <w:tcPr>
            <w:tcW w:type="dxa" w:w="667"/>
            <w:shd w:fill="0F3D34" w:val="clear"/>
          </w:tcPr>
          <w:p>
            <w:r>
              <w:rPr>
                <w:b/>
                <w:bCs/>
                <w:color w:val="FFFFFF"/>
                <w:sz w:val="16"/>
                <w:szCs w:val="16"/>
              </w:rPr>
              <w:t xml:space="preserve">M9</w:t>
            </w:r>
          </w:p>
        </w:tc>
        <w:tc>
          <w:tcPr>
            <w:tcW w:type="dxa" w:w="667"/>
            <w:shd w:fill="0F3D34" w:val="clear"/>
          </w:tcPr>
          <w:p>
            <w:r>
              <w:rPr>
                <w:b/>
                <w:bCs/>
                <w:color w:val="FFFFFF"/>
                <w:sz w:val="16"/>
                <w:szCs w:val="16"/>
              </w:rPr>
              <w:t xml:space="preserve">M10</w:t>
            </w:r>
          </w:p>
        </w:tc>
        <w:tc>
          <w:tcPr>
            <w:tcW w:type="dxa" w:w="667"/>
            <w:shd w:fill="0F3D34" w:val="clear"/>
          </w:tcPr>
          <w:p>
            <w:r>
              <w:rPr>
                <w:b/>
                <w:bCs/>
                <w:color w:val="FFFFFF"/>
                <w:sz w:val="16"/>
                <w:szCs w:val="16"/>
              </w:rPr>
              <w:t xml:space="preserve">M11</w:t>
            </w:r>
          </w:p>
        </w:tc>
        <w:tc>
          <w:tcPr>
            <w:tcW w:type="dxa" w:w="667"/>
            <w:shd w:fill="0F3D34" w:val="clear"/>
          </w:tcPr>
          <w:p>
            <w:r>
              <w:rPr>
                <w:b/>
                <w:bCs/>
                <w:color w:val="FFFFFF"/>
                <w:sz w:val="16"/>
                <w:szCs w:val="16"/>
              </w:rPr>
              <w:t xml:space="preserve">M12</w:t>
            </w:r>
          </w:p>
        </w:tc>
      </w:tr>
      <w:tr>
        <w:tc>
          <w:tcPr>
            <w:tcW w:type="dxa" w:w="3400"/>
          </w:tcPr>
          <w:p>
            <w:r>
              <w:rPr>
                <w:b w:val="false"/>
                <w:bCs w:val="false"/>
                <w:color w:val="000000"/>
                <w:sz w:val="16"/>
                <w:szCs w:val="16"/>
              </w:rPr>
              <w:t xml:space="preserve">Sangathan consent resolution, staff induction, inception meeting</w:t>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Data-protection protocol, secure tracker setup</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Consent-based needs assessment / baseline</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Livelihood participant selection (inclusion criteria)</w:t>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Livelihood trainings</w:t>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Poultry, mushroom, kitchen-garden input distribution</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Goat distribution (after vaccination; outside peak monsoon)</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Pashu Sakhi visits and handholding</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CRP refresher trainings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Collective marketing and goat pass-on</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MPVY applications</w:t>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UDID / certification camps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SVNSPY and other scheme applications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ADIP assistive-device camp</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Convergence meets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Scheme tracker follow-up and escalation</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Monthly Sangathan executive meetings</w:t>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r>
        <w:tc>
          <w:tcPr>
            <w:tcW w:type="dxa" w:w="3400"/>
          </w:tcPr>
          <w:p>
            <w:r>
              <w:rPr>
                <w:b w:val="false"/>
                <w:bCs w:val="false"/>
                <w:color w:val="000000"/>
                <w:sz w:val="16"/>
                <w:szCs w:val="16"/>
              </w:rPr>
              <w:t xml:space="preserve">Leadership training batches</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Bylaws, general body, elections, registration filing</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Mid-term review</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Sangathan convention and livelihood mela</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tcPr>
          <w:p>
            <w:r>
              <w:rPr>
                <w:sz w:val="16"/>
                <w:szCs w:val="16"/>
              </w:rPr>
              <w:t xml:space="preserve"/>
            </w:r>
          </w:p>
        </w:tc>
      </w:tr>
      <w:tr>
        <w:tc>
          <w:tcPr>
            <w:tcW w:type="dxa" w:w="3400"/>
          </w:tcPr>
          <w:p>
            <w:r>
              <w:rPr>
                <w:b w:val="false"/>
                <w:bCs w:val="false"/>
                <w:color w:val="000000"/>
                <w:sz w:val="16"/>
                <w:szCs w:val="16"/>
              </w:rPr>
              <w:t xml:space="preserve">Endline assessment, completion report, tracker handover</w:t>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tcPr>
          <w:p>
            <w:r>
              <w:rPr>
                <w:sz w:val="16"/>
                <w:szCs w:val="16"/>
              </w:rPr>
              <w:t xml:space="preserve"/>
            </w:r>
          </w:p>
        </w:tc>
        <w:tc>
          <w:tcPr>
            <w:tcW w:type="dxa" w:w="667"/>
            <w:shd w:fill="0F6E5C" w:val="clear"/>
          </w:tcPr>
          <w:p>
            <w:r>
              <w:rPr>
                <w:sz w:val="16"/>
                <w:szCs w:val="16"/>
              </w:rPr>
              <w:t xml:space="preserve"/>
            </w:r>
          </w:p>
        </w:tc>
        <w:tc>
          <w:tcPr>
            <w:tcW w:type="dxa" w:w="667"/>
            <w:shd w:fill="0F6E5C" w:val="clear"/>
          </w:tcPr>
          <w:p>
            <w:r>
              <w:rPr>
                <w:sz w:val="16"/>
                <w:szCs w:val="16"/>
              </w:rPr>
              <w:t xml:space="preserve"/>
            </w:r>
          </w:p>
        </w:tc>
      </w:tr>
    </w:tbl>
    <w:p>
      <w:pPr>
        <w:spacing w:after="160" w:before="80"/>
      </w:pPr>
      <w:r>
        <w:rPr>
          <w:i/>
          <w:iCs/>
          <w:color w:val="5A6763"/>
          <w:sz w:val="16"/>
          <w:szCs w:val="16"/>
        </w:rPr>
        <w:t xml:space="preserve">Shaded cells indicate active quarters. Q1–Q2: mobilisation and group formation. Q3–Q6: capacity-building and asset support. Q7–Q8: consolidation, market linkage and transition.</w:t>
      </w:r>
    </w:p>
    <w:p>
      <w:pPr>
        <w:pStyle w:val="Heading1"/>
        <w:pageBreakBefore/>
        <w:spacing w:after="140" w:before="280"/>
      </w:pPr>
      <w:r>
        <w:rPr>
          <w:b/>
          <w:bCs/>
          <w:color w:val="0F3D34"/>
          <w:sz w:val="30"/>
          <w:szCs w:val="30"/>
        </w:rPr>
        <w:t xml:space="preserve">Results Framework</w:t>
      </w:r>
    </w:p>
    <w:p>
      <w:pPr>
        <w:spacing w:after="160"/>
        <w:jc w:val="both"/>
      </w:pPr>
      <w:r>
        <w:rPr>
          <w:sz w:val="22"/>
          <w:szCs w:val="22"/>
        </w:rPr>
        <w:t xml:space="preserve">The strategy set out the logic. This chapter sets out what that logic produces, from the long-term change down to the concrete deliverables. Each level is justified by the one below it.</w:t>
      </w:r>
    </w:p>
    <w:p>
      <w:pPr>
        <w:spacing w:after="100" w:before="200"/>
      </w:pPr>
      <w:r>
        <w:rPr>
          <w:b/>
          <w:bCs/>
          <w:color w:val="0F6E5C"/>
          <w:sz w:val="24"/>
          <w:szCs w:val="24"/>
        </w:rPr>
        <w:t xml:space="preserve">Impact</w:t>
      </w:r>
    </w:p>
    <w:p>
      <w:pPr>
        <w:spacing w:after="160"/>
        <w:jc w:val="both"/>
      </w:pPr>
      <w:r>
        <w:rPr>
          <w:b/>
          <w:bCs/>
          <w:sz w:val="22"/>
          <w:szCs w:val="22"/>
        </w:rPr>
        <w:t xml:space="preserve">Impact statement:</w:t>
      </w:r>
      <w:r>
        <w:rPr>
          <w:sz w:val="22"/>
          <w:szCs w:val="22"/>
        </w:rPr>
        <w:t xml:space="preserve"> PwDs in Angara block are more economically self-reliant and secure in their entitlements, through a self-governing PwD Sangathan.</w:t>
      </w:r>
    </w:p>
    <w:p>
      <w:pPr>
        <w:spacing w:after="160"/>
        <w:jc w:val="both"/>
      </w:pPr>
      <w:r>
        <w:rPr>
          <w:sz w:val="22"/>
          <w:szCs w:val="22"/>
        </w:rPr>
        <w:t xml:space="preserve">This is the long-term change to which the project contributes. It is measured by two indicators:</w:t>
      </w:r>
    </w:p>
    <w:p>
      <w:pPr>
        <w:pStyle w:val="ListParagraph"/>
        <w:numPr>
          <w:ilvl w:val="0"/>
          <w:numId w:val="1"/>
        </w:numPr>
        <w:spacing w:after="60"/>
      </w:pPr>
      <w:r>
        <w:rPr>
          <w:sz w:val="22"/>
          <w:szCs w:val="22"/>
        </w:rPr>
        <w:t xml:space="preserve">the percentage of livelihood participants reporting income they control;</w:t>
      </w:r>
    </w:p>
    <w:p>
      <w:pPr>
        <w:pStyle w:val="ListParagraph"/>
        <w:numPr>
          <w:ilvl w:val="0"/>
          <w:numId w:val="1"/>
        </w:numPr>
        <w:spacing w:after="60"/>
      </w:pPr>
      <w:r>
        <w:rPr>
          <w:sz w:val="22"/>
          <w:szCs w:val="22"/>
        </w:rPr>
        <w:t xml:space="preserve">the percentage of assessed members receiving at least one disability entitlement.</w:t>
      </w:r>
    </w:p>
    <w:p>
      <w:pPr>
        <w:spacing w:after="160"/>
        <w:jc w:val="both"/>
      </w:pPr>
      <w:r>
        <w:rPr>
          <w:sz w:val="22"/>
          <w:szCs w:val="22"/>
        </w:rPr>
        <w:t xml:space="preserve">Both baselines will be established by the Month 1 to 3 survey. The target is improvement on both measures at endline, with the Sangathan continuing to track after Month 12. The final clause matters. An impact that ends with the project would not match the problem analysis, which showed that exclusion results from the absence of a lasting institution.</w:t>
      </w:r>
    </w:p>
    <w:p>
      <w:pPr>
        <w:spacing w:after="100" w:before="200"/>
      </w:pPr>
      <w:r>
        <w:rPr>
          <w:b/>
          <w:bCs/>
          <w:color w:val="0F6E5C"/>
          <w:sz w:val="24"/>
          <w:szCs w:val="24"/>
        </w:rPr>
        <w:t xml:space="preserve">Outcome 1: Income PwDs Control</w:t>
      </w:r>
    </w:p>
    <w:p>
      <w:pPr>
        <w:spacing w:after="160"/>
        <w:jc w:val="both"/>
      </w:pPr>
      <w:r>
        <w:rPr>
          <w:b/>
          <w:bCs/>
          <w:sz w:val="22"/>
          <w:szCs w:val="22"/>
        </w:rPr>
        <w:t xml:space="preserve">Outcome statement:</w:t>
      </w:r>
      <w:r>
        <w:rPr>
          <w:sz w:val="22"/>
          <w:szCs w:val="22"/>
        </w:rPr>
        <w:t xml:space="preserve"> PwD livelihood participants earn regular income they control from homestead enterprises, reducing dependence on family members for livelihood.</w:t>
      </w:r>
    </w:p>
    <w:p>
      <w:pPr>
        <w:spacing w:after="160"/>
        <w:jc w:val="both"/>
      </w:pPr>
      <w:r>
        <w:rPr>
          <w:b/>
          <w:bCs/>
          <w:sz w:val="22"/>
          <w:szCs w:val="22"/>
        </w:rPr>
        <w:t xml:space="preserve">Targets:</w:t>
      </w:r>
    </w:p>
    <w:p>
      <w:pPr>
        <w:pStyle w:val="ListParagraph"/>
        <w:numPr>
          <w:ilvl w:val="0"/>
          <w:numId w:val="1"/>
        </w:numPr>
        <w:spacing w:after="60"/>
      </w:pPr>
      <w:r>
        <w:rPr>
          <w:sz w:val="22"/>
          <w:szCs w:val="22"/>
        </w:rPr>
        <w:t xml:space="preserve">At least 100 of the 150 participants report net income from the new activity in Months 10 to 12.</w:t>
      </w:r>
    </w:p>
    <w:p>
      <w:pPr>
        <w:pStyle w:val="ListParagraph"/>
        <w:numPr>
          <w:ilvl w:val="0"/>
          <w:numId w:val="1"/>
        </w:numPr>
        <w:spacing w:after="60"/>
      </w:pPr>
      <w:r>
        <w:rPr>
          <w:sz w:val="22"/>
          <w:szCs w:val="22"/>
        </w:rPr>
        <w:t xml:space="preserve">Median monthly net income is compared with baseline, with an income threshold fixed after baseline.</w:t>
      </w:r>
    </w:p>
    <w:p>
      <w:pPr>
        <w:pStyle w:val="ListParagraph"/>
        <w:numPr>
          <w:ilvl w:val="0"/>
          <w:numId w:val="1"/>
        </w:numPr>
        <w:spacing w:after="60"/>
      </w:pPr>
      <w:r>
        <w:rPr>
          <w:sz w:val="22"/>
          <w:szCs w:val="22"/>
        </w:rPr>
        <w:t xml:space="preserve">At least 60% of earners decide how the income is used.</w:t>
      </w:r>
    </w:p>
    <w:p>
      <w:pPr>
        <w:spacing w:after="160"/>
        <w:jc w:val="both"/>
      </w:pPr>
      <w:r>
        <w:rPr>
          <w:sz w:val="22"/>
          <w:szCs w:val="22"/>
        </w:rPr>
        <w:t xml:space="preserve">Setting the earning target at 100 rather than 150 recognises that some units will face mortality, market or health setbacks within a single year. The decision-making indicator guards against a result in which income rises but control stays with others. The problem analysis identified that outcome as the heart of dependence.</w:t>
      </w:r>
    </w:p>
    <w:p>
      <w:pPr>
        <w:spacing w:after="160"/>
        <w:jc w:val="both"/>
      </w:pPr>
      <w:r>
        <w:rPr>
          <w:sz w:val="22"/>
          <w:szCs w:val="22"/>
        </w:rPr>
        <w:t xml:space="preserve">For goats, which take longer to yield returns, the targets are:</w:t>
      </w:r>
    </w:p>
    <w:p>
      <w:pPr>
        <w:pStyle w:val="ListParagraph"/>
        <w:numPr>
          <w:ilvl w:val="0"/>
          <w:numId w:val="1"/>
        </w:numPr>
        <w:spacing w:after="60"/>
      </w:pPr>
      <w:r>
        <w:rPr>
          <w:sz w:val="22"/>
          <w:szCs w:val="22"/>
        </w:rPr>
        <w:t xml:space="preserve">at least 20 of 30 households with at least one live kid by Month 12;</w:t>
      </w:r>
    </w:p>
    <w:p>
      <w:pPr>
        <w:pStyle w:val="ListParagraph"/>
        <w:numPr>
          <w:ilvl w:val="0"/>
          <w:numId w:val="1"/>
        </w:numPr>
        <w:spacing w:after="60"/>
      </w:pPr>
      <w:r>
        <w:rPr>
          <w:sz w:val="22"/>
          <w:szCs w:val="22"/>
        </w:rPr>
        <w:t xml:space="preserve">mortality of distributed animals at or below 10%;</w:t>
      </w:r>
    </w:p>
    <w:p>
      <w:pPr>
        <w:pStyle w:val="ListParagraph"/>
        <w:numPr>
          <w:ilvl w:val="0"/>
          <w:numId w:val="1"/>
        </w:numPr>
        <w:spacing w:after="60"/>
      </w:pPr>
      <w:r>
        <w:rPr>
          <w:sz w:val="22"/>
          <w:szCs w:val="22"/>
        </w:rPr>
        <w:t xml:space="preserve">pass-on to the next households started or scheduled.</w:t>
      </w:r>
    </w:p>
    <w:p>
      <w:pPr>
        <w:spacing w:after="160"/>
        <w:jc w:val="both"/>
      </w:pPr>
      <w:r>
        <w:rPr>
          <w:sz w:val="22"/>
          <w:szCs w:val="22"/>
        </w:rPr>
        <w:t xml:space="preserve">This outcome follows from Outputs 1.1 to 1.3. Enterprises cannot produce income unless they exist, animals survive, and produce reaches buyers.</w:t>
      </w:r>
    </w:p>
    <w:p>
      <w:pPr>
        <w:spacing w:after="100" w:before="200"/>
      </w:pPr>
      <w:r>
        <w:rPr>
          <w:b/>
          <w:bCs/>
          <w:color w:val="0F6E5C"/>
          <w:sz w:val="24"/>
          <w:szCs w:val="24"/>
        </w:rPr>
        <w:t xml:space="preserve">Outcome 2: Entitlements Actually Received</w:t>
      </w:r>
    </w:p>
    <w:p>
      <w:pPr>
        <w:spacing w:after="160"/>
        <w:jc w:val="both"/>
      </w:pPr>
      <w:r>
        <w:rPr>
          <w:b/>
          <w:bCs/>
          <w:sz w:val="22"/>
          <w:szCs w:val="22"/>
        </w:rPr>
        <w:t xml:space="preserve">Outcome statement:</w:t>
      </w:r>
      <w:r>
        <w:rPr>
          <w:sz w:val="22"/>
          <w:szCs w:val="22"/>
        </w:rPr>
        <w:t xml:space="preserve"> Sangathan members with identified gaps actually receive entitlements. These include UDID or disability certificates issued, SVNSPY pensions credited, assistive devices received, and other scheme sanctions.</w:t>
      </w:r>
    </w:p>
    <w:p>
      <w:pPr>
        <w:spacing w:after="160"/>
        <w:jc w:val="both"/>
      </w:pPr>
      <w:r>
        <w:rPr>
          <w:b/>
          <w:bCs/>
          <w:sz w:val="22"/>
          <w:szCs w:val="22"/>
        </w:rPr>
        <w:t xml:space="preserve">Targets:</w:t>
      </w:r>
    </w:p>
    <w:p>
      <w:pPr>
        <w:spacing w:after="160"/>
        <w:jc w:val="both"/>
      </w:pPr>
      <w:r>
        <w:rPr>
          <w:sz w:val="22"/>
          <w:szCs w:val="22"/>
        </w:rPr>
        <w:t xml:space="preserve">| Entitlement | Target | |---|---| | Certificates or UDIDs issued | At least 200 | | Pensions with first credit received | At least 120 | | Devices received | At least 60 | | Other scheme sanctions | At least 30 |</w:t>
      </w:r>
    </w:p>
    <w:p>
      <w:pPr>
        <w:spacing w:after="160"/>
        <w:jc w:val="both"/>
      </w:pPr>
      <w:r>
        <w:rPr>
          <w:b/>
          <w:bCs/>
          <w:sz w:val="22"/>
          <w:szCs w:val="22"/>
        </w:rPr>
        <w:t xml:space="preserve">Means of verification:</w:t>
      </w:r>
      <w:r>
        <w:rPr>
          <w:sz w:val="22"/>
          <w:szCs w:val="22"/>
        </w:rPr>
        <w:t xml:space="preserve"> UDID portal status; pension sanction orders and DBT or passbook checks, done with consent; ADIP camp lists; and the tracker.</w:t>
      </w:r>
    </w:p>
    <w:p>
      <w:pPr>
        <w:spacing w:after="160"/>
        <w:jc w:val="both"/>
      </w:pPr>
      <w:r>
        <w:rPr>
          <w:sz w:val="22"/>
          <w:szCs w:val="22"/>
        </w:rPr>
        <w:t xml:space="preserve">The gap between applications and receipts is intentional and honest. For example, there are 300 certification applications and 200 issuances, and 200 pension applications and 120 credits. Medical-board and sanction timelines lie outside the project's control. Because the certificate is the gateway to the pension, pension credits necessarily lag certification. Counting receipts rather than filings keeps the project accountable for the change that matters to a household absorbing disability costs.</w:t>
      </w:r>
    </w:p>
    <w:p>
      <w:pPr>
        <w:spacing w:after="100" w:before="200"/>
      </w:pPr>
      <w:r>
        <w:rPr>
          <w:b/>
          <w:bCs/>
          <w:color w:val="0F6E5C"/>
          <w:sz w:val="24"/>
          <w:szCs w:val="24"/>
        </w:rPr>
        <w:t xml:space="preserve">Outcome 3: A Self-Governing Sangathan</w:t>
      </w:r>
    </w:p>
    <w:p>
      <w:pPr>
        <w:spacing w:after="160"/>
        <w:jc w:val="both"/>
      </w:pPr>
      <w:r>
        <w:rPr>
          <w:b/>
          <w:bCs/>
          <w:sz w:val="22"/>
          <w:szCs w:val="22"/>
        </w:rPr>
        <w:t xml:space="preserve">Outcome statement:</w:t>
      </w:r>
      <w:r>
        <w:rPr>
          <w:sz w:val="22"/>
          <w:szCs w:val="22"/>
        </w:rPr>
        <w:t xml:space="preserve"> The Sangathan functions as a formally structured, PwD-led institution. It has elected, gender-balanced governance, a registration filed, and leaders who run entitlement tracking independently.</w:t>
      </w:r>
    </w:p>
    <w:p>
      <w:pPr>
        <w:spacing w:after="160"/>
        <w:jc w:val="both"/>
      </w:pPr>
      <w:r>
        <w:rPr>
          <w:sz w:val="22"/>
          <w:szCs w:val="22"/>
        </w:rPr>
        <w:t xml:space="preserve">The baseline is clear: the Sangathan is unregistered, with no elected body and no tracker. </w:t>
      </w:r>
      <w:r>
        <w:rPr>
          <w:b/>
          <w:bCs/>
          <w:sz w:val="22"/>
          <w:szCs w:val="22"/>
        </w:rPr>
        <w:t xml:space="preserve">Targets:</w:t>
      </w:r>
    </w:p>
    <w:p>
      <w:pPr>
        <w:pStyle w:val="ListParagraph"/>
        <w:numPr>
          <w:ilvl w:val="0"/>
          <w:numId w:val="1"/>
        </w:numPr>
        <w:spacing w:after="60"/>
      </w:pPr>
      <w:r>
        <w:rPr>
          <w:sz w:val="22"/>
          <w:szCs w:val="22"/>
        </w:rPr>
        <w:t xml:space="preserve">Registration is filed, and obtained if the timeline allows.</w:t>
      </w:r>
    </w:p>
    <w:p>
      <w:pPr>
        <w:pStyle w:val="ListParagraph"/>
        <w:numPr>
          <w:ilvl w:val="0"/>
          <w:numId w:val="1"/>
        </w:numPr>
        <w:spacing w:after="60"/>
      </w:pPr>
      <w:r>
        <w:rPr>
          <w:sz w:val="22"/>
          <w:szCs w:val="22"/>
        </w:rPr>
        <w:t xml:space="preserve">A governing body is elected with at least 40% women and at least three disability types represented.</w:t>
      </w:r>
    </w:p>
    <w:p>
      <w:pPr>
        <w:pStyle w:val="ListParagraph"/>
        <w:numPr>
          <w:ilvl w:val="0"/>
          <w:numId w:val="1"/>
        </w:numPr>
        <w:spacing w:after="60"/>
      </w:pPr>
      <w:r>
        <w:rPr>
          <w:sz w:val="22"/>
          <w:szCs w:val="22"/>
        </w:rPr>
        <w:t xml:space="preserve">At least 7 of 10 clusters update the tracker without staff in Months 10 to 12.</w:t>
      </w:r>
    </w:p>
    <w:p>
      <w:pPr>
        <w:spacing w:after="160"/>
        <w:jc w:val="both"/>
      </w:pPr>
      <w:r>
        <w:rPr>
          <w:sz w:val="22"/>
          <w:szCs w:val="22"/>
        </w:rPr>
        <w:t xml:space="preserve">The last indicator is the real test of self-governance. It shows whether leaders can do the follow-up work themselves once Agadhbodh steps back.</w:t>
      </w:r>
    </w:p>
    <w:p>
      <w:pPr>
        <w:spacing w:after="100" w:before="200"/>
      </w:pPr>
      <w:r>
        <w:rPr>
          <w:b/>
          <w:bCs/>
          <w:color w:val="0F6E5C"/>
          <w:sz w:val="24"/>
          <w:szCs w:val="24"/>
        </w:rPr>
        <w:t xml:space="preserve">Outputs</w:t>
      </w:r>
    </w:p>
    <w:p>
      <w:pPr>
        <w:spacing w:after="160"/>
        <w:jc w:val="both"/>
      </w:pPr>
      <w:r>
        <w:rPr>
          <w:sz w:val="22"/>
          <w:szCs w:val="22"/>
        </w:rPr>
        <w:t xml:space="preserve">The outputs are the deliverables the project directly controls. Each is necessary for its outcome.</w:t>
      </w:r>
    </w:p>
    <w:p>
      <w:pPr>
        <w:spacing w:after="160"/>
        <w:jc w:val="both"/>
      </w:pPr>
      <w:r>
        <w:rPr>
          <w:b/>
          <w:bCs/>
          <w:sz w:val="22"/>
          <w:szCs w:val="22"/>
        </w:rPr>
        <w:t xml:space="preserve">Under Outcome 1:</w:t>
      </w:r>
    </w:p>
    <w:p>
      <w:pPr>
        <w:pStyle w:val="ListParagraph"/>
        <w:numPr>
          <w:ilvl w:val="0"/>
          <w:numId w:val="1"/>
        </w:numPr>
        <w:spacing w:after="60"/>
      </w:pPr>
      <w:r>
        <w:rPr>
          <w:b/>
          <w:bCs/>
          <w:sz w:val="22"/>
          <w:szCs w:val="22"/>
        </w:rPr>
        <w:t xml:space="preserve">Output 1.1:</w:t>
      </w:r>
      <w:r>
        <w:rPr>
          <w:sz w:val="22"/>
          <w:szCs w:val="22"/>
        </w:rPr>
        <w:t xml:space="preserve"> 150 households trained and provided with a disability-matched enterprise in the PwD's own name, with inclusion quotas verified from the selection list and distribution register. The mix is 50 poultry, 30 goat, 30 mushroom and 40 kitchen-garden units.</w:t>
      </w:r>
    </w:p>
    <w:p>
      <w:pPr>
        <w:pStyle w:val="ListParagraph"/>
        <w:numPr>
          <w:ilvl w:val="0"/>
          <w:numId w:val="1"/>
        </w:numPr>
        <w:spacing w:after="60"/>
      </w:pPr>
      <w:r>
        <w:rPr>
          <w:b/>
          <w:bCs/>
          <w:sz w:val="22"/>
          <w:szCs w:val="22"/>
        </w:rPr>
        <w:t xml:space="preserve">Output 1.2:</w:t>
      </w:r>
      <w:r>
        <w:rPr>
          <w:sz w:val="22"/>
          <w:szCs w:val="22"/>
        </w:rPr>
        <w:t xml:space="preserve"> livestock and marketing systems in place, including about 720 Pashu Sakhi visits, 30 pass-on agreements and 10 marketing groups.</w:t>
      </w:r>
    </w:p>
    <w:p>
      <w:pPr>
        <w:pStyle w:val="ListParagraph"/>
        <w:numPr>
          <w:ilvl w:val="0"/>
          <w:numId w:val="1"/>
        </w:numPr>
        <w:spacing w:after="60"/>
      </w:pPr>
      <w:r>
        <w:rPr>
          <w:b/>
          <w:bCs/>
          <w:sz w:val="22"/>
          <w:szCs w:val="22"/>
        </w:rPr>
        <w:t xml:space="preserve">Output 1.3:</w:t>
      </w:r>
      <w:r>
        <w:rPr>
          <w:sz w:val="22"/>
          <w:szCs w:val="22"/>
        </w:rPr>
        <w:t xml:space="preserve"> at least 30 additional members helped to apply under MPVY. This extends livelihood reach beyond the project budget through government resources.</w:t>
      </w:r>
    </w:p>
    <w:p>
      <w:pPr>
        <w:spacing w:after="160"/>
        <w:jc w:val="both"/>
      </w:pPr>
      <w:r>
        <w:rPr>
          <w:b/>
          <w:bCs/>
          <w:sz w:val="22"/>
          <w:szCs w:val="22"/>
        </w:rPr>
        <w:t xml:space="preserve">Under Outcome 2:</w:t>
      </w:r>
    </w:p>
    <w:p>
      <w:pPr>
        <w:pStyle w:val="ListParagraph"/>
        <w:numPr>
          <w:ilvl w:val="0"/>
          <w:numId w:val="1"/>
        </w:numPr>
        <w:spacing w:after="60"/>
      </w:pPr>
      <w:r>
        <w:rPr>
          <w:b/>
          <w:bCs/>
          <w:sz w:val="22"/>
          <w:szCs w:val="22"/>
        </w:rPr>
        <w:t xml:space="preserve">Output 2.1:</w:t>
      </w:r>
      <w:r>
        <w:rPr>
          <w:sz w:val="22"/>
          <w:szCs w:val="22"/>
        </w:rPr>
        <w:t xml:space="preserve"> a consent-based needs assessment of at least 850 members, with the data-protection protocol adopted by Month 2. This identifies who needs what.</w:t>
      </w:r>
    </w:p>
    <w:p>
      <w:pPr>
        <w:pStyle w:val="ListParagraph"/>
        <w:numPr>
          <w:ilvl w:val="0"/>
          <w:numId w:val="1"/>
        </w:numPr>
        <w:spacing w:after="60"/>
      </w:pPr>
      <w:r>
        <w:rPr>
          <w:b/>
          <w:bCs/>
          <w:sz w:val="22"/>
          <w:szCs w:val="22"/>
        </w:rPr>
        <w:t xml:space="preserve">Output 2.2:</w:t>
      </w:r>
      <w:r>
        <w:rPr>
          <w:sz w:val="22"/>
          <w:szCs w:val="22"/>
        </w:rPr>
        <w:t xml:space="preserve"> 300 UDID or certificate applications submitted through 3 camps plus routine referrals.</w:t>
      </w:r>
    </w:p>
    <w:p>
      <w:pPr>
        <w:pStyle w:val="ListParagraph"/>
        <w:numPr>
          <w:ilvl w:val="0"/>
          <w:numId w:val="1"/>
        </w:numPr>
        <w:spacing w:after="60"/>
      </w:pPr>
      <w:r>
        <w:rPr>
          <w:b/>
          <w:bCs/>
          <w:sz w:val="22"/>
          <w:szCs w:val="22"/>
        </w:rPr>
        <w:t xml:space="preserve">Output 2.3:</w:t>
      </w:r>
      <w:r>
        <w:rPr>
          <w:sz w:val="22"/>
          <w:szCs w:val="22"/>
        </w:rPr>
        <w:t xml:space="preserve"> 200 SVNSPY applications and at least 60 others, covering PMAY, VB-G RAM G job cards and PM-Kisan.</w:t>
      </w:r>
    </w:p>
    <w:p>
      <w:pPr>
        <w:pStyle w:val="ListParagraph"/>
        <w:numPr>
          <w:ilvl w:val="0"/>
          <w:numId w:val="1"/>
        </w:numPr>
        <w:spacing w:after="60"/>
      </w:pPr>
      <w:r>
        <w:rPr>
          <w:b/>
          <w:bCs/>
          <w:sz w:val="22"/>
          <w:szCs w:val="22"/>
        </w:rPr>
        <w:t xml:space="preserve">Output 2.4:</w:t>
      </w:r>
      <w:r>
        <w:rPr>
          <w:sz w:val="22"/>
          <w:szCs w:val="22"/>
        </w:rPr>
        <w:t xml:space="preserve"> 1 ADIP camp and 2 convergence meets.</w:t>
      </w:r>
    </w:p>
    <w:p>
      <w:pPr>
        <w:spacing w:after="160"/>
        <w:jc w:val="both"/>
      </w:pPr>
      <w:r>
        <w:rPr>
          <w:b/>
          <w:bCs/>
          <w:sz w:val="22"/>
          <w:szCs w:val="22"/>
        </w:rPr>
        <w:t xml:space="preserve">Under Outcome 3:</w:t>
      </w:r>
    </w:p>
    <w:p>
      <w:pPr>
        <w:pStyle w:val="ListParagraph"/>
        <w:numPr>
          <w:ilvl w:val="0"/>
          <w:numId w:val="1"/>
        </w:numPr>
        <w:spacing w:after="60"/>
      </w:pPr>
      <w:r>
        <w:rPr>
          <w:b/>
          <w:bCs/>
          <w:sz w:val="22"/>
          <w:szCs w:val="22"/>
        </w:rPr>
        <w:t xml:space="preserve">Output 3.1:</w:t>
      </w:r>
      <w:r>
        <w:rPr>
          <w:sz w:val="22"/>
          <w:szCs w:val="22"/>
        </w:rPr>
        <w:t xml:space="preserve"> 15 to 20 second-tier leaders trained, with at least 50% women and at least three disability types represented.</w:t>
      </w:r>
    </w:p>
    <w:p>
      <w:pPr>
        <w:pStyle w:val="ListParagraph"/>
        <w:numPr>
          <w:ilvl w:val="0"/>
          <w:numId w:val="1"/>
        </w:numPr>
        <w:spacing w:after="60"/>
      </w:pPr>
      <w:r>
        <w:rPr>
          <w:b/>
          <w:bCs/>
          <w:sz w:val="22"/>
          <w:szCs w:val="22"/>
        </w:rPr>
        <w:t xml:space="preserve">Output 3.2:</w:t>
      </w:r>
      <w:r>
        <w:rPr>
          <w:sz w:val="22"/>
          <w:szCs w:val="22"/>
        </w:rPr>
        <w:t xml:space="preserve"> 10 village coordinators in place, bylaws adopted, a general body held, elections by Month 10, and registration filed.</w:t>
      </w:r>
    </w:p>
    <w:p>
      <w:pPr>
        <w:pStyle w:val="ListParagraph"/>
        <w:numPr>
          <w:ilvl w:val="0"/>
          <w:numId w:val="1"/>
        </w:numPr>
        <w:spacing w:after="60"/>
      </w:pPr>
      <w:r>
        <w:rPr>
          <w:b/>
          <w:bCs/>
          <w:sz w:val="22"/>
          <w:szCs w:val="22"/>
        </w:rPr>
        <w:t xml:space="preserve">Output 3.3:</w:t>
      </w:r>
      <w:r>
        <w:rPr>
          <w:sz w:val="22"/>
          <w:szCs w:val="22"/>
        </w:rPr>
        <w:t xml:space="preserve"> the data-protection protocol and scheme tracker adopted by the Sangathan executive.</w:t>
      </w:r>
    </w:p>
    <w:p>
      <w:pPr>
        <w:spacing w:after="160"/>
        <w:jc w:val="both"/>
      </w:pPr>
      <w:r>
        <w:rPr>
          <w:sz w:val="22"/>
          <w:szCs w:val="22"/>
        </w:rPr>
        <w:t xml:space="preserve">Read upwards, the chain is continuous. Outputs deliver the conditions, outcomes deliver the change in people's lives, and the impact is that change sustained by an institution. The next chapter describes the activities that produce each output.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200"/>
        <w:gridCol w:w="1500"/>
        <w:gridCol w:w="1500"/>
        <w:gridCol w:w="2000"/>
      </w:tblGrid>
      <w:tr>
        <w:tc>
          <w:tcPr>
            <w:tcW w:type="dxa" w:w="1300"/>
            <w:shd w:fill="0F3D34" w:val="clear"/>
          </w:tcPr>
          <w:p>
            <w:r>
              <w:rPr>
                <w:b/>
                <w:bCs/>
                <w:color w:val="FFFFFF"/>
                <w:sz w:val="16"/>
                <w:szCs w:val="16"/>
              </w:rPr>
              <w:t xml:space="preserve">Level</w:t>
            </w:r>
          </w:p>
        </w:tc>
        <w:tc>
          <w:tcPr>
            <w:tcW w:type="dxa" w:w="2400"/>
            <w:shd w:fill="0F3D34" w:val="clear"/>
          </w:tcPr>
          <w:p>
            <w:r>
              <w:rPr>
                <w:b/>
                <w:bCs/>
                <w:color w:val="FFFFFF"/>
                <w:sz w:val="16"/>
                <w:szCs w:val="16"/>
              </w:rPr>
              <w:t xml:space="preserve">Result statement</w:t>
            </w:r>
          </w:p>
        </w:tc>
        <w:tc>
          <w:tcPr>
            <w:tcW w:type="dxa" w:w="2200"/>
            <w:shd w:fill="0F3D34" w:val="clear"/>
          </w:tcPr>
          <w:p>
            <w:r>
              <w:rPr>
                <w:b/>
                <w:bCs/>
                <w:color w:val="FFFFFF"/>
                <w:sz w:val="16"/>
                <w:szCs w:val="16"/>
              </w:rPr>
              <w:t xml:space="preserve">Indicator</w:t>
            </w:r>
          </w:p>
        </w:tc>
        <w:tc>
          <w:tcPr>
            <w:tcW w:type="dxa" w:w="1500"/>
            <w:shd w:fill="0F3D34" w:val="clear"/>
          </w:tcPr>
          <w:p>
            <w:r>
              <w:rPr>
                <w:b/>
                <w:bCs/>
                <w:color w:val="FFFFFF"/>
                <w:sz w:val="16"/>
                <w:szCs w:val="16"/>
              </w:rPr>
              <w:t xml:space="preserve">Baseline</w:t>
            </w:r>
          </w:p>
        </w:tc>
        <w:tc>
          <w:tcPr>
            <w:tcW w:type="dxa" w:w="1500"/>
            <w:shd w:fill="0F3D34" w:val="clear"/>
          </w:tcPr>
          <w:p>
            <w:r>
              <w:rPr>
                <w:b/>
                <w:bCs/>
                <w:color w:val="FFFFFF"/>
                <w:sz w:val="16"/>
                <w:szCs w:val="16"/>
              </w:rPr>
              <w:t xml:space="preserve">Target</w:t>
            </w:r>
          </w:p>
        </w:tc>
        <w:tc>
          <w:tcPr>
            <w:tcW w:type="dxa" w:w="2000"/>
            <w:shd w:fill="0F3D34" w:val="clear"/>
          </w:tcPr>
          <w:p>
            <w:r>
              <w:rPr>
                <w:b/>
                <w:bCs/>
                <w:color w:val="FFFFFF"/>
                <w:sz w:val="16"/>
                <w:szCs w:val="16"/>
              </w:rPr>
              <w:t xml:space="preserve">Means of verification</w:t>
            </w:r>
          </w:p>
        </w:tc>
      </w:tr>
      <w:tr>
        <w:tc>
          <w:tcPr>
            <w:tcW w:type="dxa" w:w="1300"/>
          </w:tcPr>
          <w:p>
            <w:r>
              <w:rPr>
                <w:b w:val="false"/>
                <w:bCs w:val="false"/>
                <w:color w:val="000000"/>
                <w:sz w:val="18"/>
                <w:szCs w:val="18"/>
              </w:rPr>
              <w:t xml:space="preserve">Impact</w:t>
            </w:r>
          </w:p>
        </w:tc>
        <w:tc>
          <w:tcPr>
            <w:tcW w:type="dxa" w:w="2400"/>
          </w:tcPr>
          <w:p>
            <w:r>
              <w:rPr>
                <w:b w:val="false"/>
                <w:bCs w:val="false"/>
                <w:color w:val="000000"/>
                <w:sz w:val="18"/>
                <w:szCs w:val="18"/>
              </w:rPr>
              <w:t xml:space="preserve">PwDs in Angara are more economically self-reliant and secure in their entitlements, through a self-governing Sangathan</w:t>
            </w:r>
          </w:p>
        </w:tc>
        <w:tc>
          <w:tcPr>
            <w:tcW w:type="dxa" w:w="2200"/>
          </w:tcPr>
          <w:p>
            <w:r>
              <w:rPr>
                <w:b w:val="false"/>
                <w:bCs w:val="false"/>
                <w:color w:val="000000"/>
                <w:sz w:val="18"/>
                <w:szCs w:val="18"/>
              </w:rPr>
              <w:t xml:space="preserve">(a) % of livelihood participants reporting income they control. (b) % of assessed members receiving at least one disability entitlement</w:t>
            </w:r>
          </w:p>
        </w:tc>
        <w:tc>
          <w:tcPr>
            <w:tcW w:type="dxa" w:w="1500"/>
          </w:tcPr>
          <w:p>
            <w:r>
              <w:rPr>
                <w:b w:val="false"/>
                <w:bCs w:val="false"/>
                <w:color w:val="000000"/>
                <w:sz w:val="18"/>
                <w:szCs w:val="18"/>
              </w:rPr>
              <w:t xml:space="preserve">To be established by the Month 1–3 survey</w:t>
            </w:r>
          </w:p>
        </w:tc>
        <w:tc>
          <w:tcPr>
            <w:tcW w:type="dxa" w:w="1500"/>
          </w:tcPr>
          <w:p>
            <w:r>
              <w:rPr>
                <w:b w:val="false"/>
                <w:bCs w:val="false"/>
                <w:color w:val="000000"/>
                <w:sz w:val="18"/>
                <w:szCs w:val="18"/>
              </w:rPr>
              <w:t xml:space="preserve">Improvement over baseline on both measures at endline; Sangathan continues tracking after Month 12</w:t>
            </w:r>
          </w:p>
        </w:tc>
        <w:tc>
          <w:tcPr>
            <w:tcW w:type="dxa" w:w="2000"/>
          </w:tcPr>
          <w:p>
            <w:r>
              <w:rPr>
                <w:b w:val="false"/>
                <w:bCs w:val="false"/>
                <w:color w:val="000000"/>
                <w:sz w:val="18"/>
                <w:szCs w:val="18"/>
              </w:rPr>
              <w:t xml:space="preserve">Baseline and endline survey; Sangathan tracker</w:t>
            </w:r>
          </w:p>
        </w:tc>
      </w:tr>
      <w:tr>
        <w:tc>
          <w:tcPr>
            <w:tcW w:type="dxa" w:w="1300"/>
          </w:tcPr>
          <w:p>
            <w:r>
              <w:rPr>
                <w:b w:val="false"/>
                <w:bCs w:val="false"/>
                <w:color w:val="000000"/>
                <w:sz w:val="18"/>
                <w:szCs w:val="18"/>
              </w:rPr>
              <w:t xml:space="preserve">Outcome 1</w:t>
            </w:r>
          </w:p>
        </w:tc>
        <w:tc>
          <w:tcPr>
            <w:tcW w:type="dxa" w:w="2400"/>
          </w:tcPr>
          <w:p>
            <w:r>
              <w:rPr>
                <w:b w:val="false"/>
                <w:bCs w:val="false"/>
                <w:color w:val="000000"/>
                <w:sz w:val="18"/>
                <w:szCs w:val="18"/>
              </w:rPr>
              <w:t xml:space="preserve">PwD participants earn regular income they control from homestead enterprises</w:t>
            </w:r>
          </w:p>
        </w:tc>
        <w:tc>
          <w:tcPr>
            <w:tcW w:type="dxa" w:w="2200"/>
          </w:tcPr>
          <w:p>
            <w:r>
              <w:rPr>
                <w:b w:val="false"/>
                <w:bCs w:val="false"/>
                <w:color w:val="000000"/>
                <w:sz w:val="18"/>
                <w:szCs w:val="18"/>
              </w:rPr>
              <w:t xml:space="preserve">(a) Number of the 150 participants reporting net income from the new activity in Months 10–12. (b) Median monthly net income versus baseline. (c) % of earners who decide on use of the income</w:t>
            </w:r>
          </w:p>
        </w:tc>
        <w:tc>
          <w:tcPr>
            <w:tcW w:type="dxa" w:w="1500"/>
          </w:tcPr>
          <w:p>
            <w:r>
              <w:rPr>
                <w:b w:val="false"/>
                <w:bCs w:val="false"/>
                <w:color w:val="000000"/>
                <w:sz w:val="18"/>
                <w:szCs w:val="18"/>
              </w:rPr>
              <w:t xml:space="preserve">0 from new activity; income and decision-making to be set at baseline</w:t>
            </w:r>
          </w:p>
        </w:tc>
        <w:tc>
          <w:tcPr>
            <w:tcW w:type="dxa" w:w="1500"/>
          </w:tcPr>
          <w:p>
            <w:r>
              <w:rPr>
                <w:b w:val="false"/>
                <w:bCs w:val="false"/>
                <w:color w:val="000000"/>
                <w:sz w:val="18"/>
                <w:szCs w:val="18"/>
              </w:rPr>
              <w:t xml:space="preserve">At least 100 of 150 earning; income threshold fixed after baseline; at least 60% of earners decide use of income</w:t>
            </w:r>
          </w:p>
        </w:tc>
        <w:tc>
          <w:tcPr>
            <w:tcW w:type="dxa" w:w="2000"/>
          </w:tcPr>
          <w:p>
            <w:r>
              <w:rPr>
                <w:b w:val="false"/>
                <w:bCs w:val="false"/>
                <w:color w:val="000000"/>
                <w:sz w:val="18"/>
                <w:szCs w:val="18"/>
              </w:rPr>
              <w:t xml:space="preserve">Participant income records; endline sample survey; Pashu Sakhi logs</w:t>
            </w:r>
          </w:p>
        </w:tc>
      </w:tr>
      <w:tr>
        <w:tc>
          <w:tcPr>
            <w:tcW w:type="dxa" w:w="1300"/>
          </w:tcPr>
          <w:p>
            <w:r>
              <w:rPr>
                <w:b w:val="false"/>
                <w:bCs w:val="false"/>
                <w:color w:val="000000"/>
                <w:sz w:val="18"/>
                <w:szCs w:val="18"/>
              </w:rPr>
              <w:t xml:space="preserve">Outcome 1</w:t>
            </w:r>
          </w:p>
        </w:tc>
        <w:tc>
          <w:tcPr>
            <w:tcW w:type="dxa" w:w="2400"/>
          </w:tcPr>
          <w:p>
            <w:r>
              <w:rPr>
                <w:b w:val="false"/>
                <w:bCs w:val="false"/>
                <w:color w:val="000000"/>
                <w:sz w:val="18"/>
                <w:szCs w:val="18"/>
              </w:rPr>
              <w:t xml:space="preserve">Goat enterprises are growing and passing on</w:t>
            </w:r>
          </w:p>
        </w:tc>
        <w:tc>
          <w:tcPr>
            <w:tcW w:type="dxa" w:w="2200"/>
          </w:tcPr>
          <w:p>
            <w:r>
              <w:rPr>
                <w:b w:val="false"/>
                <w:bCs w:val="false"/>
                <w:color w:val="000000"/>
                <w:sz w:val="18"/>
                <w:szCs w:val="18"/>
              </w:rPr>
              <w:t xml:space="preserve">(a) Goat households with at least 1 live kid by Month 12. (b) Mortality of distributed animals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At least 20 of 30 households with a kid; mortality at or below 10%; pass-on to next households started or scheduled</w:t>
            </w:r>
          </w:p>
        </w:tc>
        <w:tc>
          <w:tcPr>
            <w:tcW w:type="dxa" w:w="2000"/>
          </w:tcPr>
          <w:p>
            <w:r>
              <w:rPr>
                <w:b w:val="false"/>
                <w:bCs w:val="false"/>
                <w:color w:val="000000"/>
                <w:sz w:val="18"/>
                <w:szCs w:val="18"/>
              </w:rPr>
              <w:t xml:space="preserve">Livestock register; veterinary and vaccination records</w:t>
            </w:r>
          </w:p>
        </w:tc>
      </w:tr>
      <w:tr>
        <w:tc>
          <w:tcPr>
            <w:tcW w:type="dxa" w:w="1300"/>
          </w:tcPr>
          <w:p>
            <w:r>
              <w:rPr>
                <w:b w:val="false"/>
                <w:bCs w:val="false"/>
                <w:color w:val="000000"/>
                <w:sz w:val="18"/>
                <w:szCs w:val="18"/>
              </w:rPr>
              <w:t xml:space="preserve">Outcome 2</w:t>
            </w:r>
          </w:p>
        </w:tc>
        <w:tc>
          <w:tcPr>
            <w:tcW w:type="dxa" w:w="2400"/>
          </w:tcPr>
          <w:p>
            <w:r>
              <w:rPr>
                <w:b w:val="false"/>
                <w:bCs w:val="false"/>
                <w:color w:val="000000"/>
                <w:sz w:val="18"/>
                <w:szCs w:val="18"/>
              </w:rPr>
              <w:t xml:space="preserve">Members actually receive entitlements</w:t>
            </w:r>
          </w:p>
        </w:tc>
        <w:tc>
          <w:tcPr>
            <w:tcW w:type="dxa" w:w="2200"/>
          </w:tcPr>
          <w:p>
            <w:r>
              <w:rPr>
                <w:b w:val="false"/>
                <w:bCs w:val="false"/>
                <w:color w:val="000000"/>
                <w:sz w:val="18"/>
                <w:szCs w:val="18"/>
              </w:rPr>
              <w:t xml:space="preserve">(a) UDID or disability certificates issued. (b) SVNSPY pensions with first credit received. (c) Assistive devices received. (d) Other scheme sanctions</w:t>
            </w:r>
          </w:p>
        </w:tc>
        <w:tc>
          <w:tcPr>
            <w:tcW w:type="dxa" w:w="1500"/>
          </w:tcPr>
          <w:p>
            <w:r>
              <w:rPr>
                <w:b w:val="false"/>
                <w:bCs w:val="false"/>
                <w:color w:val="000000"/>
                <w:sz w:val="18"/>
                <w:szCs w:val="18"/>
              </w:rPr>
              <w:t xml:space="preserve">Current holders and recipients to be established at baseline</w:t>
            </w:r>
          </w:p>
        </w:tc>
        <w:tc>
          <w:tcPr>
            <w:tcW w:type="dxa" w:w="1500"/>
          </w:tcPr>
          <w:p>
            <w:r>
              <w:rPr>
                <w:b w:val="false"/>
                <w:bCs w:val="false"/>
                <w:color w:val="000000"/>
                <w:sz w:val="18"/>
                <w:szCs w:val="18"/>
              </w:rPr>
              <w:t xml:space="preserve">At least 200 certificates or UDIDs issued; at least 120 pensions credited; at least 60 devices received; at least 30 other sanctions</w:t>
            </w:r>
          </w:p>
        </w:tc>
        <w:tc>
          <w:tcPr>
            <w:tcW w:type="dxa" w:w="2000"/>
          </w:tcPr>
          <w:p>
            <w:r>
              <w:rPr>
                <w:b w:val="false"/>
                <w:bCs w:val="false"/>
                <w:color w:val="000000"/>
                <w:sz w:val="18"/>
                <w:szCs w:val="18"/>
              </w:rPr>
              <w:t xml:space="preserve">UDID portal status; pension sanction orders and DBT or passbook check (with consent); ADIP camp lists; tracker</w:t>
            </w:r>
          </w:p>
        </w:tc>
      </w:tr>
      <w:tr>
        <w:tc>
          <w:tcPr>
            <w:tcW w:type="dxa" w:w="1300"/>
          </w:tcPr>
          <w:p>
            <w:r>
              <w:rPr>
                <w:b w:val="false"/>
                <w:bCs w:val="false"/>
                <w:color w:val="000000"/>
                <w:sz w:val="18"/>
                <w:szCs w:val="18"/>
              </w:rPr>
              <w:t xml:space="preserve">Outcome 3</w:t>
            </w:r>
          </w:p>
        </w:tc>
        <w:tc>
          <w:tcPr>
            <w:tcW w:type="dxa" w:w="2400"/>
          </w:tcPr>
          <w:p>
            <w:r>
              <w:rPr>
                <w:b w:val="false"/>
                <w:bCs w:val="false"/>
                <w:color w:val="000000"/>
                <w:sz w:val="18"/>
                <w:szCs w:val="18"/>
              </w:rPr>
              <w:t xml:space="preserve">The Sangathan is a formally structured, PwD-led institution</w:t>
            </w:r>
          </w:p>
        </w:tc>
        <w:tc>
          <w:tcPr>
            <w:tcW w:type="dxa" w:w="2200"/>
          </w:tcPr>
          <w:p>
            <w:r>
              <w:rPr>
                <w:b w:val="false"/>
                <w:bCs w:val="false"/>
                <w:color w:val="000000"/>
                <w:sz w:val="18"/>
                <w:szCs w:val="18"/>
              </w:rPr>
              <w:t xml:space="preserve">(a) Registration status. (b) Elected governing body composition. (c) Clusters where leaders update the tracker without staff in Months 10–12</w:t>
            </w:r>
          </w:p>
        </w:tc>
        <w:tc>
          <w:tcPr>
            <w:tcW w:type="dxa" w:w="1500"/>
          </w:tcPr>
          <w:p>
            <w:r>
              <w:rPr>
                <w:b w:val="false"/>
                <w:bCs w:val="false"/>
                <w:color w:val="000000"/>
                <w:sz w:val="18"/>
                <w:szCs w:val="18"/>
              </w:rPr>
              <w:t xml:space="preserve">Unregistered; no elected body; no tracker</w:t>
            </w:r>
          </w:p>
        </w:tc>
        <w:tc>
          <w:tcPr>
            <w:tcW w:type="dxa" w:w="1500"/>
          </w:tcPr>
          <w:p>
            <w:r>
              <w:rPr>
                <w:b w:val="false"/>
                <w:bCs w:val="false"/>
                <w:color w:val="000000"/>
                <w:sz w:val="18"/>
                <w:szCs w:val="18"/>
              </w:rPr>
              <w:t xml:space="preserve">Registration filed (obtained if the timeline allows); body elected with at least 40% women and at least 3 disability types; at least 7 of 10 clusters updating independently</w:t>
            </w:r>
          </w:p>
        </w:tc>
        <w:tc>
          <w:tcPr>
            <w:tcW w:type="dxa" w:w="2000"/>
          </w:tcPr>
          <w:p>
            <w:r>
              <w:rPr>
                <w:b w:val="false"/>
                <w:bCs w:val="false"/>
                <w:color w:val="000000"/>
                <w:sz w:val="18"/>
                <w:szCs w:val="18"/>
              </w:rPr>
              <w:t xml:space="preserve">Registration filing receipt; general body minutes; tracker audit</w:t>
            </w:r>
          </w:p>
        </w:tc>
      </w:tr>
      <w:tr>
        <w:tc>
          <w:tcPr>
            <w:tcW w:type="dxa" w:w="1300"/>
          </w:tcPr>
          <w:p>
            <w:r>
              <w:rPr>
                <w:b w:val="false"/>
                <w:bCs w:val="false"/>
                <w:color w:val="000000"/>
                <w:sz w:val="18"/>
                <w:szCs w:val="18"/>
              </w:rPr>
              <w:t xml:space="preserve">Output 1.1</w:t>
            </w:r>
          </w:p>
        </w:tc>
        <w:tc>
          <w:tcPr>
            <w:tcW w:type="dxa" w:w="2400"/>
          </w:tcPr>
          <w:p>
            <w:r>
              <w:rPr>
                <w:b w:val="false"/>
                <w:bCs w:val="false"/>
                <w:color w:val="000000"/>
                <w:sz w:val="18"/>
                <w:szCs w:val="18"/>
              </w:rPr>
              <w:t xml:space="preserve">Disability-matched enterprises established</w:t>
            </w:r>
          </w:p>
        </w:tc>
        <w:tc>
          <w:tcPr>
            <w:tcW w:type="dxa" w:w="2200"/>
          </w:tcPr>
          <w:p>
            <w:r>
              <w:rPr>
                <w:b w:val="false"/>
                <w:bCs w:val="false"/>
                <w:color w:val="000000"/>
                <w:sz w:val="18"/>
                <w:szCs w:val="18"/>
              </w:rPr>
              <w:t xml:space="preserve">Households trained and provided with units in the PwD's name (by type), and inclusion-quota compliance</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150 households (50 poultry, 30 goat, 30 mushroom, 40 kitchen garden); at least 50% women; at least 30% non-locomotor</w:t>
            </w:r>
          </w:p>
        </w:tc>
        <w:tc>
          <w:tcPr>
            <w:tcW w:type="dxa" w:w="2000"/>
          </w:tcPr>
          <w:p>
            <w:r>
              <w:rPr>
                <w:b w:val="false"/>
                <w:bCs w:val="false"/>
                <w:color w:val="000000"/>
                <w:sz w:val="18"/>
                <w:szCs w:val="18"/>
              </w:rPr>
              <w:t xml:space="preserve">Selection list; training attendance; distribution register with signatures</w:t>
            </w:r>
          </w:p>
        </w:tc>
      </w:tr>
      <w:tr>
        <w:tc>
          <w:tcPr>
            <w:tcW w:type="dxa" w:w="1300"/>
          </w:tcPr>
          <w:p>
            <w:r>
              <w:rPr>
                <w:b w:val="false"/>
                <w:bCs w:val="false"/>
                <w:color w:val="000000"/>
                <w:sz w:val="18"/>
                <w:szCs w:val="18"/>
              </w:rPr>
              <w:t xml:space="preserve">Output 1.2</w:t>
            </w:r>
          </w:p>
        </w:tc>
        <w:tc>
          <w:tcPr>
            <w:tcW w:type="dxa" w:w="2400"/>
          </w:tcPr>
          <w:p>
            <w:r>
              <w:rPr>
                <w:b w:val="false"/>
                <w:bCs w:val="false"/>
                <w:color w:val="000000"/>
                <w:sz w:val="18"/>
                <w:szCs w:val="18"/>
              </w:rPr>
              <w:t xml:space="preserve">Livestock support and marketing systems running</w:t>
            </w:r>
          </w:p>
        </w:tc>
        <w:tc>
          <w:tcPr>
            <w:tcW w:type="dxa" w:w="2200"/>
          </w:tcPr>
          <w:p>
            <w:r>
              <w:rPr>
                <w:b w:val="false"/>
                <w:bCs w:val="false"/>
                <w:color w:val="000000"/>
                <w:sz w:val="18"/>
                <w:szCs w:val="18"/>
              </w:rPr>
              <w:t xml:space="preserve">Pashu Sakhi visits completed; pass-on agreements signed; marketing groups formed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About 720 visits; 30 pass-on agreements; 10 marketing groups</w:t>
            </w:r>
          </w:p>
        </w:tc>
        <w:tc>
          <w:tcPr>
            <w:tcW w:type="dxa" w:w="2000"/>
          </w:tcPr>
          <w:p>
            <w:r>
              <w:rPr>
                <w:b w:val="false"/>
                <w:bCs w:val="false"/>
                <w:color w:val="000000"/>
                <w:sz w:val="18"/>
                <w:szCs w:val="18"/>
              </w:rPr>
              <w:t xml:space="preserve">Visit logs; signed agreements; group records</w:t>
            </w:r>
          </w:p>
        </w:tc>
      </w:tr>
      <w:tr>
        <w:tc>
          <w:tcPr>
            <w:tcW w:type="dxa" w:w="1300"/>
          </w:tcPr>
          <w:p>
            <w:r>
              <w:rPr>
                <w:b w:val="false"/>
                <w:bCs w:val="false"/>
                <w:color w:val="000000"/>
                <w:sz w:val="18"/>
                <w:szCs w:val="18"/>
              </w:rPr>
              <w:t xml:space="preserve">Output 1.3</w:t>
            </w:r>
          </w:p>
        </w:tc>
        <w:tc>
          <w:tcPr>
            <w:tcW w:type="dxa" w:w="2400"/>
          </w:tcPr>
          <w:p>
            <w:r>
              <w:rPr>
                <w:b w:val="false"/>
                <w:bCs w:val="false"/>
                <w:color w:val="000000"/>
                <w:sz w:val="18"/>
                <w:szCs w:val="18"/>
              </w:rPr>
              <w:t xml:space="preserve">MPVY convergence facilitated</w:t>
            </w:r>
          </w:p>
        </w:tc>
        <w:tc>
          <w:tcPr>
            <w:tcW w:type="dxa" w:w="2200"/>
          </w:tcPr>
          <w:p>
            <w:r>
              <w:rPr>
                <w:b w:val="false"/>
                <w:bCs w:val="false"/>
                <w:color w:val="000000"/>
                <w:sz w:val="18"/>
                <w:szCs w:val="18"/>
              </w:rPr>
              <w:t xml:space="preserve">MPVY applications submitted for members</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At least 30</w:t>
            </w:r>
          </w:p>
        </w:tc>
        <w:tc>
          <w:tcPr>
            <w:tcW w:type="dxa" w:w="2000"/>
          </w:tcPr>
          <w:p>
            <w:r>
              <w:rPr>
                <w:b w:val="false"/>
                <w:bCs w:val="false"/>
                <w:color w:val="000000"/>
                <w:sz w:val="18"/>
                <w:szCs w:val="18"/>
              </w:rPr>
              <w:t xml:space="preserve">Application acknowledgements</w:t>
            </w:r>
          </w:p>
        </w:tc>
      </w:tr>
      <w:tr>
        <w:tc>
          <w:tcPr>
            <w:tcW w:type="dxa" w:w="1300"/>
          </w:tcPr>
          <w:p>
            <w:r>
              <w:rPr>
                <w:b w:val="false"/>
                <w:bCs w:val="false"/>
                <w:color w:val="000000"/>
                <w:sz w:val="18"/>
                <w:szCs w:val="18"/>
              </w:rPr>
              <w:t xml:space="preserve">Output 2.1</w:t>
            </w:r>
          </w:p>
        </w:tc>
        <w:tc>
          <w:tcPr>
            <w:tcW w:type="dxa" w:w="2400"/>
          </w:tcPr>
          <w:p>
            <w:r>
              <w:rPr>
                <w:b w:val="false"/>
                <w:bCs w:val="false"/>
                <w:color w:val="000000"/>
                <w:sz w:val="18"/>
                <w:szCs w:val="18"/>
              </w:rPr>
              <w:t xml:space="preserve">Consent-based needs assessment and secure database</w:t>
            </w:r>
          </w:p>
        </w:tc>
        <w:tc>
          <w:tcPr>
            <w:tcW w:type="dxa" w:w="2200"/>
          </w:tcPr>
          <w:p>
            <w:r>
              <w:rPr>
                <w:b w:val="false"/>
                <w:bCs w:val="false"/>
                <w:color w:val="000000"/>
                <w:sz w:val="18"/>
                <w:szCs w:val="18"/>
              </w:rPr>
              <w:t xml:space="preserve">Members assessed with documented consent; data-protection protocol in place</w:t>
            </w:r>
          </w:p>
        </w:tc>
        <w:tc>
          <w:tcPr>
            <w:tcW w:type="dxa" w:w="1500"/>
          </w:tcPr>
          <w:p>
            <w:r>
              <w:rPr>
                <w:b w:val="false"/>
                <w:bCs w:val="false"/>
                <w:color w:val="000000"/>
                <w:sz w:val="18"/>
                <w:szCs w:val="18"/>
              </w:rPr>
              <w:t xml:space="preserve">No database</w:t>
            </w:r>
          </w:p>
        </w:tc>
        <w:tc>
          <w:tcPr>
            <w:tcW w:type="dxa" w:w="1500"/>
          </w:tcPr>
          <w:p>
            <w:r>
              <w:rPr>
                <w:b w:val="false"/>
                <w:bCs w:val="false"/>
                <w:color w:val="000000"/>
                <w:sz w:val="18"/>
                <w:szCs w:val="18"/>
              </w:rPr>
              <w:t xml:space="preserve">At least 850 assessed; protocol adopted by Month 2</w:t>
            </w:r>
          </w:p>
        </w:tc>
        <w:tc>
          <w:tcPr>
            <w:tcW w:type="dxa" w:w="2000"/>
          </w:tcPr>
          <w:p>
            <w:r>
              <w:rPr>
                <w:b w:val="false"/>
                <w:bCs w:val="false"/>
                <w:color w:val="000000"/>
                <w:sz w:val="18"/>
                <w:szCs w:val="18"/>
              </w:rPr>
              <w:t xml:space="preserve">Survey dataset; consent records; Sangathan resolution</w:t>
            </w:r>
          </w:p>
        </w:tc>
      </w:tr>
      <w:tr>
        <w:tc>
          <w:tcPr>
            <w:tcW w:type="dxa" w:w="1300"/>
          </w:tcPr>
          <w:p>
            <w:r>
              <w:rPr>
                <w:b w:val="false"/>
                <w:bCs w:val="false"/>
                <w:color w:val="000000"/>
                <w:sz w:val="18"/>
                <w:szCs w:val="18"/>
              </w:rPr>
              <w:t xml:space="preserve">Output 2.2</w:t>
            </w:r>
          </w:p>
        </w:tc>
        <w:tc>
          <w:tcPr>
            <w:tcW w:type="dxa" w:w="2400"/>
          </w:tcPr>
          <w:p>
            <w:r>
              <w:rPr>
                <w:b w:val="false"/>
                <w:bCs w:val="false"/>
                <w:color w:val="000000"/>
                <w:sz w:val="18"/>
                <w:szCs w:val="18"/>
              </w:rPr>
              <w:t xml:space="preserve">Certification and UDID applications submitted</w:t>
            </w:r>
          </w:p>
        </w:tc>
        <w:tc>
          <w:tcPr>
            <w:tcW w:type="dxa" w:w="2200"/>
          </w:tcPr>
          <w:p>
            <w:r>
              <w:rPr>
                <w:b w:val="false"/>
                <w:bCs w:val="false"/>
                <w:color w:val="000000"/>
                <w:sz w:val="18"/>
                <w:szCs w:val="18"/>
              </w:rPr>
              <w:t xml:space="preserve">Applications submitted; camps held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300 applications; 3 camps</w:t>
            </w:r>
          </w:p>
        </w:tc>
        <w:tc>
          <w:tcPr>
            <w:tcW w:type="dxa" w:w="2000"/>
          </w:tcPr>
          <w:p>
            <w:r>
              <w:rPr>
                <w:b w:val="false"/>
                <w:bCs w:val="false"/>
                <w:color w:val="000000"/>
                <w:sz w:val="18"/>
                <w:szCs w:val="18"/>
              </w:rPr>
              <w:t xml:space="preserve">UDID enrolment numbers; camp reports</w:t>
            </w:r>
          </w:p>
        </w:tc>
      </w:tr>
      <w:tr>
        <w:tc>
          <w:tcPr>
            <w:tcW w:type="dxa" w:w="1300"/>
          </w:tcPr>
          <w:p>
            <w:r>
              <w:rPr>
                <w:b w:val="false"/>
                <w:bCs w:val="false"/>
                <w:color w:val="000000"/>
                <w:sz w:val="18"/>
                <w:szCs w:val="18"/>
              </w:rPr>
              <w:t xml:space="preserve">Output 2.3</w:t>
            </w:r>
          </w:p>
        </w:tc>
        <w:tc>
          <w:tcPr>
            <w:tcW w:type="dxa" w:w="2400"/>
          </w:tcPr>
          <w:p>
            <w:r>
              <w:rPr>
                <w:b w:val="false"/>
                <w:bCs w:val="false"/>
                <w:color w:val="000000"/>
                <w:sz w:val="18"/>
                <w:szCs w:val="18"/>
              </w:rPr>
              <w:t xml:space="preserve">Pension and other scheme applications submitted</w:t>
            </w:r>
          </w:p>
        </w:tc>
        <w:tc>
          <w:tcPr>
            <w:tcW w:type="dxa" w:w="2200"/>
          </w:tcPr>
          <w:p>
            <w:r>
              <w:rPr>
                <w:b w:val="false"/>
                <w:bCs w:val="false"/>
                <w:color w:val="000000"/>
                <w:sz w:val="18"/>
                <w:szCs w:val="18"/>
              </w:rPr>
              <w:t xml:space="preserve">SVNSPY and other scheme applications submitted</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200 SVNSPY; at least 60 others</w:t>
            </w:r>
          </w:p>
        </w:tc>
        <w:tc>
          <w:tcPr>
            <w:tcW w:type="dxa" w:w="2000"/>
          </w:tcPr>
          <w:p>
            <w:r>
              <w:rPr>
                <w:b w:val="false"/>
                <w:bCs w:val="false"/>
                <w:color w:val="000000"/>
                <w:sz w:val="18"/>
                <w:szCs w:val="18"/>
              </w:rPr>
              <w:t xml:space="preserve">Block office acknowledgements; tracker</w:t>
            </w:r>
          </w:p>
        </w:tc>
      </w:tr>
      <w:tr>
        <w:tc>
          <w:tcPr>
            <w:tcW w:type="dxa" w:w="1300"/>
          </w:tcPr>
          <w:p>
            <w:r>
              <w:rPr>
                <w:b w:val="false"/>
                <w:bCs w:val="false"/>
                <w:color w:val="000000"/>
                <w:sz w:val="18"/>
                <w:szCs w:val="18"/>
              </w:rPr>
              <w:t xml:space="preserve">Output 2.4</w:t>
            </w:r>
          </w:p>
        </w:tc>
        <w:tc>
          <w:tcPr>
            <w:tcW w:type="dxa" w:w="2400"/>
          </w:tcPr>
          <w:p>
            <w:r>
              <w:rPr>
                <w:b w:val="false"/>
                <w:bCs w:val="false"/>
                <w:color w:val="000000"/>
                <w:sz w:val="18"/>
                <w:szCs w:val="18"/>
              </w:rPr>
              <w:t xml:space="preserve">ADIP camp and convergence meets held</w:t>
            </w:r>
          </w:p>
        </w:tc>
        <w:tc>
          <w:tcPr>
            <w:tcW w:type="dxa" w:w="2200"/>
          </w:tcPr>
          <w:p>
            <w:r>
              <w:rPr>
                <w:b w:val="false"/>
                <w:bCs w:val="false"/>
                <w:color w:val="000000"/>
                <w:sz w:val="18"/>
                <w:szCs w:val="18"/>
              </w:rPr>
              <w:t xml:space="preserve">Events held with department participation</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1 ADIP camp; 2 convergence meets</w:t>
            </w:r>
          </w:p>
        </w:tc>
        <w:tc>
          <w:tcPr>
            <w:tcW w:type="dxa" w:w="2000"/>
          </w:tcPr>
          <w:p>
            <w:r>
              <w:rPr>
                <w:b w:val="false"/>
                <w:bCs w:val="false"/>
                <w:color w:val="000000"/>
                <w:sz w:val="18"/>
                <w:szCs w:val="18"/>
              </w:rPr>
              <w:t xml:space="preserve">Attendance sheets; department letters</w:t>
            </w:r>
          </w:p>
        </w:tc>
      </w:tr>
      <w:tr>
        <w:tc>
          <w:tcPr>
            <w:tcW w:type="dxa" w:w="1300"/>
          </w:tcPr>
          <w:p>
            <w:r>
              <w:rPr>
                <w:b w:val="false"/>
                <w:bCs w:val="false"/>
                <w:color w:val="000000"/>
                <w:sz w:val="18"/>
                <w:szCs w:val="18"/>
              </w:rPr>
              <w:t xml:space="preserve">Output 3.1</w:t>
            </w:r>
          </w:p>
        </w:tc>
        <w:tc>
          <w:tcPr>
            <w:tcW w:type="dxa" w:w="2400"/>
          </w:tcPr>
          <w:p>
            <w:r>
              <w:rPr>
                <w:b w:val="false"/>
                <w:bCs w:val="false"/>
                <w:color w:val="000000"/>
                <w:sz w:val="18"/>
                <w:szCs w:val="18"/>
              </w:rPr>
              <w:t xml:space="preserve">Second-tier leaders trained</w:t>
            </w:r>
          </w:p>
        </w:tc>
        <w:tc>
          <w:tcPr>
            <w:tcW w:type="dxa" w:w="2200"/>
          </w:tcPr>
          <w:p>
            <w:r>
              <w:rPr>
                <w:b w:val="false"/>
                <w:bCs w:val="false"/>
                <w:color w:val="000000"/>
                <w:sz w:val="18"/>
                <w:szCs w:val="18"/>
              </w:rPr>
              <w:t xml:space="preserve">Leaders trained, by gender and disability type</w:t>
            </w:r>
          </w:p>
        </w:tc>
        <w:tc>
          <w:tcPr>
            <w:tcW w:type="dxa" w:w="1500"/>
          </w:tcPr>
          <w:p>
            <w:r>
              <w:rPr>
                <w:b w:val="false"/>
                <w:bCs w:val="false"/>
                <w:color w:val="000000"/>
                <w:sz w:val="18"/>
                <w:szCs w:val="18"/>
              </w:rPr>
              <w:t xml:space="preserve">0</w:t>
            </w:r>
          </w:p>
        </w:tc>
        <w:tc>
          <w:tcPr>
            <w:tcW w:type="dxa" w:w="1500"/>
          </w:tcPr>
          <w:p>
            <w:r>
              <w:rPr>
                <w:b w:val="false"/>
                <w:bCs w:val="false"/>
                <w:color w:val="000000"/>
                <w:sz w:val="18"/>
                <w:szCs w:val="18"/>
              </w:rPr>
              <w:t xml:space="preserve">15–20; at least 50% women</w:t>
            </w:r>
          </w:p>
        </w:tc>
        <w:tc>
          <w:tcPr>
            <w:tcW w:type="dxa" w:w="2000"/>
          </w:tcPr>
          <w:p>
            <w:r>
              <w:rPr>
                <w:b w:val="false"/>
                <w:bCs w:val="false"/>
                <w:color w:val="000000"/>
                <w:sz w:val="18"/>
                <w:szCs w:val="18"/>
              </w:rPr>
              <w:t xml:space="preserve">Training records; pre/post assessment</w:t>
            </w:r>
          </w:p>
        </w:tc>
      </w:tr>
      <w:tr>
        <w:tc>
          <w:tcPr>
            <w:tcW w:type="dxa" w:w="1300"/>
          </w:tcPr>
          <w:p>
            <w:r>
              <w:rPr>
                <w:b w:val="false"/>
                <w:bCs w:val="false"/>
                <w:color w:val="000000"/>
                <w:sz w:val="18"/>
                <w:szCs w:val="18"/>
              </w:rPr>
              <w:t xml:space="preserve">Output 3.2</w:t>
            </w:r>
          </w:p>
        </w:tc>
        <w:tc>
          <w:tcPr>
            <w:tcW w:type="dxa" w:w="2400"/>
          </w:tcPr>
          <w:p>
            <w:r>
              <w:rPr>
                <w:b w:val="false"/>
                <w:bCs w:val="false"/>
                <w:color w:val="000000"/>
                <w:sz w:val="18"/>
                <w:szCs w:val="18"/>
              </w:rPr>
              <w:t xml:space="preserve">Governance structure formed</w:t>
            </w:r>
          </w:p>
        </w:tc>
        <w:tc>
          <w:tcPr>
            <w:tcW w:type="dxa" w:w="2200"/>
          </w:tcPr>
          <w:p>
            <w:r>
              <w:rPr>
                <w:b w:val="false"/>
                <w:bCs w:val="false"/>
                <w:color w:val="000000"/>
                <w:sz w:val="18"/>
                <w:szCs w:val="18"/>
              </w:rPr>
              <w:t xml:space="preserve">Village coordinators active; bylaws; general body; elections</w:t>
            </w:r>
          </w:p>
        </w:tc>
        <w:tc>
          <w:tcPr>
            <w:tcW w:type="dxa" w:w="1500"/>
          </w:tcPr>
          <w:p>
            <w:r>
              <w:rPr>
                <w:b w:val="false"/>
                <w:bCs w:val="false"/>
                <w:color w:val="000000"/>
                <w:sz w:val="18"/>
                <w:szCs w:val="18"/>
              </w:rPr>
              <w:t xml:space="preserve">Informal leadership</w:t>
            </w:r>
          </w:p>
        </w:tc>
        <w:tc>
          <w:tcPr>
            <w:tcW w:type="dxa" w:w="1500"/>
          </w:tcPr>
          <w:p>
            <w:r>
              <w:rPr>
                <w:b w:val="false"/>
                <w:bCs w:val="false"/>
                <w:color w:val="000000"/>
                <w:sz w:val="18"/>
                <w:szCs w:val="18"/>
              </w:rPr>
              <w:t xml:space="preserve">10 coordinators; bylaws adopted; elections held by Month 10</w:t>
            </w:r>
          </w:p>
        </w:tc>
        <w:tc>
          <w:tcPr>
            <w:tcW w:type="dxa" w:w="2000"/>
          </w:tcPr>
          <w:p>
            <w:r>
              <w:rPr>
                <w:b w:val="false"/>
                <w:bCs w:val="false"/>
                <w:color w:val="000000"/>
                <w:sz w:val="18"/>
                <w:szCs w:val="18"/>
              </w:rPr>
              <w:t xml:space="preserve">Minutes; bylaws; coordinator reports</w:t>
            </w:r>
          </w:p>
        </w:tc>
      </w:tr>
    </w:tbl>
    <w:p>
      <w:pPr>
        <w:pStyle w:val="Heading1"/>
        <w:pageBreakBefore/>
        <w:spacing w:after="140" w:before="280"/>
      </w:pPr>
      <w:r>
        <w:rPr>
          <w:b/>
          <w:bCs/>
          <w:color w:val="0F3D34"/>
          <w:sz w:val="30"/>
          <w:szCs w:val="30"/>
        </w:rPr>
        <w:t xml:space="preserve">Risk Management</w:t>
      </w:r>
    </w:p>
    <w:p>
      <w:pPr>
        <w:spacing w:after="140"/>
      </w:pPr>
      <w:r>
        <w:rPr>
          <w:sz w:val="22"/>
          <w:szCs w:val="22"/>
        </w:rPr>
        <w:t xml:space="preserve">The project's principal risks, their likelihood and impact, and how each is managed:</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5600"/>
      </w:tblGrid>
      <w:tr>
        <w:tc>
          <w:tcPr>
            <w:tcW w:type="dxa" w:w="3000"/>
            <w:shd w:fill="0F3D34" w:val="clear"/>
          </w:tcPr>
          <w:p>
            <w:r>
              <w:rPr>
                <w:b/>
                <w:bCs/>
                <w:color w:val="FFFFFF"/>
                <w:sz w:val="16"/>
                <w:szCs w:val="16"/>
              </w:rPr>
              <w:t xml:space="preserve">Risk</w:t>
            </w:r>
          </w:p>
        </w:tc>
        <w:tc>
          <w:tcPr>
            <w:tcW w:type="dxa" w:w="1400"/>
            <w:shd w:fill="0F3D34" w:val="clear"/>
          </w:tcPr>
          <w:p>
            <w:r>
              <w:rPr>
                <w:b/>
                <w:bCs/>
                <w:color w:val="FFFFFF"/>
                <w:sz w:val="16"/>
                <w:szCs w:val="16"/>
              </w:rPr>
              <w:t xml:space="preserve">Likelihood</w:t>
            </w:r>
          </w:p>
        </w:tc>
        <w:tc>
          <w:tcPr>
            <w:tcW w:type="dxa" w:w="1400"/>
            <w:shd w:fill="0F3D34" w:val="clear"/>
          </w:tcPr>
          <w:p>
            <w:r>
              <w:rPr>
                <w:b/>
                <w:bCs/>
                <w:color w:val="FFFFFF"/>
                <w:sz w:val="16"/>
                <w:szCs w:val="16"/>
              </w:rPr>
              <w:t xml:space="preserve">Impact</w:t>
            </w:r>
          </w:p>
        </w:tc>
        <w:tc>
          <w:tcPr>
            <w:tcW w:type="dxa" w:w="5600"/>
            <w:shd w:fill="0F3D34" w:val="clear"/>
          </w:tcPr>
          <w:p>
            <w:r>
              <w:rPr>
                <w:b/>
                <w:bCs/>
                <w:color w:val="FFFFFF"/>
                <w:sz w:val="16"/>
                <w:szCs w:val="16"/>
              </w:rPr>
              <w:t xml:space="preserve">Mitigation</w:t>
            </w:r>
          </w:p>
        </w:tc>
      </w:tr>
      <w:tr>
        <w:tc>
          <w:tcPr>
            <w:tcW w:type="dxa" w:w="3000"/>
          </w:tcPr>
          <w:p>
            <w:r>
              <w:rPr>
                <w:sz w:val="18"/>
                <w:szCs w:val="18"/>
              </w:rPr>
              <w:t xml:space="preserve">livestock mortality or disease</w:t>
            </w:r>
          </w:p>
        </w:tc>
        <w:tc>
          <w:tcPr>
            <w:tcW w:type="dxa" w:w="1400"/>
          </w:tcPr>
          <w:p>
            <w:r>
              <w:rPr>
                <w:b/>
                <w:bCs/>
                <w:color w:val="9A6A00"/>
                <w:sz w:val="18"/>
                <w:szCs w:val="18"/>
              </w:rPr>
              <w:t xml:space="preserve">medium</w:t>
            </w:r>
          </w:p>
        </w:tc>
        <w:tc>
          <w:tcPr>
            <w:tcW w:type="dxa" w:w="1400"/>
          </w:tcPr>
          <w:p>
            <w:r>
              <w:rPr>
                <w:b/>
                <w:bCs/>
                <w:color w:val="B3261E"/>
                <w:sz w:val="18"/>
                <w:szCs w:val="18"/>
              </w:rPr>
              <w:t xml:space="preserve">high</w:t>
            </w:r>
          </w:p>
        </w:tc>
        <w:tc>
          <w:tcPr>
            <w:tcW w:type="dxa" w:w="5600"/>
          </w:tcPr>
          <w:p>
            <w:r>
              <w:rPr>
                <w:sz w:val="18"/>
                <w:szCs w:val="18"/>
              </w:rPr>
              <w:t xml:space="preserve">vaccination and deworming before distribution; no goat distribution during peak monsoon; night shelters; Pashu Sakhi visits; insurance where available.</w:t>
            </w:r>
          </w:p>
        </w:tc>
      </w:tr>
      <w:tr>
        <w:tc>
          <w:tcPr>
            <w:tcW w:type="dxa" w:w="3000"/>
          </w:tcPr>
          <w:p>
            <w:r>
              <w:rPr>
                <w:sz w:val="18"/>
                <w:szCs w:val="18"/>
              </w:rPr>
              <w:t xml:space="preserve">medical-board or pension-sanction delays</w:t>
            </w:r>
          </w:p>
        </w:tc>
        <w:tc>
          <w:tcPr>
            <w:tcW w:type="dxa" w:w="1400"/>
          </w:tcPr>
          <w:p>
            <w:r>
              <w:rPr>
                <w:b/>
                <w:bCs/>
                <w:color w:val="B3261E"/>
                <w:sz w:val="18"/>
                <w:szCs w:val="18"/>
              </w:rPr>
              <w:t xml:space="preserve">high</w:t>
            </w:r>
          </w:p>
        </w:tc>
        <w:tc>
          <w:tcPr>
            <w:tcW w:type="dxa" w:w="1400"/>
          </w:tcPr>
          <w:p>
            <w:r>
              <w:rPr>
                <w:b/>
                <w:bCs/>
                <w:color w:val="B3261E"/>
                <w:sz w:val="18"/>
                <w:szCs w:val="18"/>
              </w:rPr>
              <w:t xml:space="preserve">high</w:t>
            </w:r>
          </w:p>
        </w:tc>
        <w:tc>
          <w:tcPr>
            <w:tcW w:type="dxa" w:w="5600"/>
          </w:tcPr>
          <w:p>
            <w:r>
              <w:rPr>
                <w:sz w:val="18"/>
                <w:szCs w:val="18"/>
              </w:rPr>
              <w:t xml:space="preserve">early engagement with DDRC and the block office; a tracker with escalation steps; outcome targets set below application targets.</w:t>
            </w:r>
          </w:p>
        </w:tc>
      </w:tr>
      <w:tr>
        <w:tc>
          <w:tcPr>
            <w:tcW w:type="dxa" w:w="3000"/>
          </w:tcPr>
          <w:p>
            <w:r>
              <w:rPr>
                <w:sz w:val="18"/>
                <w:szCs w:val="18"/>
              </w:rPr>
              <w:t xml:space="preserve">officials fail to attend camps</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camp dates co-fixed with departments; fallback to online UDID applications through CSCs.</w:t>
            </w:r>
          </w:p>
        </w:tc>
      </w:tr>
      <w:tr>
        <w:tc>
          <w:tcPr>
            <w:tcW w:type="dxa" w:w="3000"/>
          </w:tcPr>
          <w:p>
            <w:r>
              <w:rPr>
                <w:sz w:val="18"/>
                <w:szCs w:val="18"/>
              </w:rPr>
              <w:t xml:space="preserve">weak market access</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village marketing groups; haat linkage; household consumption valued as nutrition gain.</w:t>
            </w:r>
          </w:p>
        </w:tc>
      </w:tr>
      <w:tr>
        <w:tc>
          <w:tcPr>
            <w:tcW w:type="dxa" w:w="3000"/>
          </w:tcPr>
          <w:p>
            <w:r>
              <w:rPr>
                <w:sz w:val="18"/>
                <w:szCs w:val="18"/>
              </w:rPr>
              <w:t xml:space="preserve">elite capture or leadership conflict within the Sangathan</w:t>
            </w:r>
          </w:p>
        </w:tc>
        <w:tc>
          <w:tcPr>
            <w:tcW w:type="dxa" w:w="1400"/>
          </w:tcPr>
          <w:p>
            <w:r>
              <w:rPr>
                <w:b/>
                <w:bCs/>
                <w:color w:val="9A6A00"/>
                <w:sz w:val="18"/>
                <w:szCs w:val="18"/>
              </w:rPr>
              <w:t xml:space="preserve">medium</w:t>
            </w:r>
          </w:p>
        </w:tc>
        <w:tc>
          <w:tcPr>
            <w:tcW w:type="dxa" w:w="1400"/>
          </w:tcPr>
          <w:p>
            <w:r>
              <w:rPr>
                <w:b/>
                <w:bCs/>
                <w:color w:val="B3261E"/>
                <w:sz w:val="18"/>
                <w:szCs w:val="18"/>
              </w:rPr>
              <w:t xml:space="preserve">high</w:t>
            </w:r>
          </w:p>
        </w:tc>
        <w:tc>
          <w:tcPr>
            <w:tcW w:type="dxa" w:w="5600"/>
          </w:tcPr>
          <w:p>
            <w:r>
              <w:rPr>
                <w:sz w:val="18"/>
                <w:szCs w:val="18"/>
              </w:rPr>
              <w:t xml:space="preserve">published selection criteria; open general body; rotation and women's representation in office-bearer posts.</w:t>
            </w:r>
          </w:p>
        </w:tc>
      </w:tr>
      <w:tr>
        <w:tc>
          <w:tcPr>
            <w:tcW w:type="dxa" w:w="3000"/>
          </w:tcPr>
          <w:p>
            <w:r>
              <w:rPr>
                <w:sz w:val="18"/>
                <w:szCs w:val="18"/>
              </w:rPr>
              <w:t xml:space="preserve">family members take control of the new income</w:t>
            </w:r>
          </w:p>
        </w:tc>
        <w:tc>
          <w:tcPr>
            <w:tcW w:type="dxa" w:w="1400"/>
          </w:tcPr>
          <w:p>
            <w:r>
              <w:rPr>
                <w:b/>
                <w:bCs/>
                <w:color w:val="9A6A00"/>
                <w:sz w:val="18"/>
                <w:szCs w:val="18"/>
              </w:rPr>
              <w:t xml:space="preserve">medium</w:t>
            </w:r>
          </w:p>
        </w:tc>
        <w:tc>
          <w:tcPr>
            <w:tcW w:type="dxa" w:w="1400"/>
          </w:tcPr>
          <w:p>
            <w:r>
              <w:rPr>
                <w:b/>
                <w:bCs/>
                <w:color w:val="9A6A00"/>
                <w:sz w:val="18"/>
                <w:szCs w:val="18"/>
              </w:rPr>
              <w:t xml:space="preserve">medium</w:t>
            </w:r>
          </w:p>
        </w:tc>
        <w:tc>
          <w:tcPr>
            <w:tcW w:type="dxa" w:w="5600"/>
          </w:tcPr>
          <w:p>
            <w:r>
              <w:rPr>
                <w:sz w:val="18"/>
                <w:szCs w:val="18"/>
              </w:rPr>
              <w:t xml:space="preserve">assets in the PwD's name; income-control indicator; family orientation.</w:t>
            </w:r>
          </w:p>
        </w:tc>
      </w:tr>
      <w:tr>
        <w:tc>
          <w:tcPr>
            <w:tcW w:type="dxa" w:w="3000"/>
          </w:tcPr>
          <w:p>
            <w:r>
              <w:rPr>
                <w:sz w:val="18"/>
                <w:szCs w:val="18"/>
              </w:rPr>
              <w:t xml:space="preserve">residual LWE-related access issues</w:t>
            </w:r>
          </w:p>
        </w:tc>
        <w:tc>
          <w:tcPr>
            <w:tcW w:type="dxa" w:w="1400"/>
          </w:tcPr>
          <w:p>
            <w:r>
              <w:rPr>
                <w:b/>
                <w:bCs/>
                <w:color w:val="0F6E5C"/>
                <w:sz w:val="18"/>
                <w:szCs w:val="18"/>
              </w:rPr>
              <w:t xml:space="preserve">low</w:t>
            </w:r>
          </w:p>
        </w:tc>
        <w:tc>
          <w:tcPr>
            <w:tcW w:type="dxa" w:w="1400"/>
          </w:tcPr>
          <w:p>
            <w:r>
              <w:rPr>
                <w:b/>
                <w:bCs/>
                <w:color w:val="9A6A00"/>
                <w:sz w:val="18"/>
                <w:szCs w:val="18"/>
              </w:rPr>
              <w:t xml:space="preserve">medium</w:t>
            </w:r>
          </w:p>
        </w:tc>
        <w:tc>
          <w:tcPr>
            <w:tcW w:type="dxa" w:w="5600"/>
          </w:tcPr>
          <w:p>
            <w:r>
              <w:rPr>
                <w:sz w:val="18"/>
                <w:szCs w:val="18"/>
              </w:rPr>
              <w:t xml:space="preserve">work through village coordinators; schedule field travel flexibly.</w:t>
            </w:r>
          </w:p>
        </w:tc>
      </w:tr>
      <w:tr>
        <w:tc>
          <w:tcPr>
            <w:tcW w:type="dxa" w:w="3000"/>
          </w:tcPr>
          <w:p>
            <w:r>
              <w:rPr>
                <w:sz w:val="18"/>
                <w:szCs w:val="18"/>
              </w:rPr>
              <w:t xml:space="preserve">the percentage-abolition announcement is unimplemented</w:t>
            </w:r>
          </w:p>
        </w:tc>
        <w:tc>
          <w:tcPr>
            <w:tcW w:type="dxa" w:w="1400"/>
          </w:tcPr>
          <w:p>
            <w:r>
              <w:rPr>
                <w:b/>
                <w:bCs/>
                <w:color w:val="9A6A00"/>
                <w:sz w:val="18"/>
                <w:szCs w:val="18"/>
              </w:rPr>
              <w:t xml:space="preserve">medium</w:t>
            </w:r>
          </w:p>
        </w:tc>
        <w:tc>
          <w:tcPr>
            <w:tcW w:type="dxa" w:w="1400"/>
          </w:tcPr>
          <w:p>
            <w:r>
              <w:rPr>
                <w:b/>
                <w:bCs/>
                <w:color w:val="0F6E5C"/>
                <w:sz w:val="18"/>
                <w:szCs w:val="18"/>
              </w:rPr>
              <w:t xml:space="preserve">low</w:t>
            </w:r>
          </w:p>
        </w:tc>
        <w:tc>
          <w:tcPr>
            <w:tcW w:type="dxa" w:w="5600"/>
          </w:tcPr>
          <w:p>
            <w:r>
              <w:rPr>
                <w:sz w:val="18"/>
                <w:szCs w:val="18"/>
              </w:rPr>
              <w:t xml:space="preserve">facilitate only against notified eligibility rules.</w:t>
            </w:r>
          </w:p>
        </w:tc>
      </w:tr>
    </w:tbl>
    <w:p>
      <w:pPr>
        <w:pStyle w:val="Heading1"/>
        <w:pageBreakBefore/>
        <w:spacing w:after="140" w:before="280"/>
      </w:pPr>
      <w:r>
        <w:rPr>
          <w:b/>
          <w:bCs/>
          <w:color w:val="0F3D34"/>
          <w:sz w:val="30"/>
          <w:szCs w:val="30"/>
        </w:rPr>
        <w:t xml:space="preserve">Sustainability</w:t>
      </w:r>
    </w:p>
    <w:p>
      <w:pPr>
        <w:spacing w:after="160"/>
        <w:jc w:val="both"/>
      </w:pPr>
      <w:r>
        <w:rPr>
          <w:sz w:val="22"/>
          <w:szCs w:val="22"/>
        </w:rPr>
        <w:t xml:space="preserve">The activities build three things: enterprises, entitlements and an institution. Sustainability means each continues once project staff leave. The design addresses this from the start rather than at closure, because the problem analysis showed that exclusion in Angara persists mainly because nothing and no one continues the work.</w:t>
      </w:r>
    </w:p>
    <w:p>
      <w:pPr>
        <w:spacing w:after="100" w:before="200"/>
      </w:pPr>
      <w:r>
        <w:rPr>
          <w:b/>
          <w:bCs/>
          <w:color w:val="0F6E5C"/>
          <w:sz w:val="24"/>
          <w:szCs w:val="24"/>
        </w:rPr>
        <w:t xml:space="preserve">Enterprises That Renew Themselves</w:t>
      </w:r>
    </w:p>
    <w:p>
      <w:pPr>
        <w:spacing w:after="160"/>
        <w:jc w:val="both"/>
      </w:pPr>
      <w:r>
        <w:rPr>
          <w:sz w:val="22"/>
          <w:szCs w:val="22"/>
        </w:rPr>
        <w:t xml:space="preserve">Livelihood assets are designed to reproduce and spread.</w:t>
      </w:r>
    </w:p>
    <w:p>
      <w:pPr>
        <w:pStyle w:val="ListParagraph"/>
        <w:numPr>
          <w:ilvl w:val="0"/>
          <w:numId w:val="1"/>
        </w:numPr>
        <w:spacing w:after="60"/>
      </w:pPr>
      <w:r>
        <w:rPr>
          <w:b/>
          <w:bCs/>
          <w:sz w:val="22"/>
          <w:szCs w:val="22"/>
        </w:rPr>
        <w:t xml:space="preserve">Goats.</w:t>
      </w:r>
      <w:r>
        <w:rPr>
          <w:sz w:val="22"/>
          <w:szCs w:val="22"/>
        </w:rPr>
        <w:t xml:space="preserve"> Under the pass-on agreement signed at distribution, the first female kid goes to the next household on the waitlist. The initial 30 units therefore become the start of a growing flock across the cluster villages. Because kidding may fall after Month 12, the Sangathan's tracker, not the project, will record pass-on.</w:t>
      </w:r>
    </w:p>
    <w:p>
      <w:pPr>
        <w:pStyle w:val="ListParagraph"/>
        <w:numPr>
          <w:ilvl w:val="0"/>
          <w:numId w:val="1"/>
        </w:numPr>
        <w:spacing w:after="60"/>
      </w:pPr>
      <w:r>
        <w:rPr>
          <w:b/>
          <w:bCs/>
          <w:sz w:val="22"/>
          <w:szCs w:val="22"/>
        </w:rPr>
        <w:t xml:space="preserve">Poultry and mushrooms.</w:t>
      </w:r>
      <w:r>
        <w:rPr>
          <w:sz w:val="22"/>
          <w:szCs w:val="22"/>
        </w:rPr>
        <w:t xml:space="preserve"> Poultry restocking and mushroom spawn are funded from sales rather than further grants.</w:t>
      </w:r>
    </w:p>
    <w:p>
      <w:pPr>
        <w:pStyle w:val="ListParagraph"/>
        <w:numPr>
          <w:ilvl w:val="0"/>
          <w:numId w:val="1"/>
        </w:numPr>
        <w:spacing w:after="60"/>
      </w:pPr>
      <w:r>
        <w:rPr>
          <w:b/>
          <w:bCs/>
          <w:sz w:val="22"/>
          <w:szCs w:val="22"/>
        </w:rPr>
        <w:t xml:space="preserve">Collective marketing.</w:t>
      </w:r>
      <w:r>
        <w:rPr>
          <w:sz w:val="22"/>
          <w:szCs w:val="22"/>
        </w:rPr>
        <w:t xml:space="preserve"> The 10 village marketing groups keep a route to buyers open.</w:t>
      </w:r>
    </w:p>
    <w:p>
      <w:pPr>
        <w:pStyle w:val="ListParagraph"/>
        <w:numPr>
          <w:ilvl w:val="0"/>
          <w:numId w:val="1"/>
        </w:numPr>
        <w:spacing w:after="60"/>
      </w:pPr>
      <w:r>
        <w:rPr>
          <w:b/>
          <w:bCs/>
          <w:sz w:val="22"/>
          <w:szCs w:val="22"/>
        </w:rPr>
        <w:t xml:space="preserve">Government schemes.</w:t>
      </w:r>
      <w:r>
        <w:rPr>
          <w:sz w:val="22"/>
          <w:szCs w:val="22"/>
        </w:rPr>
        <w:t xml:space="preserve"> MPVY applications link members to a government scheme that continues beyond this project </w:t>
      </w:r>
      <w:r>
        <w:rPr>
          <w:color w:val="0F6E5C"/>
          <w:sz w:val="16"/>
          <w:szCs w:val="16"/>
          <w:vertAlign w:val="superscript"/>
        </w:rPr>
        <w:t xml:space="preserve">[S26]</w:t>
      </w:r>
      <w:r>
        <w:rPr>
          <w:sz w:val="22"/>
          <w:szCs w:val="22"/>
        </w:rPr>
        <w:t xml:space="preserve">. Kitchen gardens can draw on JSLPS nutri-garden or VB-G RAM G convergence.</w:t>
      </w:r>
    </w:p>
    <w:p>
      <w:pPr>
        <w:pStyle w:val="ListParagraph"/>
        <w:numPr>
          <w:ilvl w:val="0"/>
          <w:numId w:val="1"/>
        </w:numPr>
        <w:spacing w:after="60"/>
      </w:pPr>
      <w:r>
        <w:rPr>
          <w:b/>
          <w:bCs/>
          <w:sz w:val="22"/>
          <w:szCs w:val="22"/>
        </w:rPr>
        <w:t xml:space="preserve">Ownership.</w:t>
      </w:r>
      <w:r>
        <w:rPr>
          <w:sz w:val="22"/>
          <w:szCs w:val="22"/>
        </w:rPr>
        <w:t xml:space="preserve"> Every asset is in the PwD's own name, so the enterprise stays with the person the project was designed to serve.</w:t>
      </w:r>
    </w:p>
    <w:p>
      <w:pPr>
        <w:spacing w:after="100" w:before="200"/>
      </w:pPr>
      <w:r>
        <w:rPr>
          <w:b/>
          <w:bCs/>
          <w:color w:val="0F6E5C"/>
          <w:sz w:val="24"/>
          <w:szCs w:val="24"/>
        </w:rPr>
        <w:t xml:space="preserve">Entitlements That Recur</w:t>
      </w:r>
    </w:p>
    <w:p>
      <w:pPr>
        <w:spacing w:after="160"/>
        <w:jc w:val="both"/>
      </w:pPr>
      <w:r>
        <w:rPr>
          <w:sz w:val="22"/>
          <w:szCs w:val="22"/>
        </w:rPr>
        <w:t xml:space="preserve">Entitlements are the most durable gains, because the State funds them. A pension credited each month, reported at Rs 1,000 under SVNSPY </w:t>
      </w:r>
      <w:r>
        <w:rPr>
          <w:color w:val="0F6E5C"/>
          <w:sz w:val="16"/>
          <w:szCs w:val="16"/>
          <w:vertAlign w:val="superscript"/>
        </w:rPr>
        <w:t xml:space="preserve">[S18][S19]</w:t>
      </w:r>
      <w:r>
        <w:rPr>
          <w:sz w:val="22"/>
          <w:szCs w:val="22"/>
        </w:rPr>
        <w:t xml:space="preserve">, continues for as long as eligibility and renewals are maintained. A UDID and an assistive device remain with the member.</w:t>
      </w:r>
    </w:p>
    <w:p>
      <w:pPr>
        <w:spacing w:after="160"/>
        <w:jc w:val="both"/>
      </w:pPr>
      <w:r>
        <w:rPr>
          <w:sz w:val="22"/>
          <w:szCs w:val="22"/>
        </w:rPr>
        <w:t xml:space="preserve">The threat to these gains is lapse, such as a missed pension life certificate or an expired temporary UDID. The scheme tracker records these renewal dates for each member. Village coordinators, trained and already practised in monthly updates, carry this follow-up forward. Relationships built with the DDRC, medical boards and the block office through camps and convergence meets give the Sangathan established contacts it can return to.</w:t>
      </w:r>
    </w:p>
    <w:p>
      <w:pPr>
        <w:spacing w:after="100" w:before="200"/>
      </w:pPr>
      <w:r>
        <w:rPr>
          <w:b/>
          <w:bCs/>
          <w:color w:val="0F6E5C"/>
          <w:sz w:val="24"/>
          <w:szCs w:val="24"/>
        </w:rPr>
        <w:t xml:space="preserve">An Institution That Carries the Work</w:t>
      </w:r>
    </w:p>
    <w:p>
      <w:pPr>
        <w:spacing w:after="160"/>
        <w:jc w:val="both"/>
      </w:pPr>
      <w:r>
        <w:rPr>
          <w:sz w:val="22"/>
          <w:szCs w:val="22"/>
        </w:rPr>
        <w:t xml:space="preserve">The Sangathan is the vehicle through which every other gain is sustained. By the end of the project, it will have:</w:t>
      </w:r>
    </w:p>
    <w:p>
      <w:pPr>
        <w:pStyle w:val="ListParagraph"/>
        <w:numPr>
          <w:ilvl w:val="0"/>
          <w:numId w:val="1"/>
        </w:numPr>
        <w:spacing w:after="60"/>
      </w:pPr>
      <w:r>
        <w:rPr>
          <w:sz w:val="22"/>
          <w:szCs w:val="22"/>
        </w:rPr>
        <w:t xml:space="preserve">elected governance with women and multiple disability types represented;</w:t>
      </w:r>
    </w:p>
    <w:p>
      <w:pPr>
        <w:pStyle w:val="ListParagraph"/>
        <w:numPr>
          <w:ilvl w:val="0"/>
          <w:numId w:val="1"/>
        </w:numPr>
        <w:spacing w:after="60"/>
      </w:pPr>
      <w:r>
        <w:rPr>
          <w:sz w:val="22"/>
          <w:szCs w:val="22"/>
        </w:rPr>
        <w:t xml:space="preserve">bylaws;</w:t>
      </w:r>
    </w:p>
    <w:p>
      <w:pPr>
        <w:pStyle w:val="ListParagraph"/>
        <w:numPr>
          <w:ilvl w:val="0"/>
          <w:numId w:val="1"/>
        </w:numPr>
        <w:spacing w:after="60"/>
      </w:pPr>
      <w:r>
        <w:rPr>
          <w:sz w:val="22"/>
          <w:szCs w:val="22"/>
        </w:rPr>
        <w:t xml:space="preserve">a registration application filed;</w:t>
      </w:r>
    </w:p>
    <w:p>
      <w:pPr>
        <w:pStyle w:val="ListParagraph"/>
        <w:numPr>
          <w:ilvl w:val="0"/>
          <w:numId w:val="1"/>
        </w:numPr>
        <w:spacing w:after="60"/>
      </w:pPr>
      <w:r>
        <w:rPr>
          <w:sz w:val="22"/>
          <w:szCs w:val="22"/>
        </w:rPr>
        <w:t xml:space="preserve">trained second-tier leaders;</w:t>
      </w:r>
    </w:p>
    <w:p>
      <w:pPr>
        <w:pStyle w:val="ListParagraph"/>
        <w:numPr>
          <w:ilvl w:val="0"/>
          <w:numId w:val="1"/>
        </w:numPr>
        <w:spacing w:after="60"/>
      </w:pPr>
      <w:r>
        <w:rPr>
          <w:sz w:val="22"/>
          <w:szCs w:val="22"/>
        </w:rPr>
        <w:t xml:space="preserve">a tracker that at least 7 of 10 clusters update without staff.</w:t>
      </w:r>
    </w:p>
    <w:p>
      <w:pPr>
        <w:spacing w:after="160"/>
        <w:jc w:val="both"/>
      </w:pPr>
      <w:r>
        <w:rPr>
          <w:sz w:val="22"/>
          <w:szCs w:val="22"/>
        </w:rPr>
        <w:t xml:space="preserve">It will own its data, protected under a protocol its own executive adopted. It will also hold the encrypted tablets handed over at completion.</w:t>
      </w:r>
    </w:p>
    <w:p>
      <w:pPr>
        <w:spacing w:after="160"/>
        <w:jc w:val="both"/>
      </w:pPr>
      <w:r>
        <w:rPr>
          <w:sz w:val="22"/>
          <w:szCs w:val="22"/>
        </w:rPr>
        <w:t xml:space="preserve">Financially, the registered Sangathan will draw on three sources:</w:t>
      </w:r>
    </w:p>
    <w:p>
      <w:pPr>
        <w:pStyle w:val="ListParagraph"/>
        <w:numPr>
          <w:ilvl w:val="0"/>
          <w:numId w:val="1"/>
        </w:numPr>
        <w:spacing w:after="60"/>
      </w:pPr>
      <w:r>
        <w:rPr>
          <w:sz w:val="22"/>
          <w:szCs w:val="22"/>
        </w:rPr>
        <w:t xml:space="preserve">a membership fee;</w:t>
      </w:r>
    </w:p>
    <w:p>
      <w:pPr>
        <w:pStyle w:val="ListParagraph"/>
        <w:numPr>
          <w:ilvl w:val="0"/>
          <w:numId w:val="1"/>
        </w:numPr>
        <w:spacing w:after="60"/>
      </w:pPr>
      <w:r>
        <w:rPr>
          <w:sz w:val="22"/>
          <w:szCs w:val="22"/>
        </w:rPr>
        <w:t xml:space="preserve">a funding plan targeting state and NHFDC channels;</w:t>
      </w:r>
    </w:p>
    <w:p>
      <w:pPr>
        <w:pStyle w:val="ListParagraph"/>
        <w:numPr>
          <w:ilvl w:val="0"/>
          <w:numId w:val="1"/>
        </w:numPr>
        <w:spacing w:after="60"/>
      </w:pPr>
      <w:r>
        <w:rPr>
          <w:sz w:val="22"/>
          <w:szCs w:val="22"/>
        </w:rPr>
        <w:t xml:space="preserve">CSR partnerships.</w:t>
      </w:r>
    </w:p>
    <w:p>
      <w:pPr>
        <w:spacing w:after="160"/>
        <w:jc w:val="both"/>
      </w:pPr>
      <w:r>
        <w:rPr>
          <w:sz w:val="22"/>
          <w:szCs w:val="22"/>
        </w:rPr>
        <w:t xml:space="preserve">Rotation of office-bearers and an open general body reduce the risk that the institution narrows to a few leaders. This is the risk most likely to weaken it after external support ends.</w:t>
      </w:r>
    </w:p>
    <w:p>
      <w:pPr>
        <w:spacing w:after="100" w:before="200"/>
      </w:pPr>
      <w:r>
        <w:rPr>
          <w:b/>
          <w:bCs/>
          <w:color w:val="0F6E5C"/>
          <w:sz w:val="24"/>
          <w:szCs w:val="24"/>
        </w:rPr>
        <w:t xml:space="preserve">What Remains After Month 12</w:t>
      </w:r>
    </w:p>
    <w:p>
      <w:pPr>
        <w:spacing w:after="160"/>
        <w:jc w:val="both"/>
      </w:pPr>
      <w:r>
        <w:rPr>
          <w:sz w:val="22"/>
          <w:szCs w:val="22"/>
        </w:rPr>
        <w:t xml:space="preserve">Two results may complete after the project period: goat kidding and pass-on, and Sangathan registration. Both will be followed by the Sangathan's own tracker. For the donor's consideration, an optional six-month light follow-on is flagged. It would provide limited support while the newly elected Sangathan manages renewals, pass-on and registration on its own for the first time.</w:t>
      </w:r>
    </w:p>
    <w:p>
      <w:pPr>
        <w:spacing w:after="100" w:before="200"/>
      </w:pPr>
      <w:r>
        <w:rPr>
          <w:b/>
          <w:bCs/>
          <w:color w:val="0F6E5C"/>
          <w:sz w:val="24"/>
          <w:szCs w:val="24"/>
        </w:rPr>
        <w:t xml:space="preserve">Closing the Loop</w:t>
      </w:r>
    </w:p>
    <w:p>
      <w:pPr>
        <w:spacing w:after="160"/>
        <w:jc w:val="both"/>
      </w:pPr>
      <w:r>
        <w:rPr>
          <w:sz w:val="22"/>
          <w:szCs w:val="22"/>
        </w:rPr>
        <w:t xml:space="preserve">The golden thread closes here. Dependence arose from an economy the PwD could not work in alone. Exclusion arose from documents that were never obtained or converted. Both persisted because the collective had no structure through which to act. This project gives members an income they control, entitlements they actually receive, and an institution of their own to protect both. What Usha Martin Foundation invests in Angara will remain in the hands of the Angara PwD Sangathan and its members.</w:t>
      </w:r>
    </w:p>
    <w:p>
      <w:pPr>
        <w:pStyle w:val="Heading1"/>
        <w:pageBreakBefore/>
        <w:spacing w:after="140" w:before="280"/>
      </w:pPr>
      <w:r>
        <w:rPr>
          <w:b/>
          <w:bCs/>
          <w:color w:val="0F3D34"/>
          <w:sz w:val="30"/>
          <w:szCs w:val="30"/>
        </w:rPr>
        <w:t xml:space="preserve">Budget</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200"/>
        <w:gridCol w:w="700"/>
        <w:gridCol w:w="1500"/>
        <w:gridCol w:w="2000"/>
        <w:gridCol w:w="2600"/>
      </w:tblGrid>
      <w:tr>
        <w:tc>
          <w:tcPr>
            <w:tcW w:type="dxa" w:w="2400"/>
            <w:shd w:fill="0F3D34" w:val="clear"/>
          </w:tcPr>
          <w:p>
            <w:r>
              <w:rPr>
                <w:b/>
                <w:bCs/>
                <w:color w:val="FFFFFF"/>
                <w:sz w:val="16"/>
                <w:szCs w:val="16"/>
              </w:rPr>
              <w:t xml:space="preserve">Item</w:t>
            </w:r>
          </w:p>
        </w:tc>
        <w:tc>
          <w:tcPr>
            <w:tcW w:type="dxa" w:w="1000"/>
            <w:shd w:fill="0F3D34" w:val="clear"/>
          </w:tcPr>
          <w:p>
            <w:r>
              <w:rPr>
                <w:b/>
                <w:bCs/>
                <w:color w:val="FFFFFF"/>
                <w:sz w:val="16"/>
                <w:szCs w:val="16"/>
              </w:rPr>
              <w:t xml:space="preserve">Unit</w:t>
            </w:r>
          </w:p>
        </w:tc>
        <w:tc>
          <w:tcPr>
            <w:tcW w:type="dxa" w:w="1200"/>
            <w:shd w:fill="0F3D34" w:val="clear"/>
          </w:tcPr>
          <w:p>
            <w:r>
              <w:rPr>
                <w:b/>
                <w:bCs/>
                <w:color w:val="FFFFFF"/>
                <w:sz w:val="16"/>
                <w:szCs w:val="16"/>
              </w:rPr>
              <w:t xml:space="preserve">Unit cost</w:t>
            </w:r>
          </w:p>
        </w:tc>
        <w:tc>
          <w:tcPr>
            <w:tcW w:type="dxa" w:w="700"/>
            <w:shd w:fill="0F3D34" w:val="clear"/>
          </w:tcPr>
          <w:p>
            <w:r>
              <w:rPr>
                <w:b/>
                <w:bCs/>
                <w:color w:val="FFFFFF"/>
                <w:sz w:val="16"/>
                <w:szCs w:val="16"/>
              </w:rPr>
              <w:t xml:space="preserve">Qty</w:t>
            </w:r>
          </w:p>
        </w:tc>
        <w:tc>
          <w:tcPr>
            <w:tcW w:type="dxa" w:w="1500"/>
            <w:shd w:fill="0F3D34" w:val="clear"/>
          </w:tcPr>
          <w:p>
            <w:r>
              <w:rPr>
                <w:b/>
                <w:bCs/>
                <w:color w:val="FFFFFF"/>
                <w:sz w:val="16"/>
                <w:szCs w:val="16"/>
              </w:rPr>
              <w:t xml:space="preserve">Total</w:t>
            </w:r>
          </w:p>
        </w:tc>
        <w:tc>
          <w:tcPr>
            <w:tcW w:type="dxa" w:w="2000"/>
            <w:shd w:fill="0F3D34" w:val="clear"/>
          </w:tcPr>
          <w:p>
            <w:r>
              <w:rPr>
                <w:b/>
                <w:bCs/>
                <w:color w:val="FFFFFF"/>
                <w:sz w:val="16"/>
                <w:szCs w:val="16"/>
              </w:rPr>
              <w:t xml:space="preserve">Contributes to</w:t>
            </w:r>
          </w:p>
        </w:tc>
        <w:tc>
          <w:tcPr>
            <w:tcW w:type="dxa" w:w="2600"/>
            <w:shd w:fill="0F3D34" w:val="clear"/>
          </w:tcPr>
          <w:p>
            <w:r>
              <w:rPr>
                <w:b/>
                <w:bCs/>
                <w:color w:val="FFFFFF"/>
                <w:sz w:val="16"/>
                <w:szCs w:val="16"/>
              </w:rPr>
              <w:t xml:space="preserve">Source</w:t>
            </w:r>
          </w:p>
        </w:tc>
      </w:tr>
      <w:tr>
        <w:tc>
          <w:tcPr>
            <w:tcW w:type="dxa" w:w="2000"/>
            <w:gridSpan w:val="7"/>
            <w:shd w:fill="0F6E5C" w:val="clear"/>
          </w:tcPr>
          <w:p>
            <w:r>
              <w:rPr>
                <w:b/>
                <w:bCs/>
                <w:color w:val="FFFFFF"/>
                <w:sz w:val="18"/>
                <w:szCs w:val="18"/>
              </w:rPr>
              <w:t xml:space="preserve">A. Human Resources</w:t>
            </w:r>
          </w:p>
        </w:tc>
      </w:tr>
      <w:tr>
        <w:tc>
          <w:tcPr>
            <w:tcW w:type="dxa" w:w="2400"/>
          </w:tcPr>
          <w:p>
            <w:r>
              <w:rPr>
                <w:b w:val="false"/>
                <w:bCs w:val="false"/>
                <w:color w:val="000000"/>
                <w:sz w:val="18"/>
                <w:szCs w:val="18"/>
              </w:rPr>
              <w:t xml:space="preserve">Project Coordinator (1)</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28,000</w:t>
            </w:r>
          </w:p>
        </w:tc>
        <w:tc>
          <w:tcPr>
            <w:tcW w:type="dxa" w:w="700"/>
          </w:tcPr>
          <w:p>
            <w:r>
              <w:rPr>
                <w:b w:val="false"/>
                <w:bCs w:val="false"/>
                <w:color w:val="000000"/>
                <w:sz w:val="18"/>
                <w:szCs w:val="18"/>
              </w:rPr>
              <w:t xml:space="preserve">12</w:t>
            </w:r>
          </w:p>
        </w:tc>
        <w:tc>
          <w:tcPr>
            <w:tcW w:type="dxa" w:w="1500"/>
          </w:tcPr>
          <w:p>
            <w:r>
              <w:rPr>
                <w:b w:val="false"/>
                <w:bCs w:val="false"/>
                <w:color w:val="000000"/>
                <w:sz w:val="18"/>
                <w:szCs w:val="18"/>
              </w:rPr>
              <w:t xml:space="preserve">3,36,000</w:t>
            </w:r>
          </w:p>
        </w:tc>
        <w:tc>
          <w:tcPr>
            <w:tcW w:type="dxa" w:w="2000"/>
          </w:tcPr>
          <w:p>
            <w:r>
              <w:rPr>
                <w:b w:val="false"/>
                <w:bCs w:val="false"/>
                <w:color w:val="000000"/>
                <w:sz w:val="18"/>
                <w:szCs w:val="18"/>
              </w:rPr>
              <w:t xml:space="preserve">All outcomes</w:t>
            </w:r>
          </w:p>
        </w:tc>
        <w:tc>
          <w:tcPr>
            <w:tcW w:type="dxa" w:w="2600"/>
          </w:tcPr>
          <w:p>
            <w:r>
              <w:rPr>
                <w:b w:val="false"/>
                <w:bCs w:val="false"/>
                <w:color w:val="000000"/>
                <w:sz w:val="18"/>
                <w:szCs w:val="18"/>
              </w:rPr>
              <w:t xml:space="preserve">[S27] JSLPS block-level contractual pay band INR 25,000–40,000/month (2019)</w:t>
            </w:r>
          </w:p>
        </w:tc>
      </w:tr>
      <w:tr>
        <w:tc>
          <w:tcPr>
            <w:tcW w:type="dxa" w:w="2400"/>
          </w:tcPr>
          <w:p>
            <w:r>
              <w:rPr>
                <w:b w:val="false"/>
                <w:bCs w:val="false"/>
                <w:color w:val="000000"/>
                <w:sz w:val="18"/>
                <w:szCs w:val="18"/>
              </w:rPr>
              <w:t xml:space="preserve">Field Facilitators (2)</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15,000</w:t>
            </w:r>
          </w:p>
        </w:tc>
        <w:tc>
          <w:tcPr>
            <w:tcW w:type="dxa" w:w="700"/>
          </w:tcPr>
          <w:p>
            <w:r>
              <w:rPr>
                <w:b w:val="false"/>
                <w:bCs w:val="false"/>
                <w:color w:val="000000"/>
                <w:sz w:val="18"/>
                <w:szCs w:val="18"/>
              </w:rPr>
              <w:t xml:space="preserve">24</w:t>
            </w:r>
          </w:p>
        </w:tc>
        <w:tc>
          <w:tcPr>
            <w:tcW w:type="dxa" w:w="1500"/>
          </w:tcPr>
          <w:p>
            <w:r>
              <w:rPr>
                <w:b w:val="false"/>
                <w:bCs w:val="false"/>
                <w:color w:val="000000"/>
                <w:sz w:val="18"/>
                <w:szCs w:val="18"/>
              </w:rPr>
              <w:t xml:space="preserve">3,60,000</w:t>
            </w:r>
          </w:p>
        </w:tc>
        <w:tc>
          <w:tcPr>
            <w:tcW w:type="dxa" w:w="2000"/>
          </w:tcPr>
          <w:p>
            <w:r>
              <w:rPr>
                <w:b w:val="false"/>
                <w:bCs w:val="false"/>
                <w:color w:val="000000"/>
                <w:sz w:val="18"/>
                <w:szCs w:val="18"/>
              </w:rPr>
              <w:t xml:space="preserve">O1, O2</w:t>
            </w:r>
          </w:p>
        </w:tc>
        <w:tc>
          <w:tcPr>
            <w:tcW w:type="dxa" w:w="2600"/>
          </w:tcPr>
          <w:p>
            <w:r>
              <w:rPr>
                <w:b w:val="false"/>
                <w:bCs w:val="false"/>
                <w:color w:val="000000"/>
                <w:sz w:val="18"/>
                <w:szCs w:val="18"/>
              </w:rPr>
              <w:t xml:space="preserve">Draft rate; checked above the Jharkhand minimum-wage floor [S28]; local quote needed</w:t>
            </w:r>
          </w:p>
        </w:tc>
      </w:tr>
      <w:tr>
        <w:tc>
          <w:tcPr>
            <w:tcW w:type="dxa" w:w="2400"/>
          </w:tcPr>
          <w:p>
            <w:r>
              <w:rPr>
                <w:b w:val="false"/>
                <w:bCs w:val="false"/>
                <w:color w:val="000000"/>
                <w:sz w:val="18"/>
                <w:szCs w:val="18"/>
              </w:rPr>
              <w:t xml:space="preserve">Village Coordinators, Sangathan members (10), part-time honorarium</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1,000</w:t>
            </w:r>
          </w:p>
        </w:tc>
        <w:tc>
          <w:tcPr>
            <w:tcW w:type="dxa" w:w="700"/>
          </w:tcPr>
          <w:p>
            <w:r>
              <w:rPr>
                <w:b w:val="false"/>
                <w:bCs w:val="false"/>
                <w:color w:val="000000"/>
                <w:sz w:val="18"/>
                <w:szCs w:val="18"/>
              </w:rPr>
              <w:t xml:space="preserve">120</w:t>
            </w:r>
          </w:p>
        </w:tc>
        <w:tc>
          <w:tcPr>
            <w:tcW w:type="dxa" w:w="1500"/>
          </w:tcPr>
          <w:p>
            <w:r>
              <w:rPr>
                <w:b w:val="false"/>
                <w:bCs w:val="false"/>
                <w:color w:val="000000"/>
                <w:sz w:val="18"/>
                <w:szCs w:val="18"/>
              </w:rPr>
              <w:t xml:space="preserve">1,20,000</w:t>
            </w:r>
          </w:p>
        </w:tc>
        <w:tc>
          <w:tcPr>
            <w:tcW w:type="dxa" w:w="2000"/>
          </w:tcPr>
          <w:p>
            <w:r>
              <w:rPr>
                <w:b w:val="false"/>
                <w:bCs w:val="false"/>
                <w:color w:val="000000"/>
                <w:sz w:val="18"/>
                <w:szCs w:val="18"/>
              </w:rPr>
              <w:t xml:space="preserve">O2, O3 (tracking, outreach)</w:t>
            </w:r>
          </w:p>
        </w:tc>
        <w:tc>
          <w:tcPr>
            <w:tcW w:type="dxa" w:w="2600"/>
          </w:tcPr>
          <w:p>
            <w:r>
              <w:rPr>
                <w:b w:val="false"/>
                <w:bCs w:val="false"/>
                <w:color w:val="000000"/>
                <w:sz w:val="18"/>
                <w:szCs w:val="18"/>
              </w:rPr>
              <w:t xml:space="preserve">Estimate; confirm against JSLPS CRP honoraria</w:t>
            </w:r>
          </w:p>
        </w:tc>
      </w:tr>
      <w:tr>
        <w:tc>
          <w:tcPr>
            <w:tcW w:type="dxa" w:w="2400"/>
          </w:tcPr>
          <w:p>
            <w:r>
              <w:rPr>
                <w:b w:val="false"/>
                <w:bCs w:val="false"/>
                <w:color w:val="000000"/>
                <w:sz w:val="18"/>
                <w:szCs w:val="18"/>
              </w:rPr>
              <w:t xml:space="preserve">Pashu Sakhi / livestock CRP visits</w:t>
            </w:r>
          </w:p>
        </w:tc>
        <w:tc>
          <w:tcPr>
            <w:tcW w:type="dxa" w:w="1000"/>
          </w:tcPr>
          <w:p>
            <w:r>
              <w:rPr>
                <w:b w:val="false"/>
                <w:bCs w:val="false"/>
                <w:color w:val="000000"/>
                <w:sz w:val="18"/>
                <w:szCs w:val="18"/>
              </w:rPr>
              <w:t xml:space="preserve">visit</w:t>
            </w:r>
          </w:p>
        </w:tc>
        <w:tc>
          <w:tcPr>
            <w:tcW w:type="dxa" w:w="1200"/>
          </w:tcPr>
          <w:p>
            <w:r>
              <w:rPr>
                <w:b w:val="false"/>
                <w:bCs w:val="false"/>
                <w:color w:val="000000"/>
                <w:sz w:val="18"/>
                <w:szCs w:val="18"/>
              </w:rPr>
              <w:t xml:space="preserve">100</w:t>
            </w:r>
          </w:p>
        </w:tc>
        <w:tc>
          <w:tcPr>
            <w:tcW w:type="dxa" w:w="700"/>
          </w:tcPr>
          <w:p>
            <w:r>
              <w:rPr>
                <w:b w:val="false"/>
                <w:bCs w:val="false"/>
                <w:color w:val="000000"/>
                <w:sz w:val="18"/>
                <w:szCs w:val="18"/>
              </w:rPr>
              <w:t xml:space="preserve">720 (80 households × 9 months)</w:t>
            </w:r>
          </w:p>
        </w:tc>
        <w:tc>
          <w:tcPr>
            <w:tcW w:type="dxa" w:w="1500"/>
          </w:tcPr>
          <w:p>
            <w:r>
              <w:rPr>
                <w:b w:val="false"/>
                <w:bCs w:val="false"/>
                <w:color w:val="000000"/>
                <w:sz w:val="18"/>
                <w:szCs w:val="18"/>
              </w:rPr>
              <w:t xml:space="preserve">72,000</w:t>
            </w:r>
          </w:p>
        </w:tc>
        <w:tc>
          <w:tcPr>
            <w:tcW w:type="dxa" w:w="2000"/>
          </w:tcPr>
          <w:p>
            <w:r>
              <w:rPr>
                <w:b w:val="false"/>
                <w:bCs w:val="false"/>
                <w:color w:val="000000"/>
                <w:sz w:val="18"/>
                <w:szCs w:val="18"/>
              </w:rPr>
              <w:t xml:space="preserve">O1 (livestock survival)</w:t>
            </w:r>
          </w:p>
        </w:tc>
        <w:tc>
          <w:tcPr>
            <w:tcW w:type="dxa" w:w="2600"/>
          </w:tcPr>
          <w:p>
            <w:r>
              <w:rPr>
                <w:b w:val="false"/>
                <w:bCs w:val="false"/>
                <w:color w:val="000000"/>
                <w:sz w:val="18"/>
                <w:szCs w:val="18"/>
              </w:rPr>
              <w:t xml:space="preserve">Estimate; confirm local Pashu Sakhi rate</w:t>
            </w:r>
          </w:p>
        </w:tc>
      </w:tr>
      <w:tr>
        <w:tc>
          <w:tcPr>
            <w:tcW w:type="dxa" w:w="2400"/>
          </w:tcPr>
          <w:p>
            <w:r>
              <w:rPr>
                <w:b w:val="false"/>
                <w:bCs w:val="false"/>
                <w:color w:val="000000"/>
                <w:sz w:val="18"/>
                <w:szCs w:val="18"/>
              </w:rPr>
              <w:t xml:space="preserve">Accounts &amp; Admin Assistant (part-time, about 50%)</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10,000</w:t>
            </w:r>
          </w:p>
        </w:tc>
        <w:tc>
          <w:tcPr>
            <w:tcW w:type="dxa" w:w="700"/>
          </w:tcPr>
          <w:p>
            <w:r>
              <w:rPr>
                <w:b w:val="false"/>
                <w:bCs w:val="false"/>
                <w:color w:val="000000"/>
                <w:sz w:val="18"/>
                <w:szCs w:val="18"/>
              </w:rPr>
              <w:t xml:space="preserve">12</w:t>
            </w:r>
          </w:p>
        </w:tc>
        <w:tc>
          <w:tcPr>
            <w:tcW w:type="dxa" w:w="1500"/>
          </w:tcPr>
          <w:p>
            <w:r>
              <w:rPr>
                <w:b w:val="false"/>
                <w:bCs w:val="false"/>
                <w:color w:val="000000"/>
                <w:sz w:val="18"/>
                <w:szCs w:val="18"/>
              </w:rPr>
              <w:t xml:space="preserve">1,20,000</w:t>
            </w:r>
          </w:p>
        </w:tc>
        <w:tc>
          <w:tcPr>
            <w:tcW w:type="dxa" w:w="2000"/>
          </w:tcPr>
          <w:p>
            <w:r>
              <w:rPr>
                <w:b w:val="false"/>
                <w:bCs w:val="false"/>
                <w:color w:val="000000"/>
                <w:sz w:val="18"/>
                <w:szCs w:val="18"/>
              </w:rPr>
              <w:t xml:space="preserve">Compliance</w:t>
            </w:r>
          </w:p>
        </w:tc>
        <w:tc>
          <w:tcPr>
            <w:tcW w:type="dxa" w:w="2600"/>
          </w:tcPr>
          <w:p>
            <w:r>
              <w:rPr>
                <w:b w:val="false"/>
                <w:bCs w:val="false"/>
                <w:color w:val="000000"/>
                <w:sz w:val="18"/>
                <w:szCs w:val="18"/>
              </w:rPr>
              <w:t xml:space="preserve">Estimate; pro-rata rate must meet the skilled minimum wage [S28]</w:t>
            </w:r>
          </w:p>
        </w:tc>
      </w:tr>
      <w:tr>
        <w:tc>
          <w:tcPr>
            <w:tcW w:type="dxa" w:w="2000"/>
            <w:gridSpan w:val="4"/>
            <w:shd w:fill="EEF2EF" w:val="clear"/>
          </w:tcPr>
          <w:p>
            <w:r>
              <w:rPr>
                <w:b/>
                <w:bCs/>
                <w:color w:val="0F3D34"/>
                <w:sz w:val="18"/>
                <w:szCs w:val="18"/>
              </w:rPr>
              <w:t xml:space="preserve">Subtotal — Human Resources</w:t>
            </w:r>
          </w:p>
        </w:tc>
        <w:tc>
          <w:tcPr>
            <w:tcW w:type="dxa" w:w="2000"/>
            <w:shd w:fill="EEF2EF" w:val="clear"/>
          </w:tcPr>
          <w:p>
            <w:r>
              <w:rPr>
                <w:b/>
                <w:bCs/>
                <w:color w:val="0F3D34"/>
                <w:sz w:val="18"/>
                <w:szCs w:val="18"/>
              </w:rPr>
              <w:t xml:space="preserve">10,08,000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B. Livelihood Interventions</w:t>
            </w:r>
          </w:p>
        </w:tc>
      </w:tr>
      <w:tr>
        <w:tc>
          <w:tcPr>
            <w:tcW w:type="dxa" w:w="2400"/>
          </w:tcPr>
          <w:p>
            <w:r>
              <w:rPr>
                <w:b w:val="false"/>
                <w:bCs w:val="false"/>
                <w:color w:val="000000"/>
                <w:sz w:val="18"/>
                <w:szCs w:val="18"/>
              </w:rPr>
              <w:t xml:space="preserve">Backyard poultry unit: 20 improved-breed birds, night shelter, starter feed, vaccination</w:t>
            </w:r>
          </w:p>
        </w:tc>
        <w:tc>
          <w:tcPr>
            <w:tcW w:type="dxa" w:w="1000"/>
          </w:tcPr>
          <w:p>
            <w:r>
              <w:rPr>
                <w:b w:val="false"/>
                <w:bCs w:val="false"/>
                <w:color w:val="000000"/>
                <w:sz w:val="18"/>
                <w:szCs w:val="18"/>
              </w:rPr>
              <w:t xml:space="preserve">household</w:t>
            </w:r>
          </w:p>
        </w:tc>
        <w:tc>
          <w:tcPr>
            <w:tcW w:type="dxa" w:w="1200"/>
          </w:tcPr>
          <w:p>
            <w:r>
              <w:rPr>
                <w:b w:val="false"/>
                <w:bCs w:val="false"/>
                <w:color w:val="000000"/>
                <w:sz w:val="18"/>
                <w:szCs w:val="18"/>
              </w:rPr>
              <w:t xml:space="preserve">6,500</w:t>
            </w:r>
          </w:p>
        </w:tc>
        <w:tc>
          <w:tcPr>
            <w:tcW w:type="dxa" w:w="700"/>
          </w:tcPr>
          <w:p>
            <w:r>
              <w:rPr>
                <w:b w:val="false"/>
                <w:bCs w:val="false"/>
                <w:color w:val="000000"/>
                <w:sz w:val="18"/>
                <w:szCs w:val="18"/>
              </w:rPr>
              <w:t xml:space="preserve">50</w:t>
            </w:r>
          </w:p>
        </w:tc>
        <w:tc>
          <w:tcPr>
            <w:tcW w:type="dxa" w:w="1500"/>
          </w:tcPr>
          <w:p>
            <w:r>
              <w:rPr>
                <w:b w:val="false"/>
                <w:bCs w:val="false"/>
                <w:color w:val="000000"/>
                <w:sz w:val="18"/>
                <w:szCs w:val="18"/>
              </w:rPr>
              <w:t xml:space="preserve">3,25,000</w:t>
            </w:r>
          </w:p>
        </w:tc>
        <w:tc>
          <w:tcPr>
            <w:tcW w:type="dxa" w:w="2000"/>
          </w:tcPr>
          <w:p>
            <w:r>
              <w:rPr>
                <w:b w:val="false"/>
                <w:bCs w:val="false"/>
                <w:color w:val="000000"/>
                <w:sz w:val="18"/>
                <w:szCs w:val="18"/>
              </w:rPr>
              <w:t xml:space="preserve">Output 1.1 / O1</w:t>
            </w:r>
          </w:p>
        </w:tc>
        <w:tc>
          <w:tcPr>
            <w:tcW w:type="dxa" w:w="2600"/>
          </w:tcPr>
          <w:p>
            <w:r>
              <w:rPr>
                <w:b w:val="false"/>
                <w:bCs w:val="false"/>
                <w:color w:val="000000"/>
                <w:sz w:val="18"/>
                <w:szCs w:val="18"/>
              </w:rPr>
              <w:t xml:space="preserve">Estimate; confirm with District Animal Husbandry Officer. MPVY may co-fund, and any savings fund additional households [S26]</w:t>
            </w:r>
          </w:p>
        </w:tc>
      </w:tr>
      <w:tr>
        <w:tc>
          <w:tcPr>
            <w:tcW w:type="dxa" w:w="2400"/>
          </w:tcPr>
          <w:p>
            <w:r>
              <w:rPr>
                <w:b w:val="false"/>
                <w:bCs w:val="false"/>
                <w:color w:val="000000"/>
                <w:sz w:val="18"/>
                <w:szCs w:val="18"/>
              </w:rPr>
              <w:t xml:space="preserve">Goat unit: 3 Black Bengal does, vaccination, deworming, insurance, shelter support</w:t>
            </w:r>
          </w:p>
        </w:tc>
        <w:tc>
          <w:tcPr>
            <w:tcW w:type="dxa" w:w="1000"/>
          </w:tcPr>
          <w:p>
            <w:r>
              <w:rPr>
                <w:b w:val="false"/>
                <w:bCs w:val="false"/>
                <w:color w:val="000000"/>
                <w:sz w:val="18"/>
                <w:szCs w:val="18"/>
              </w:rPr>
              <w:t xml:space="preserve">household</w:t>
            </w:r>
          </w:p>
        </w:tc>
        <w:tc>
          <w:tcPr>
            <w:tcW w:type="dxa" w:w="1200"/>
          </w:tcPr>
          <w:p>
            <w:r>
              <w:rPr>
                <w:b w:val="false"/>
                <w:bCs w:val="false"/>
                <w:color w:val="000000"/>
                <w:sz w:val="18"/>
                <w:szCs w:val="18"/>
              </w:rPr>
              <w:t xml:space="preserve">15,000</w:t>
            </w:r>
          </w:p>
        </w:tc>
        <w:tc>
          <w:tcPr>
            <w:tcW w:type="dxa" w:w="700"/>
          </w:tcPr>
          <w:p>
            <w:r>
              <w:rPr>
                <w:b w:val="false"/>
                <w:bCs w:val="false"/>
                <w:color w:val="000000"/>
                <w:sz w:val="18"/>
                <w:szCs w:val="18"/>
              </w:rPr>
              <w:t xml:space="preserve">30</w:t>
            </w:r>
          </w:p>
        </w:tc>
        <w:tc>
          <w:tcPr>
            <w:tcW w:type="dxa" w:w="1500"/>
          </w:tcPr>
          <w:p>
            <w:r>
              <w:rPr>
                <w:b w:val="false"/>
                <w:bCs w:val="false"/>
                <w:color w:val="000000"/>
                <w:sz w:val="18"/>
                <w:szCs w:val="18"/>
              </w:rPr>
              <w:t xml:space="preserve">4,50,000</w:t>
            </w:r>
          </w:p>
        </w:tc>
        <w:tc>
          <w:tcPr>
            <w:tcW w:type="dxa" w:w="2000"/>
          </w:tcPr>
          <w:p>
            <w:r>
              <w:rPr>
                <w:b w:val="false"/>
                <w:bCs w:val="false"/>
                <w:color w:val="000000"/>
                <w:sz w:val="18"/>
                <w:szCs w:val="18"/>
              </w:rPr>
              <w:t xml:space="preserve">Output 1.1 / O1</w:t>
            </w:r>
          </w:p>
        </w:tc>
        <w:tc>
          <w:tcPr>
            <w:tcW w:type="dxa" w:w="2600"/>
          </w:tcPr>
          <w:p>
            <w:r>
              <w:rPr>
                <w:b w:val="false"/>
                <w:bCs w:val="false"/>
                <w:color w:val="000000"/>
                <w:sz w:val="18"/>
                <w:szCs w:val="18"/>
              </w:rPr>
              <w:t xml:space="preserve">Estimate; working toward the MPVY 4+1 norm [S26]. MPVY co-funding to be sought</w:t>
            </w:r>
          </w:p>
        </w:tc>
      </w:tr>
      <w:tr>
        <w:tc>
          <w:tcPr>
            <w:tcW w:type="dxa" w:w="2400"/>
          </w:tcPr>
          <w:p>
            <w:r>
              <w:rPr>
                <w:b w:val="false"/>
                <w:bCs w:val="false"/>
                <w:color w:val="000000"/>
                <w:sz w:val="18"/>
                <w:szCs w:val="18"/>
              </w:rPr>
              <w:t xml:space="preserve">Shared breeding buck (1 per 10 goat households)</w:t>
            </w:r>
          </w:p>
        </w:tc>
        <w:tc>
          <w:tcPr>
            <w:tcW w:type="dxa" w:w="1000"/>
          </w:tcPr>
          <w:p>
            <w:r>
              <w:rPr>
                <w:b w:val="false"/>
                <w:bCs w:val="false"/>
                <w:color w:val="000000"/>
                <w:sz w:val="18"/>
                <w:szCs w:val="18"/>
              </w:rPr>
              <w:t xml:space="preserve">buck</w:t>
            </w:r>
          </w:p>
        </w:tc>
        <w:tc>
          <w:tcPr>
            <w:tcW w:type="dxa" w:w="1200"/>
          </w:tcPr>
          <w:p>
            <w:r>
              <w:rPr>
                <w:b w:val="false"/>
                <w:bCs w:val="false"/>
                <w:color w:val="000000"/>
                <w:sz w:val="18"/>
                <w:szCs w:val="18"/>
              </w:rPr>
              <w:t xml:space="preserve">6,000</w:t>
            </w:r>
          </w:p>
        </w:tc>
        <w:tc>
          <w:tcPr>
            <w:tcW w:type="dxa" w:w="700"/>
          </w:tcPr>
          <w:p>
            <w:r>
              <w:rPr>
                <w:b w:val="false"/>
                <w:bCs w:val="false"/>
                <w:color w:val="000000"/>
                <w:sz w:val="18"/>
                <w:szCs w:val="18"/>
              </w:rPr>
              <w:t xml:space="preserve">3</w:t>
            </w:r>
          </w:p>
        </w:tc>
        <w:tc>
          <w:tcPr>
            <w:tcW w:type="dxa" w:w="1500"/>
          </w:tcPr>
          <w:p>
            <w:r>
              <w:rPr>
                <w:b w:val="false"/>
                <w:bCs w:val="false"/>
                <w:color w:val="000000"/>
                <w:sz w:val="18"/>
                <w:szCs w:val="18"/>
              </w:rPr>
              <w:t xml:space="preserve">18,000</w:t>
            </w:r>
          </w:p>
        </w:tc>
        <w:tc>
          <w:tcPr>
            <w:tcW w:type="dxa" w:w="2000"/>
          </w:tcPr>
          <w:p>
            <w:r>
              <w:rPr>
                <w:b w:val="false"/>
                <w:bCs w:val="false"/>
                <w:color w:val="000000"/>
                <w:sz w:val="18"/>
                <w:szCs w:val="18"/>
              </w:rPr>
              <w:t xml:space="preserve">O1 (kidding, pass-on)</w:t>
            </w:r>
          </w:p>
        </w:tc>
        <w:tc>
          <w:tcPr>
            <w:tcW w:type="dxa" w:w="2600"/>
          </w:tcPr>
          <w:p>
            <w:r>
              <w:rPr>
                <w:b w:val="false"/>
                <w:bCs w:val="false"/>
                <w:color w:val="000000"/>
                <w:sz w:val="18"/>
                <w:szCs w:val="18"/>
              </w:rPr>
              <w:t xml:space="preserve">Estimate; local quote needed</w:t>
            </w:r>
          </w:p>
        </w:tc>
      </w:tr>
      <w:tr>
        <w:tc>
          <w:tcPr>
            <w:tcW w:type="dxa" w:w="2400"/>
          </w:tcPr>
          <w:p>
            <w:r>
              <w:rPr>
                <w:b w:val="false"/>
                <w:bCs w:val="false"/>
                <w:color w:val="000000"/>
                <w:sz w:val="18"/>
                <w:szCs w:val="18"/>
              </w:rPr>
              <w:t xml:space="preserve">Oyster mushroom starter kit: spawn, bags, rack, sprayer, 2 cycles (training excluded)</w:t>
            </w:r>
          </w:p>
        </w:tc>
        <w:tc>
          <w:tcPr>
            <w:tcW w:type="dxa" w:w="1000"/>
          </w:tcPr>
          <w:p>
            <w:r>
              <w:rPr>
                <w:b w:val="false"/>
                <w:bCs w:val="false"/>
                <w:color w:val="000000"/>
                <w:sz w:val="18"/>
                <w:szCs w:val="18"/>
              </w:rPr>
              <w:t xml:space="preserve">household</w:t>
            </w:r>
          </w:p>
        </w:tc>
        <w:tc>
          <w:tcPr>
            <w:tcW w:type="dxa" w:w="1200"/>
          </w:tcPr>
          <w:p>
            <w:r>
              <w:rPr>
                <w:b w:val="false"/>
                <w:bCs w:val="false"/>
                <w:color w:val="000000"/>
                <w:sz w:val="18"/>
                <w:szCs w:val="18"/>
              </w:rPr>
              <w:t xml:space="preserve">2,500</w:t>
            </w:r>
          </w:p>
        </w:tc>
        <w:tc>
          <w:tcPr>
            <w:tcW w:type="dxa" w:w="700"/>
          </w:tcPr>
          <w:p>
            <w:r>
              <w:rPr>
                <w:b w:val="false"/>
                <w:bCs w:val="false"/>
                <w:color w:val="000000"/>
                <w:sz w:val="18"/>
                <w:szCs w:val="18"/>
              </w:rPr>
              <w:t xml:space="preserve">30</w:t>
            </w:r>
          </w:p>
        </w:tc>
        <w:tc>
          <w:tcPr>
            <w:tcW w:type="dxa" w:w="1500"/>
          </w:tcPr>
          <w:p>
            <w:r>
              <w:rPr>
                <w:b w:val="false"/>
                <w:bCs w:val="false"/>
                <w:color w:val="000000"/>
                <w:sz w:val="18"/>
                <w:szCs w:val="18"/>
              </w:rPr>
              <w:t xml:space="preserve">75,000</w:t>
            </w:r>
          </w:p>
        </w:tc>
        <w:tc>
          <w:tcPr>
            <w:tcW w:type="dxa" w:w="2000"/>
          </w:tcPr>
          <w:p>
            <w:r>
              <w:rPr>
                <w:b w:val="false"/>
                <w:bCs w:val="false"/>
                <w:color w:val="000000"/>
                <w:sz w:val="18"/>
                <w:szCs w:val="18"/>
              </w:rPr>
              <w:t xml:space="preserve">Output 1.1 / O1</w:t>
            </w:r>
          </w:p>
        </w:tc>
        <w:tc>
          <w:tcPr>
            <w:tcW w:type="dxa" w:w="2600"/>
          </w:tcPr>
          <w:p>
            <w:r>
              <w:rPr>
                <w:b w:val="false"/>
                <w:bCs w:val="false"/>
                <w:color w:val="000000"/>
                <w:sz w:val="18"/>
                <w:szCs w:val="18"/>
              </w:rPr>
              <w:t xml:space="preserve">Draft rate, now excluding training; confirm with KVK or Birsa Agricultural University spawn lab</w:t>
            </w:r>
          </w:p>
        </w:tc>
      </w:tr>
      <w:tr>
        <w:tc>
          <w:tcPr>
            <w:tcW w:type="dxa" w:w="2400"/>
          </w:tcPr>
          <w:p>
            <w:r>
              <w:rPr>
                <w:b w:val="false"/>
                <w:bCs w:val="false"/>
                <w:color w:val="000000"/>
                <w:sz w:val="18"/>
                <w:szCs w:val="18"/>
              </w:rPr>
              <w:t xml:space="preserve">Raised-bed kitchen garden: bed materials, 2 seasons of seeds, organic inputs, watering can</w:t>
            </w:r>
          </w:p>
        </w:tc>
        <w:tc>
          <w:tcPr>
            <w:tcW w:type="dxa" w:w="1000"/>
          </w:tcPr>
          <w:p>
            <w:r>
              <w:rPr>
                <w:b w:val="false"/>
                <w:bCs w:val="false"/>
                <w:color w:val="000000"/>
                <w:sz w:val="18"/>
                <w:szCs w:val="18"/>
              </w:rPr>
              <w:t xml:space="preserve">household</w:t>
            </w:r>
          </w:p>
        </w:tc>
        <w:tc>
          <w:tcPr>
            <w:tcW w:type="dxa" w:w="1200"/>
          </w:tcPr>
          <w:p>
            <w:r>
              <w:rPr>
                <w:b w:val="false"/>
                <w:bCs w:val="false"/>
                <w:color w:val="000000"/>
                <w:sz w:val="18"/>
                <w:szCs w:val="18"/>
              </w:rPr>
              <w:t xml:space="preserve">2,000</w:t>
            </w:r>
          </w:p>
        </w:tc>
        <w:tc>
          <w:tcPr>
            <w:tcW w:type="dxa" w:w="700"/>
          </w:tcPr>
          <w:p>
            <w:r>
              <w:rPr>
                <w:b w:val="false"/>
                <w:bCs w:val="false"/>
                <w:color w:val="000000"/>
                <w:sz w:val="18"/>
                <w:szCs w:val="18"/>
              </w:rPr>
              <w:t xml:space="preserve">40</w:t>
            </w:r>
          </w:p>
        </w:tc>
        <w:tc>
          <w:tcPr>
            <w:tcW w:type="dxa" w:w="1500"/>
          </w:tcPr>
          <w:p>
            <w:r>
              <w:rPr>
                <w:b w:val="false"/>
                <w:bCs w:val="false"/>
                <w:color w:val="000000"/>
                <w:sz w:val="18"/>
                <w:szCs w:val="18"/>
              </w:rPr>
              <w:t xml:space="preserve">80,000</w:t>
            </w:r>
          </w:p>
        </w:tc>
        <w:tc>
          <w:tcPr>
            <w:tcW w:type="dxa" w:w="2000"/>
          </w:tcPr>
          <w:p>
            <w:r>
              <w:rPr>
                <w:b w:val="false"/>
                <w:bCs w:val="false"/>
                <w:color w:val="000000"/>
                <w:sz w:val="18"/>
                <w:szCs w:val="18"/>
              </w:rPr>
              <w:t xml:space="preserve">Output 1.1 / O1</w:t>
            </w:r>
          </w:p>
        </w:tc>
        <w:tc>
          <w:tcPr>
            <w:tcW w:type="dxa" w:w="2600"/>
          </w:tcPr>
          <w:p>
            <w:r>
              <w:rPr>
                <w:b w:val="false"/>
                <w:bCs w:val="false"/>
                <w:color w:val="000000"/>
                <w:sz w:val="18"/>
                <w:szCs w:val="18"/>
              </w:rPr>
              <w:t xml:space="preserve">Estimate; explore JSLPS nutri-garden or VB-G RAM G convergence</w:t>
            </w:r>
          </w:p>
        </w:tc>
      </w:tr>
      <w:tr>
        <w:tc>
          <w:tcPr>
            <w:tcW w:type="dxa" w:w="2400"/>
          </w:tcPr>
          <w:p>
            <w:r>
              <w:rPr>
                <w:b w:val="false"/>
                <w:bCs w:val="false"/>
                <w:color w:val="000000"/>
                <w:sz w:val="18"/>
                <w:szCs w:val="18"/>
              </w:rPr>
              <w:t xml:space="preserve">Livelihood skill training, 2 days, block level</w:t>
            </w:r>
          </w:p>
        </w:tc>
        <w:tc>
          <w:tcPr>
            <w:tcW w:type="dxa" w:w="1000"/>
          </w:tcPr>
          <w:p>
            <w:r>
              <w:rPr>
                <w:b w:val="false"/>
                <w:bCs w:val="false"/>
                <w:color w:val="000000"/>
                <w:sz w:val="18"/>
                <w:szCs w:val="18"/>
              </w:rPr>
              <w:t xml:space="preserve">trainee-day</w:t>
            </w:r>
          </w:p>
        </w:tc>
        <w:tc>
          <w:tcPr>
            <w:tcW w:type="dxa" w:w="1200"/>
          </w:tcPr>
          <w:p>
            <w:r>
              <w:rPr>
                <w:b w:val="false"/>
                <w:bCs w:val="false"/>
                <w:color w:val="000000"/>
                <w:sz w:val="18"/>
                <w:szCs w:val="18"/>
              </w:rPr>
              <w:t xml:space="preserve">250</w:t>
            </w:r>
          </w:p>
        </w:tc>
        <w:tc>
          <w:tcPr>
            <w:tcW w:type="dxa" w:w="700"/>
          </w:tcPr>
          <w:p>
            <w:r>
              <w:rPr>
                <w:b w:val="false"/>
                <w:bCs w:val="false"/>
                <w:color w:val="000000"/>
                <w:sz w:val="18"/>
                <w:szCs w:val="18"/>
              </w:rPr>
              <w:t xml:space="preserve">300 (150 × 2)</w:t>
            </w:r>
          </w:p>
        </w:tc>
        <w:tc>
          <w:tcPr>
            <w:tcW w:type="dxa" w:w="1500"/>
          </w:tcPr>
          <w:p>
            <w:r>
              <w:rPr>
                <w:b w:val="false"/>
                <w:bCs w:val="false"/>
                <w:color w:val="000000"/>
                <w:sz w:val="18"/>
                <w:szCs w:val="18"/>
              </w:rPr>
              <w:t xml:space="preserve">75,000</w:t>
            </w:r>
          </w:p>
        </w:tc>
        <w:tc>
          <w:tcPr>
            <w:tcW w:type="dxa" w:w="2000"/>
          </w:tcPr>
          <w:p>
            <w:r>
              <w:rPr>
                <w:b w:val="false"/>
                <w:bCs w:val="false"/>
                <w:color w:val="000000"/>
                <w:sz w:val="18"/>
                <w:szCs w:val="18"/>
              </w:rPr>
              <w:t xml:space="preserve">Output 1.1</w:t>
            </w:r>
          </w:p>
        </w:tc>
        <w:tc>
          <w:tcPr>
            <w:tcW w:type="dxa" w:w="2600"/>
          </w:tcPr>
          <w:p>
            <w:r>
              <w:rPr>
                <w:b w:val="false"/>
                <w:bCs w:val="false"/>
                <w:color w:val="000000"/>
                <w:sz w:val="18"/>
                <w:szCs w:val="18"/>
              </w:rPr>
              <w:t xml:space="preserve">[S30] ATMA cafeteria within-district farmer training norm INR 250/day</w:t>
            </w:r>
          </w:p>
        </w:tc>
      </w:tr>
      <w:tr>
        <w:tc>
          <w:tcPr>
            <w:tcW w:type="dxa" w:w="2400"/>
          </w:tcPr>
          <w:p>
            <w:r>
              <w:rPr>
                <w:b w:val="false"/>
                <w:bCs w:val="false"/>
                <w:color w:val="000000"/>
                <w:sz w:val="18"/>
                <w:szCs w:val="18"/>
              </w:rPr>
              <w:t xml:space="preserve">CRP-led refresher trainings (2 rounds)</w:t>
            </w:r>
          </w:p>
        </w:tc>
        <w:tc>
          <w:tcPr>
            <w:tcW w:type="dxa" w:w="1000"/>
          </w:tcPr>
          <w:p>
            <w:r>
              <w:rPr>
                <w:b w:val="false"/>
                <w:bCs w:val="false"/>
                <w:color w:val="000000"/>
                <w:sz w:val="18"/>
                <w:szCs w:val="18"/>
              </w:rPr>
              <w:t xml:space="preserve">participant-day</w:t>
            </w:r>
          </w:p>
        </w:tc>
        <w:tc>
          <w:tcPr>
            <w:tcW w:type="dxa" w:w="1200"/>
          </w:tcPr>
          <w:p>
            <w:r>
              <w:rPr>
                <w:b w:val="false"/>
                <w:bCs w:val="false"/>
                <w:color w:val="000000"/>
                <w:sz w:val="18"/>
                <w:szCs w:val="18"/>
              </w:rPr>
              <w:t xml:space="preserve">100</w:t>
            </w:r>
          </w:p>
        </w:tc>
        <w:tc>
          <w:tcPr>
            <w:tcW w:type="dxa" w:w="700"/>
          </w:tcPr>
          <w:p>
            <w:r>
              <w:rPr>
                <w:b w:val="false"/>
                <w:bCs w:val="false"/>
                <w:color w:val="000000"/>
                <w:sz w:val="18"/>
                <w:szCs w:val="18"/>
              </w:rPr>
              <w:t xml:space="preserve">300</w:t>
            </w:r>
          </w:p>
        </w:tc>
        <w:tc>
          <w:tcPr>
            <w:tcW w:type="dxa" w:w="1500"/>
          </w:tcPr>
          <w:p>
            <w:r>
              <w:rPr>
                <w:b w:val="false"/>
                <w:bCs w:val="false"/>
                <w:color w:val="000000"/>
                <w:sz w:val="18"/>
                <w:szCs w:val="18"/>
              </w:rPr>
              <w:t xml:space="preserve">30,000</w:t>
            </w:r>
          </w:p>
        </w:tc>
        <w:tc>
          <w:tcPr>
            <w:tcW w:type="dxa" w:w="2000"/>
          </w:tcPr>
          <w:p>
            <w:r>
              <w:rPr>
                <w:b w:val="false"/>
                <w:bCs w:val="false"/>
                <w:color w:val="000000"/>
                <w:sz w:val="18"/>
                <w:szCs w:val="18"/>
              </w:rPr>
              <w:t xml:space="preserve">Output 1.2</w:t>
            </w:r>
          </w:p>
        </w:tc>
        <w:tc>
          <w:tcPr>
            <w:tcW w:type="dxa" w:w="2600"/>
          </w:tcPr>
          <w:p>
            <w:r>
              <w:rPr>
                <w:b w:val="false"/>
                <w:bCs w:val="false"/>
                <w:color w:val="000000"/>
                <w:sz w:val="18"/>
                <w:szCs w:val="18"/>
              </w:rPr>
              <w:t xml:space="preserve">[S31] BPKP norm INR 100/participant for one-day CRP training</w:t>
            </w:r>
          </w:p>
        </w:tc>
      </w:tr>
      <w:tr>
        <w:tc>
          <w:tcPr>
            <w:tcW w:type="dxa" w:w="2400"/>
          </w:tcPr>
          <w:p>
            <w:r>
              <w:rPr>
                <w:b w:val="false"/>
                <w:bCs w:val="false"/>
                <w:color w:val="000000"/>
                <w:sz w:val="18"/>
                <w:szCs w:val="18"/>
              </w:rPr>
              <w:t xml:space="preserve">Training accessibility: sign interpreter, escort travel, pictorial/tactile materials</w:t>
            </w:r>
          </w:p>
        </w:tc>
        <w:tc>
          <w:tcPr>
            <w:tcW w:type="dxa" w:w="1000"/>
          </w:tcPr>
          <w:p>
            <w:r>
              <w:rPr>
                <w:b w:val="false"/>
                <w:bCs w:val="false"/>
                <w:color w:val="000000"/>
                <w:sz w:val="18"/>
                <w:szCs w:val="18"/>
              </w:rPr>
              <w:t xml:space="preserve">batch</w:t>
            </w:r>
          </w:p>
        </w:tc>
        <w:tc>
          <w:tcPr>
            <w:tcW w:type="dxa" w:w="1200"/>
          </w:tcPr>
          <w:p>
            <w:r>
              <w:rPr>
                <w:b w:val="false"/>
                <w:bCs w:val="false"/>
                <w:color w:val="000000"/>
                <w:sz w:val="18"/>
                <w:szCs w:val="18"/>
              </w:rPr>
              <w:t xml:space="preserve">5,000</w:t>
            </w:r>
          </w:p>
        </w:tc>
        <w:tc>
          <w:tcPr>
            <w:tcW w:type="dxa" w:w="700"/>
          </w:tcPr>
          <w:p>
            <w:r>
              <w:rPr>
                <w:b w:val="false"/>
                <w:bCs w:val="false"/>
                <w:color w:val="000000"/>
                <w:sz w:val="18"/>
                <w:szCs w:val="18"/>
              </w:rPr>
              <w:t xml:space="preserve">6</w:t>
            </w:r>
          </w:p>
        </w:tc>
        <w:tc>
          <w:tcPr>
            <w:tcW w:type="dxa" w:w="1500"/>
          </w:tcPr>
          <w:p>
            <w:r>
              <w:rPr>
                <w:b w:val="false"/>
                <w:bCs w:val="false"/>
                <w:color w:val="000000"/>
                <w:sz w:val="18"/>
                <w:szCs w:val="18"/>
              </w:rPr>
              <w:t xml:space="preserve">30,000</w:t>
            </w:r>
          </w:p>
        </w:tc>
        <w:tc>
          <w:tcPr>
            <w:tcW w:type="dxa" w:w="2000"/>
          </w:tcPr>
          <w:p>
            <w:r>
              <w:rPr>
                <w:b w:val="false"/>
                <w:bCs w:val="false"/>
                <w:color w:val="000000"/>
                <w:sz w:val="18"/>
                <w:szCs w:val="18"/>
              </w:rPr>
              <w:t xml:space="preserve">Inclusion / Output 1.1</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Collective marketing kit: egg trays, scales, haat stall fees</w:t>
            </w:r>
          </w:p>
        </w:tc>
        <w:tc>
          <w:tcPr>
            <w:tcW w:type="dxa" w:w="1000"/>
          </w:tcPr>
          <w:p>
            <w:r>
              <w:rPr>
                <w:b w:val="false"/>
                <w:bCs w:val="false"/>
                <w:color w:val="000000"/>
                <w:sz w:val="18"/>
                <w:szCs w:val="18"/>
              </w:rPr>
              <w:t xml:space="preserve">village group</w:t>
            </w:r>
          </w:p>
        </w:tc>
        <w:tc>
          <w:tcPr>
            <w:tcW w:type="dxa" w:w="1200"/>
          </w:tcPr>
          <w:p>
            <w:r>
              <w:rPr>
                <w:b w:val="false"/>
                <w:bCs w:val="false"/>
                <w:color w:val="000000"/>
                <w:sz w:val="18"/>
                <w:szCs w:val="18"/>
              </w:rPr>
              <w:t xml:space="preserve">2,000</w:t>
            </w:r>
          </w:p>
        </w:tc>
        <w:tc>
          <w:tcPr>
            <w:tcW w:type="dxa" w:w="700"/>
          </w:tcPr>
          <w:p>
            <w:r>
              <w:rPr>
                <w:b w:val="false"/>
                <w:bCs w:val="false"/>
                <w:color w:val="000000"/>
                <w:sz w:val="18"/>
                <w:szCs w:val="18"/>
              </w:rPr>
              <w:t xml:space="preserve">10</w:t>
            </w:r>
          </w:p>
        </w:tc>
        <w:tc>
          <w:tcPr>
            <w:tcW w:type="dxa" w:w="1500"/>
          </w:tcPr>
          <w:p>
            <w:r>
              <w:rPr>
                <w:b w:val="false"/>
                <w:bCs w:val="false"/>
                <w:color w:val="000000"/>
                <w:sz w:val="18"/>
                <w:szCs w:val="18"/>
              </w:rPr>
              <w:t xml:space="preserve">20,000</w:t>
            </w:r>
          </w:p>
        </w:tc>
        <w:tc>
          <w:tcPr>
            <w:tcW w:type="dxa" w:w="2000"/>
          </w:tcPr>
          <w:p>
            <w:r>
              <w:rPr>
                <w:b w:val="false"/>
                <w:bCs w:val="false"/>
                <w:color w:val="000000"/>
                <w:sz w:val="18"/>
                <w:szCs w:val="18"/>
              </w:rPr>
              <w:t xml:space="preserve">Output 1.2 / O1</w:t>
            </w:r>
          </w:p>
        </w:tc>
        <w:tc>
          <w:tcPr>
            <w:tcW w:type="dxa" w:w="2600"/>
          </w:tcPr>
          <w:p>
            <w:r>
              <w:rPr>
                <w:b w:val="false"/>
                <w:bCs w:val="false"/>
                <w:color w:val="000000"/>
                <w:sz w:val="18"/>
                <w:szCs w:val="18"/>
              </w:rPr>
              <w:t xml:space="preserve">Estimate</w:t>
            </w:r>
          </w:p>
        </w:tc>
      </w:tr>
      <w:tr>
        <w:tc>
          <w:tcPr>
            <w:tcW w:type="dxa" w:w="2000"/>
            <w:gridSpan w:val="4"/>
            <w:shd w:fill="EEF2EF" w:val="clear"/>
          </w:tcPr>
          <w:p>
            <w:r>
              <w:rPr>
                <w:b/>
                <w:bCs/>
                <w:color w:val="0F3D34"/>
                <w:sz w:val="18"/>
                <w:szCs w:val="18"/>
              </w:rPr>
              <w:t xml:space="preserve">Subtotal — Livelihood Interventions</w:t>
            </w:r>
          </w:p>
        </w:tc>
        <w:tc>
          <w:tcPr>
            <w:tcW w:type="dxa" w:w="2000"/>
            <w:shd w:fill="EEF2EF" w:val="clear"/>
          </w:tcPr>
          <w:p>
            <w:r>
              <w:rPr>
                <w:b/>
                <w:bCs/>
                <w:color w:val="0F3D34"/>
                <w:sz w:val="18"/>
                <w:szCs w:val="18"/>
              </w:rPr>
              <w:t xml:space="preserve">11,03,000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C. Entitlement Facilitation &amp; Convergence</w:t>
            </w:r>
          </w:p>
        </w:tc>
      </w:tr>
      <w:tr>
        <w:tc>
          <w:tcPr>
            <w:tcW w:type="dxa" w:w="2400"/>
          </w:tcPr>
          <w:p>
            <w:r>
              <w:rPr>
                <w:b w:val="false"/>
                <w:bCs w:val="false"/>
                <w:color w:val="000000"/>
                <w:sz w:val="18"/>
                <w:szCs w:val="18"/>
              </w:rPr>
              <w:t xml:space="preserve">Survey enumerators (Months 1–3)</w:t>
            </w:r>
          </w:p>
        </w:tc>
        <w:tc>
          <w:tcPr>
            <w:tcW w:type="dxa" w:w="1000"/>
          </w:tcPr>
          <w:p>
            <w:r>
              <w:rPr>
                <w:b w:val="false"/>
                <w:bCs w:val="false"/>
                <w:color w:val="000000"/>
                <w:sz w:val="18"/>
                <w:szCs w:val="18"/>
              </w:rPr>
              <w:t xml:space="preserve">person-day</w:t>
            </w:r>
          </w:p>
        </w:tc>
        <w:tc>
          <w:tcPr>
            <w:tcW w:type="dxa" w:w="1200"/>
          </w:tcPr>
          <w:p>
            <w:r>
              <w:rPr>
                <w:b w:val="false"/>
                <w:bCs w:val="false"/>
                <w:color w:val="000000"/>
                <w:sz w:val="18"/>
                <w:szCs w:val="18"/>
              </w:rPr>
              <w:t xml:space="preserve">600</w:t>
            </w:r>
          </w:p>
        </w:tc>
        <w:tc>
          <w:tcPr>
            <w:tcW w:type="dxa" w:w="700"/>
          </w:tcPr>
          <w:p>
            <w:r>
              <w:rPr>
                <w:b w:val="false"/>
                <w:bCs w:val="false"/>
                <w:color w:val="000000"/>
                <w:sz w:val="18"/>
                <w:szCs w:val="18"/>
              </w:rPr>
              <w:t xml:space="preserve">120</w:t>
            </w:r>
          </w:p>
        </w:tc>
        <w:tc>
          <w:tcPr>
            <w:tcW w:type="dxa" w:w="1500"/>
          </w:tcPr>
          <w:p>
            <w:r>
              <w:rPr>
                <w:b w:val="false"/>
                <w:bCs w:val="false"/>
                <w:color w:val="000000"/>
                <w:sz w:val="18"/>
                <w:szCs w:val="18"/>
              </w:rPr>
              <w:t xml:space="preserve">72,000</w:t>
            </w:r>
          </w:p>
        </w:tc>
        <w:tc>
          <w:tcPr>
            <w:tcW w:type="dxa" w:w="2000"/>
          </w:tcPr>
          <w:p>
            <w:r>
              <w:rPr>
                <w:b w:val="false"/>
                <w:bCs w:val="false"/>
                <w:color w:val="000000"/>
                <w:sz w:val="18"/>
                <w:szCs w:val="18"/>
              </w:rPr>
              <w:t xml:space="preserve">Output 2.1</w:t>
            </w:r>
          </w:p>
        </w:tc>
        <w:tc>
          <w:tcPr>
            <w:tcW w:type="dxa" w:w="2600"/>
          </w:tcPr>
          <w:p>
            <w:r>
              <w:rPr>
                <w:b w:val="false"/>
                <w:bCs w:val="false"/>
                <w:color w:val="000000"/>
                <w:sz w:val="18"/>
                <w:szCs w:val="18"/>
              </w:rPr>
              <w:t xml:space="preserve">Estimate, above the minimum-wage floor [S28]; field staff cover the balance of interviews</w:t>
            </w:r>
          </w:p>
        </w:tc>
      </w:tr>
      <w:tr>
        <w:tc>
          <w:tcPr>
            <w:tcW w:type="dxa" w:w="2400"/>
          </w:tcPr>
          <w:p>
            <w:r>
              <w:rPr>
                <w:b w:val="false"/>
                <w:bCs w:val="false"/>
                <w:color w:val="000000"/>
                <w:sz w:val="18"/>
                <w:szCs w:val="18"/>
              </w:rPr>
              <w:t xml:space="preserve">Accessible consent forms and survey printing</w:t>
            </w:r>
          </w:p>
        </w:tc>
        <w:tc>
          <w:tcPr>
            <w:tcW w:type="dxa" w:w="1000"/>
          </w:tcPr>
          <w:p>
            <w:r>
              <w:rPr>
                <w:b w:val="false"/>
                <w:bCs w:val="false"/>
                <w:color w:val="000000"/>
                <w:sz w:val="18"/>
                <w:szCs w:val="18"/>
              </w:rPr>
              <w:t xml:space="preserve">member</w:t>
            </w:r>
          </w:p>
        </w:tc>
        <w:tc>
          <w:tcPr>
            <w:tcW w:type="dxa" w:w="1200"/>
          </w:tcPr>
          <w:p>
            <w:r>
              <w:rPr>
                <w:b w:val="false"/>
                <w:bCs w:val="false"/>
                <w:color w:val="000000"/>
                <w:sz w:val="18"/>
                <w:szCs w:val="18"/>
              </w:rPr>
              <w:t xml:space="preserve">10</w:t>
            </w:r>
          </w:p>
        </w:tc>
        <w:tc>
          <w:tcPr>
            <w:tcW w:type="dxa" w:w="700"/>
          </w:tcPr>
          <w:p>
            <w:r>
              <w:rPr>
                <w:b w:val="false"/>
                <w:bCs w:val="false"/>
                <w:color w:val="000000"/>
                <w:sz w:val="18"/>
                <w:szCs w:val="18"/>
              </w:rPr>
              <w:t xml:space="preserve">1,000</w:t>
            </w:r>
          </w:p>
        </w:tc>
        <w:tc>
          <w:tcPr>
            <w:tcW w:type="dxa" w:w="1500"/>
          </w:tcPr>
          <w:p>
            <w:r>
              <w:rPr>
                <w:b w:val="false"/>
                <w:bCs w:val="false"/>
                <w:color w:val="000000"/>
                <w:sz w:val="18"/>
                <w:szCs w:val="18"/>
              </w:rPr>
              <w:t xml:space="preserve">10,000</w:t>
            </w:r>
          </w:p>
        </w:tc>
        <w:tc>
          <w:tcPr>
            <w:tcW w:type="dxa" w:w="2000"/>
          </w:tcPr>
          <w:p>
            <w:r>
              <w:rPr>
                <w:b w:val="false"/>
                <w:bCs w:val="false"/>
                <w:color w:val="000000"/>
                <w:sz w:val="18"/>
                <w:szCs w:val="18"/>
              </w:rPr>
              <w:t xml:space="preserve">Output 2.1 / data protection</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UDID / certification camps with DDRC and medical board: accessible venue, water, documentation desk</w:t>
            </w:r>
          </w:p>
        </w:tc>
        <w:tc>
          <w:tcPr>
            <w:tcW w:type="dxa" w:w="1000"/>
          </w:tcPr>
          <w:p>
            <w:r>
              <w:rPr>
                <w:b w:val="false"/>
                <w:bCs w:val="false"/>
                <w:color w:val="000000"/>
                <w:sz w:val="18"/>
                <w:szCs w:val="18"/>
              </w:rPr>
              <w:t xml:space="preserve">camp</w:t>
            </w:r>
          </w:p>
        </w:tc>
        <w:tc>
          <w:tcPr>
            <w:tcW w:type="dxa" w:w="1200"/>
          </w:tcPr>
          <w:p>
            <w:r>
              <w:rPr>
                <w:b w:val="false"/>
                <w:bCs w:val="false"/>
                <w:color w:val="000000"/>
                <w:sz w:val="18"/>
                <w:szCs w:val="18"/>
              </w:rPr>
              <w:t xml:space="preserve">20,000</w:t>
            </w:r>
          </w:p>
        </w:tc>
        <w:tc>
          <w:tcPr>
            <w:tcW w:type="dxa" w:w="700"/>
          </w:tcPr>
          <w:p>
            <w:r>
              <w:rPr>
                <w:b w:val="false"/>
                <w:bCs w:val="false"/>
                <w:color w:val="000000"/>
                <w:sz w:val="18"/>
                <w:szCs w:val="18"/>
              </w:rPr>
              <w:t xml:space="preserve">3</w:t>
            </w:r>
          </w:p>
        </w:tc>
        <w:tc>
          <w:tcPr>
            <w:tcW w:type="dxa" w:w="1500"/>
          </w:tcPr>
          <w:p>
            <w:r>
              <w:rPr>
                <w:b w:val="false"/>
                <w:bCs w:val="false"/>
                <w:color w:val="000000"/>
                <w:sz w:val="18"/>
                <w:szCs w:val="18"/>
              </w:rPr>
              <w:t xml:space="preserve">60,000</w:t>
            </w:r>
          </w:p>
        </w:tc>
        <w:tc>
          <w:tcPr>
            <w:tcW w:type="dxa" w:w="2000"/>
          </w:tcPr>
          <w:p>
            <w:r>
              <w:rPr>
                <w:b w:val="false"/>
                <w:bCs w:val="false"/>
                <w:color w:val="000000"/>
                <w:sz w:val="18"/>
                <w:szCs w:val="18"/>
              </w:rPr>
              <w:t xml:space="preserve">Output 2.2 / O2</w:t>
            </w:r>
          </w:p>
        </w:tc>
        <w:tc>
          <w:tcPr>
            <w:tcW w:type="dxa" w:w="2600"/>
          </w:tcPr>
          <w:p>
            <w:r>
              <w:rPr>
                <w:b w:val="false"/>
                <w:bCs w:val="false"/>
                <w:color w:val="000000"/>
                <w:sz w:val="18"/>
                <w:szCs w:val="18"/>
              </w:rPr>
              <w:t xml:space="preserve">Estimate; seek joint camps with district administration</w:t>
            </w:r>
          </w:p>
        </w:tc>
      </w:tr>
      <w:tr>
        <w:tc>
          <w:tcPr>
            <w:tcW w:type="dxa" w:w="2400"/>
          </w:tcPr>
          <w:p>
            <w:r>
              <w:rPr>
                <w:b w:val="false"/>
                <w:bCs w:val="false"/>
                <w:color w:val="000000"/>
                <w:sz w:val="18"/>
                <w:szCs w:val="18"/>
              </w:rPr>
              <w:t xml:space="preserve">PwD transport support to UDID camps</w:t>
            </w:r>
          </w:p>
        </w:tc>
        <w:tc>
          <w:tcPr>
            <w:tcW w:type="dxa" w:w="1000"/>
          </w:tcPr>
          <w:p>
            <w:r>
              <w:rPr>
                <w:b w:val="false"/>
                <w:bCs w:val="false"/>
                <w:color w:val="000000"/>
                <w:sz w:val="18"/>
                <w:szCs w:val="18"/>
              </w:rPr>
              <w:t xml:space="preserve">PwD</w:t>
            </w:r>
          </w:p>
        </w:tc>
        <w:tc>
          <w:tcPr>
            <w:tcW w:type="dxa" w:w="1200"/>
          </w:tcPr>
          <w:p>
            <w:r>
              <w:rPr>
                <w:b w:val="false"/>
                <w:bCs w:val="false"/>
                <w:color w:val="000000"/>
                <w:sz w:val="18"/>
                <w:szCs w:val="18"/>
              </w:rPr>
              <w:t xml:space="preserve">250</w:t>
            </w:r>
          </w:p>
        </w:tc>
        <w:tc>
          <w:tcPr>
            <w:tcW w:type="dxa" w:w="700"/>
          </w:tcPr>
          <w:p>
            <w:r>
              <w:rPr>
                <w:b w:val="false"/>
                <w:bCs w:val="false"/>
                <w:color w:val="000000"/>
                <w:sz w:val="18"/>
                <w:szCs w:val="18"/>
              </w:rPr>
              <w:t xml:space="preserve">250</w:t>
            </w:r>
          </w:p>
        </w:tc>
        <w:tc>
          <w:tcPr>
            <w:tcW w:type="dxa" w:w="1500"/>
          </w:tcPr>
          <w:p>
            <w:r>
              <w:rPr>
                <w:b w:val="false"/>
                <w:bCs w:val="false"/>
                <w:color w:val="000000"/>
                <w:sz w:val="18"/>
                <w:szCs w:val="18"/>
              </w:rPr>
              <w:t xml:space="preserve">62,500</w:t>
            </w:r>
          </w:p>
        </w:tc>
        <w:tc>
          <w:tcPr>
            <w:tcW w:type="dxa" w:w="2000"/>
          </w:tcPr>
          <w:p>
            <w:r>
              <w:rPr>
                <w:b w:val="false"/>
                <w:bCs w:val="false"/>
                <w:color w:val="000000"/>
                <w:sz w:val="18"/>
                <w:szCs w:val="18"/>
              </w:rPr>
              <w:t xml:space="preserve">Output 2.2</w:t>
            </w:r>
          </w:p>
        </w:tc>
        <w:tc>
          <w:tcPr>
            <w:tcW w:type="dxa" w:w="2600"/>
          </w:tcPr>
          <w:p>
            <w:r>
              <w:rPr>
                <w:b w:val="false"/>
                <w:bCs w:val="false"/>
                <w:color w:val="000000"/>
                <w:sz w:val="18"/>
                <w:szCs w:val="18"/>
              </w:rPr>
              <w:t xml:space="preserve">[S23] ADIP transport allowance INR 250/PwD, used as benchmark</w:t>
            </w:r>
          </w:p>
        </w:tc>
      </w:tr>
      <w:tr>
        <w:tc>
          <w:tcPr>
            <w:tcW w:type="dxa" w:w="2400"/>
          </w:tcPr>
          <w:p>
            <w:r>
              <w:rPr>
                <w:b w:val="false"/>
                <w:bCs w:val="false"/>
                <w:color w:val="000000"/>
                <w:sz w:val="18"/>
                <w:szCs w:val="18"/>
              </w:rPr>
              <w:t xml:space="preserve">ADIP assistive-device camp logistics (devices and transport funded by ADIP)</w:t>
            </w:r>
          </w:p>
        </w:tc>
        <w:tc>
          <w:tcPr>
            <w:tcW w:type="dxa" w:w="1000"/>
          </w:tcPr>
          <w:p>
            <w:r>
              <w:rPr>
                <w:b w:val="false"/>
                <w:bCs w:val="false"/>
                <w:color w:val="000000"/>
                <w:sz w:val="18"/>
                <w:szCs w:val="18"/>
              </w:rPr>
              <w:t xml:space="preserve">camp</w:t>
            </w:r>
          </w:p>
        </w:tc>
        <w:tc>
          <w:tcPr>
            <w:tcW w:type="dxa" w:w="1200"/>
          </w:tcPr>
          <w:p>
            <w:r>
              <w:rPr>
                <w:b w:val="false"/>
                <w:bCs w:val="false"/>
                <w:color w:val="000000"/>
                <w:sz w:val="18"/>
                <w:szCs w:val="18"/>
              </w:rPr>
              <w:t xml:space="preserve">30,000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30,000</w:t>
            </w:r>
          </w:p>
        </w:tc>
        <w:tc>
          <w:tcPr>
            <w:tcW w:type="dxa" w:w="2000"/>
          </w:tcPr>
          <w:p>
            <w:r>
              <w:rPr>
                <w:b w:val="false"/>
                <w:bCs w:val="false"/>
                <w:color w:val="000000"/>
                <w:sz w:val="18"/>
                <w:szCs w:val="18"/>
              </w:rPr>
              <w:t xml:space="preserve">Output 2.4 / O2</w:t>
            </w:r>
          </w:p>
        </w:tc>
        <w:tc>
          <w:tcPr>
            <w:tcW w:type="dxa" w:w="2600"/>
          </w:tcPr>
          <w:p>
            <w:r>
              <w:rPr>
                <w:b w:val="false"/>
                <w:bCs w:val="false"/>
                <w:color w:val="000000"/>
                <w:sz w:val="18"/>
                <w:szCs w:val="18"/>
              </w:rPr>
              <w:t xml:space="preserve">Estimate; ADIP convergence [S21]</w:t>
            </w:r>
          </w:p>
        </w:tc>
      </w:tr>
      <w:tr>
        <w:tc>
          <w:tcPr>
            <w:tcW w:type="dxa" w:w="2400"/>
          </w:tcPr>
          <w:p>
            <w:r>
              <w:rPr>
                <w:b w:val="false"/>
                <w:bCs w:val="false"/>
                <w:color w:val="000000"/>
                <w:sz w:val="18"/>
                <w:szCs w:val="18"/>
              </w:rPr>
              <w:t xml:space="preserve">Application support: CSC fees, photocopies, photos, Aadhaar and bank seeding</w:t>
            </w:r>
          </w:p>
        </w:tc>
        <w:tc>
          <w:tcPr>
            <w:tcW w:type="dxa" w:w="1000"/>
          </w:tcPr>
          <w:p>
            <w:r>
              <w:rPr>
                <w:b w:val="false"/>
                <w:bCs w:val="false"/>
                <w:color w:val="000000"/>
                <w:sz w:val="18"/>
                <w:szCs w:val="18"/>
              </w:rPr>
              <w:t xml:space="preserve">member</w:t>
            </w:r>
          </w:p>
        </w:tc>
        <w:tc>
          <w:tcPr>
            <w:tcW w:type="dxa" w:w="1200"/>
          </w:tcPr>
          <w:p>
            <w:r>
              <w:rPr>
                <w:b w:val="false"/>
                <w:bCs w:val="false"/>
                <w:color w:val="000000"/>
                <w:sz w:val="18"/>
                <w:szCs w:val="18"/>
              </w:rPr>
              <w:t xml:space="preserve">60</w:t>
            </w:r>
          </w:p>
        </w:tc>
        <w:tc>
          <w:tcPr>
            <w:tcW w:type="dxa" w:w="700"/>
          </w:tcPr>
          <w:p>
            <w:r>
              <w:rPr>
                <w:b w:val="false"/>
                <w:bCs w:val="false"/>
                <w:color w:val="000000"/>
                <w:sz w:val="18"/>
                <w:szCs w:val="18"/>
              </w:rPr>
              <w:t xml:space="preserve">500</w:t>
            </w:r>
          </w:p>
        </w:tc>
        <w:tc>
          <w:tcPr>
            <w:tcW w:type="dxa" w:w="1500"/>
          </w:tcPr>
          <w:p>
            <w:r>
              <w:rPr>
                <w:b w:val="false"/>
                <w:bCs w:val="false"/>
                <w:color w:val="000000"/>
                <w:sz w:val="18"/>
                <w:szCs w:val="18"/>
              </w:rPr>
              <w:t xml:space="preserve">30,000</w:t>
            </w:r>
          </w:p>
        </w:tc>
        <w:tc>
          <w:tcPr>
            <w:tcW w:type="dxa" w:w="2000"/>
          </w:tcPr>
          <w:p>
            <w:r>
              <w:rPr>
                <w:b w:val="false"/>
                <w:bCs w:val="false"/>
                <w:color w:val="000000"/>
                <w:sz w:val="18"/>
                <w:szCs w:val="18"/>
              </w:rPr>
              <w:t xml:space="preserve">Output 2.3 / O2</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Multi-department convergence meets</w:t>
            </w:r>
          </w:p>
        </w:tc>
        <w:tc>
          <w:tcPr>
            <w:tcW w:type="dxa" w:w="1000"/>
          </w:tcPr>
          <w:p>
            <w:r>
              <w:rPr>
                <w:b w:val="false"/>
                <w:bCs w:val="false"/>
                <w:color w:val="000000"/>
                <w:sz w:val="18"/>
                <w:szCs w:val="18"/>
              </w:rPr>
              <w:t xml:space="preserve">event</w:t>
            </w:r>
          </w:p>
        </w:tc>
        <w:tc>
          <w:tcPr>
            <w:tcW w:type="dxa" w:w="1200"/>
          </w:tcPr>
          <w:p>
            <w:r>
              <w:rPr>
                <w:b w:val="false"/>
                <w:bCs w:val="false"/>
                <w:color w:val="000000"/>
                <w:sz w:val="18"/>
                <w:szCs w:val="18"/>
              </w:rPr>
              <w:t xml:space="preserve">25,000</w:t>
            </w:r>
          </w:p>
        </w:tc>
        <w:tc>
          <w:tcPr>
            <w:tcW w:type="dxa" w:w="700"/>
          </w:tcPr>
          <w:p>
            <w:r>
              <w:rPr>
                <w:b w:val="false"/>
                <w:bCs w:val="false"/>
                <w:color w:val="000000"/>
                <w:sz w:val="18"/>
                <w:szCs w:val="18"/>
              </w:rPr>
              <w:t xml:space="preserve">2</w:t>
            </w:r>
          </w:p>
        </w:tc>
        <w:tc>
          <w:tcPr>
            <w:tcW w:type="dxa" w:w="1500"/>
          </w:tcPr>
          <w:p>
            <w:r>
              <w:rPr>
                <w:b w:val="false"/>
                <w:bCs w:val="false"/>
                <w:color w:val="000000"/>
                <w:sz w:val="18"/>
                <w:szCs w:val="18"/>
              </w:rPr>
              <w:t xml:space="preserve">50,000</w:t>
            </w:r>
          </w:p>
        </w:tc>
        <w:tc>
          <w:tcPr>
            <w:tcW w:type="dxa" w:w="2000"/>
          </w:tcPr>
          <w:p>
            <w:r>
              <w:rPr>
                <w:b w:val="false"/>
                <w:bCs w:val="false"/>
                <w:color w:val="000000"/>
                <w:sz w:val="18"/>
                <w:szCs w:val="18"/>
              </w:rPr>
              <w:t xml:space="preserve">Output 2.4</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Encrypted tablets for survey, database and tracker</w:t>
            </w:r>
          </w:p>
        </w:tc>
        <w:tc>
          <w:tcPr>
            <w:tcW w:type="dxa" w:w="1000"/>
          </w:tcPr>
          <w:p>
            <w:r>
              <w:rPr>
                <w:b w:val="false"/>
                <w:bCs w:val="false"/>
                <w:color w:val="000000"/>
                <w:sz w:val="18"/>
                <w:szCs w:val="18"/>
              </w:rPr>
              <w:t xml:space="preserve">tablet</w:t>
            </w:r>
          </w:p>
        </w:tc>
        <w:tc>
          <w:tcPr>
            <w:tcW w:type="dxa" w:w="1200"/>
          </w:tcPr>
          <w:p>
            <w:r>
              <w:rPr>
                <w:b w:val="false"/>
                <w:bCs w:val="false"/>
                <w:color w:val="000000"/>
                <w:sz w:val="18"/>
                <w:szCs w:val="18"/>
              </w:rPr>
              <w:t xml:space="preserve">12,000</w:t>
            </w:r>
          </w:p>
        </w:tc>
        <w:tc>
          <w:tcPr>
            <w:tcW w:type="dxa" w:w="700"/>
          </w:tcPr>
          <w:p>
            <w:r>
              <w:rPr>
                <w:b w:val="false"/>
                <w:bCs w:val="false"/>
                <w:color w:val="000000"/>
                <w:sz w:val="18"/>
                <w:szCs w:val="18"/>
              </w:rPr>
              <w:t xml:space="preserve">2</w:t>
            </w:r>
          </w:p>
        </w:tc>
        <w:tc>
          <w:tcPr>
            <w:tcW w:type="dxa" w:w="1500"/>
          </w:tcPr>
          <w:p>
            <w:r>
              <w:rPr>
                <w:b w:val="false"/>
                <w:bCs w:val="false"/>
                <w:color w:val="000000"/>
                <w:sz w:val="18"/>
                <w:szCs w:val="18"/>
              </w:rPr>
              <w:t xml:space="preserve">24,000</w:t>
            </w:r>
          </w:p>
        </w:tc>
        <w:tc>
          <w:tcPr>
            <w:tcW w:type="dxa" w:w="2000"/>
          </w:tcPr>
          <w:p>
            <w:r>
              <w:rPr>
                <w:b w:val="false"/>
                <w:bCs w:val="false"/>
                <w:color w:val="000000"/>
                <w:sz w:val="18"/>
                <w:szCs w:val="18"/>
              </w:rPr>
              <w:t xml:space="preserve">Output 2.1 / 3.3</w:t>
            </w:r>
          </w:p>
        </w:tc>
        <w:tc>
          <w:tcPr>
            <w:tcW w:type="dxa" w:w="2600"/>
          </w:tcPr>
          <w:p>
            <w:r>
              <w:rPr>
                <w:b w:val="false"/>
                <w:bCs w:val="false"/>
                <w:color w:val="000000"/>
                <w:sz w:val="18"/>
                <w:szCs w:val="18"/>
              </w:rPr>
              <w:t xml:space="preserve">Estimate; handed over to the Sangathan</w:t>
            </w:r>
          </w:p>
        </w:tc>
      </w:tr>
      <w:tr>
        <w:tc>
          <w:tcPr>
            <w:tcW w:type="dxa" w:w="2000"/>
            <w:gridSpan w:val="4"/>
            <w:shd w:fill="EEF2EF" w:val="clear"/>
          </w:tcPr>
          <w:p>
            <w:r>
              <w:rPr>
                <w:b/>
                <w:bCs/>
                <w:color w:val="0F3D34"/>
                <w:sz w:val="18"/>
                <w:szCs w:val="18"/>
              </w:rPr>
              <w:t xml:space="preserve">Subtotal — Entitlement Facilitation &amp; Convergence</w:t>
            </w:r>
          </w:p>
        </w:tc>
        <w:tc>
          <w:tcPr>
            <w:tcW w:type="dxa" w:w="2000"/>
            <w:shd w:fill="EEF2EF" w:val="clear"/>
          </w:tcPr>
          <w:p>
            <w:r>
              <w:rPr>
                <w:b/>
                <w:bCs/>
                <w:color w:val="0F3D34"/>
                <w:sz w:val="18"/>
                <w:szCs w:val="18"/>
              </w:rPr>
              <w:t xml:space="preserve">3,38,500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D. Sangathan Strengthening</w:t>
            </w:r>
          </w:p>
        </w:tc>
      </w:tr>
      <w:tr>
        <w:tc>
          <w:tcPr>
            <w:tcW w:type="dxa" w:w="2400"/>
          </w:tcPr>
          <w:p>
            <w:r>
              <w:rPr>
                <w:b w:val="false"/>
                <w:bCs w:val="false"/>
                <w:color w:val="000000"/>
                <w:sz w:val="18"/>
                <w:szCs w:val="18"/>
              </w:rPr>
              <w:t xml:space="preserve">Leadership development training, 2 days (2 batches)</w:t>
            </w:r>
          </w:p>
        </w:tc>
        <w:tc>
          <w:tcPr>
            <w:tcW w:type="dxa" w:w="1000"/>
          </w:tcPr>
          <w:p>
            <w:r>
              <w:rPr>
                <w:b w:val="false"/>
                <w:bCs w:val="false"/>
                <w:color w:val="000000"/>
                <w:sz w:val="18"/>
                <w:szCs w:val="18"/>
              </w:rPr>
              <w:t xml:space="preserve">batch</w:t>
            </w:r>
          </w:p>
        </w:tc>
        <w:tc>
          <w:tcPr>
            <w:tcW w:type="dxa" w:w="1200"/>
          </w:tcPr>
          <w:p>
            <w:r>
              <w:rPr>
                <w:b w:val="false"/>
                <w:bCs w:val="false"/>
                <w:color w:val="000000"/>
                <w:sz w:val="18"/>
                <w:szCs w:val="18"/>
              </w:rPr>
              <w:t xml:space="preserve">50,000</w:t>
            </w:r>
          </w:p>
        </w:tc>
        <w:tc>
          <w:tcPr>
            <w:tcW w:type="dxa" w:w="700"/>
          </w:tcPr>
          <w:p>
            <w:r>
              <w:rPr>
                <w:b w:val="false"/>
                <w:bCs w:val="false"/>
                <w:color w:val="000000"/>
                <w:sz w:val="18"/>
                <w:szCs w:val="18"/>
              </w:rPr>
              <w:t xml:space="preserve">2</w:t>
            </w:r>
          </w:p>
        </w:tc>
        <w:tc>
          <w:tcPr>
            <w:tcW w:type="dxa" w:w="1500"/>
          </w:tcPr>
          <w:p>
            <w:r>
              <w:rPr>
                <w:b w:val="false"/>
                <w:bCs w:val="false"/>
                <w:color w:val="000000"/>
                <w:sz w:val="18"/>
                <w:szCs w:val="18"/>
              </w:rPr>
              <w:t xml:space="preserve">1,00,000</w:t>
            </w:r>
          </w:p>
        </w:tc>
        <w:tc>
          <w:tcPr>
            <w:tcW w:type="dxa" w:w="2000"/>
          </w:tcPr>
          <w:p>
            <w:r>
              <w:rPr>
                <w:b w:val="false"/>
                <w:bCs w:val="false"/>
                <w:color w:val="000000"/>
                <w:sz w:val="18"/>
                <w:szCs w:val="18"/>
              </w:rPr>
              <w:t xml:space="preserve">Output 3.1 / O3</w:t>
            </w:r>
          </w:p>
        </w:tc>
        <w:tc>
          <w:tcPr>
            <w:tcW w:type="dxa" w:w="2600"/>
          </w:tcPr>
          <w:p>
            <w:r>
              <w:rPr>
                <w:b w:val="false"/>
                <w:bCs w:val="false"/>
                <w:color w:val="000000"/>
                <w:sz w:val="18"/>
                <w:szCs w:val="18"/>
              </w:rPr>
              <w:t xml:space="preserve">[S31] BPKP norm INR 50,000 per 2-day training of 15 resource persons</w:t>
            </w:r>
          </w:p>
        </w:tc>
      </w:tr>
      <w:tr>
        <w:tc>
          <w:tcPr>
            <w:tcW w:type="dxa" w:w="2400"/>
          </w:tcPr>
          <w:p>
            <w:r>
              <w:rPr>
                <w:b w:val="false"/>
                <w:bCs w:val="false"/>
                <w:color w:val="000000"/>
                <w:sz w:val="18"/>
                <w:szCs w:val="18"/>
              </w:rPr>
              <w:t xml:space="preserve">Monthly Sangathan executive meetings</w:t>
            </w:r>
          </w:p>
        </w:tc>
        <w:tc>
          <w:tcPr>
            <w:tcW w:type="dxa" w:w="1000"/>
          </w:tcPr>
          <w:p>
            <w:r>
              <w:rPr>
                <w:b w:val="false"/>
                <w:bCs w:val="false"/>
                <w:color w:val="000000"/>
                <w:sz w:val="18"/>
                <w:szCs w:val="18"/>
              </w:rPr>
              <w:t xml:space="preserve">meeting</w:t>
            </w:r>
          </w:p>
        </w:tc>
        <w:tc>
          <w:tcPr>
            <w:tcW w:type="dxa" w:w="1200"/>
          </w:tcPr>
          <w:p>
            <w:r>
              <w:rPr>
                <w:b w:val="false"/>
                <w:bCs w:val="false"/>
                <w:color w:val="000000"/>
                <w:sz w:val="18"/>
                <w:szCs w:val="18"/>
              </w:rPr>
              <w:t xml:space="preserve">4,000</w:t>
            </w:r>
          </w:p>
        </w:tc>
        <w:tc>
          <w:tcPr>
            <w:tcW w:type="dxa" w:w="700"/>
          </w:tcPr>
          <w:p>
            <w:r>
              <w:rPr>
                <w:b w:val="false"/>
                <w:bCs w:val="false"/>
                <w:color w:val="000000"/>
                <w:sz w:val="18"/>
                <w:szCs w:val="18"/>
              </w:rPr>
              <w:t xml:space="preserve">12</w:t>
            </w:r>
          </w:p>
        </w:tc>
        <w:tc>
          <w:tcPr>
            <w:tcW w:type="dxa" w:w="1500"/>
          </w:tcPr>
          <w:p>
            <w:r>
              <w:rPr>
                <w:b w:val="false"/>
                <w:bCs w:val="false"/>
                <w:color w:val="000000"/>
                <w:sz w:val="18"/>
                <w:szCs w:val="18"/>
              </w:rPr>
              <w:t xml:space="preserve">48,000</w:t>
            </w:r>
          </w:p>
        </w:tc>
        <w:tc>
          <w:tcPr>
            <w:tcW w:type="dxa" w:w="2000"/>
          </w:tcPr>
          <w:p>
            <w:r>
              <w:rPr>
                <w:b w:val="false"/>
                <w:bCs w:val="false"/>
                <w:color w:val="000000"/>
                <w:sz w:val="18"/>
                <w:szCs w:val="18"/>
              </w:rPr>
              <w:t xml:space="preserve">O3</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Registration and formalisation: bylaws, legal fees, general body meeting</w:t>
            </w:r>
          </w:p>
        </w:tc>
        <w:tc>
          <w:tcPr>
            <w:tcW w:type="dxa" w:w="1000"/>
          </w:tcPr>
          <w:p>
            <w:r>
              <w:rPr>
                <w:b w:val="false"/>
                <w:bCs w:val="false"/>
                <w:color w:val="000000"/>
                <w:sz w:val="18"/>
                <w:szCs w:val="18"/>
              </w:rPr>
              <w:t xml:space="preserve">lump sum</w:t>
            </w:r>
          </w:p>
        </w:tc>
        <w:tc>
          <w:tcPr>
            <w:tcW w:type="dxa" w:w="1200"/>
          </w:tcPr>
          <w:p>
            <w:r>
              <w:rPr>
                <w:b w:val="false"/>
                <w:bCs w:val="false"/>
                <w:color w:val="000000"/>
                <w:sz w:val="18"/>
                <w:szCs w:val="18"/>
              </w:rPr>
              <w:t xml:space="preserve">25,000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25,000</w:t>
            </w:r>
          </w:p>
        </w:tc>
        <w:tc>
          <w:tcPr>
            <w:tcW w:type="dxa" w:w="2000"/>
          </w:tcPr>
          <w:p>
            <w:r>
              <w:rPr>
                <w:b w:val="false"/>
                <w:bCs w:val="false"/>
                <w:color w:val="000000"/>
                <w:sz w:val="18"/>
                <w:szCs w:val="18"/>
              </w:rPr>
              <w:t xml:space="preserve">Output 3.2 / O3</w:t>
            </w:r>
          </w:p>
        </w:tc>
        <w:tc>
          <w:tcPr>
            <w:tcW w:type="dxa" w:w="2600"/>
          </w:tcPr>
          <w:p>
            <w:r>
              <w:rPr>
                <w:b w:val="false"/>
                <w:bCs w:val="false"/>
                <w:color w:val="000000"/>
                <w:sz w:val="18"/>
                <w:szCs w:val="18"/>
              </w:rPr>
              <w:t xml:space="preserve">Estimate</w:t>
            </w:r>
          </w:p>
        </w:tc>
      </w:tr>
      <w:tr>
        <w:tc>
          <w:tcPr>
            <w:tcW w:type="dxa" w:w="2000"/>
            <w:gridSpan w:val="4"/>
            <w:shd w:fill="EEF2EF" w:val="clear"/>
          </w:tcPr>
          <w:p>
            <w:r>
              <w:rPr>
                <w:b/>
                <w:bCs/>
                <w:color w:val="0F3D34"/>
                <w:sz w:val="18"/>
                <w:szCs w:val="18"/>
              </w:rPr>
              <w:t xml:space="preserve">Subtotal — Sangathan Strengthening</w:t>
            </w:r>
          </w:p>
        </w:tc>
        <w:tc>
          <w:tcPr>
            <w:tcW w:type="dxa" w:w="2000"/>
            <w:shd w:fill="EEF2EF" w:val="clear"/>
          </w:tcPr>
          <w:p>
            <w:r>
              <w:rPr>
                <w:b/>
                <w:bCs/>
                <w:color w:val="0F3D34"/>
                <w:sz w:val="18"/>
                <w:szCs w:val="18"/>
              </w:rPr>
              <w:t xml:space="preserve">1,73,000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E. Monitoring, Documentation &amp; Visibility</w:t>
            </w:r>
          </w:p>
        </w:tc>
      </w:tr>
      <w:tr>
        <w:tc>
          <w:tcPr>
            <w:tcW w:type="dxa" w:w="2400"/>
          </w:tcPr>
          <w:p>
            <w:r>
              <w:rPr>
                <w:b w:val="false"/>
                <w:bCs w:val="false"/>
                <w:color w:val="000000"/>
                <w:sz w:val="18"/>
                <w:szCs w:val="18"/>
              </w:rPr>
              <w:t xml:space="preserve">Field mobility for Coordinator and 2 Field Facilitators</w:t>
            </w:r>
          </w:p>
        </w:tc>
        <w:tc>
          <w:tcPr>
            <w:tcW w:type="dxa" w:w="1000"/>
          </w:tcPr>
          <w:p>
            <w:r>
              <w:rPr>
                <w:b w:val="false"/>
                <w:bCs w:val="false"/>
                <w:color w:val="000000"/>
                <w:sz w:val="18"/>
                <w:szCs w:val="18"/>
              </w:rPr>
              <w:t xml:space="preserve">person-month</w:t>
            </w:r>
          </w:p>
        </w:tc>
        <w:tc>
          <w:tcPr>
            <w:tcW w:type="dxa" w:w="1200"/>
          </w:tcPr>
          <w:p>
            <w:r>
              <w:rPr>
                <w:b w:val="false"/>
                <w:bCs w:val="false"/>
                <w:color w:val="000000"/>
                <w:sz w:val="18"/>
                <w:szCs w:val="18"/>
              </w:rPr>
              <w:t xml:space="preserve">2,500</w:t>
            </w:r>
          </w:p>
        </w:tc>
        <w:tc>
          <w:tcPr>
            <w:tcW w:type="dxa" w:w="700"/>
          </w:tcPr>
          <w:p>
            <w:r>
              <w:rPr>
                <w:b w:val="false"/>
                <w:bCs w:val="false"/>
                <w:color w:val="000000"/>
                <w:sz w:val="18"/>
                <w:szCs w:val="18"/>
              </w:rPr>
              <w:t xml:space="preserve">36</w:t>
            </w:r>
          </w:p>
        </w:tc>
        <w:tc>
          <w:tcPr>
            <w:tcW w:type="dxa" w:w="1500"/>
          </w:tcPr>
          <w:p>
            <w:r>
              <w:rPr>
                <w:b w:val="false"/>
                <w:bCs w:val="false"/>
                <w:color w:val="000000"/>
                <w:sz w:val="18"/>
                <w:szCs w:val="18"/>
              </w:rPr>
              <w:t xml:space="preserve">90,000</w:t>
            </w:r>
          </w:p>
        </w:tc>
        <w:tc>
          <w:tcPr>
            <w:tcW w:type="dxa" w:w="2000"/>
          </w:tcPr>
          <w:p>
            <w:r>
              <w:rPr>
                <w:b w:val="false"/>
                <w:bCs w:val="false"/>
                <w:color w:val="000000"/>
                <w:sz w:val="18"/>
                <w:szCs w:val="18"/>
              </w:rPr>
              <w:t xml:space="preserve">All outcomes</w:t>
            </w:r>
          </w:p>
        </w:tc>
        <w:tc>
          <w:tcPr>
            <w:tcW w:type="dxa" w:w="2600"/>
          </w:tcPr>
          <w:p>
            <w:r>
              <w:rPr>
                <w:b w:val="false"/>
                <w:bCs w:val="false"/>
                <w:color w:val="000000"/>
                <w:sz w:val="18"/>
                <w:szCs w:val="18"/>
              </w:rPr>
              <w:t xml:space="preserve">Estimate; replaces the draft's lump-sum 'Travel &amp; Misc'</w:t>
            </w:r>
          </w:p>
        </w:tc>
      </w:tr>
      <w:tr>
        <w:tc>
          <w:tcPr>
            <w:tcW w:type="dxa" w:w="2400"/>
          </w:tcPr>
          <w:p>
            <w:r>
              <w:rPr>
                <w:b w:val="false"/>
                <w:bCs w:val="false"/>
                <w:color w:val="000000"/>
                <w:sz w:val="18"/>
                <w:szCs w:val="18"/>
              </w:rPr>
              <w:t xml:space="preserve">Endline income and entitlement-receipt assessment</w:t>
            </w:r>
          </w:p>
        </w:tc>
        <w:tc>
          <w:tcPr>
            <w:tcW w:type="dxa" w:w="1000"/>
          </w:tcPr>
          <w:p>
            <w:r>
              <w:rPr>
                <w:b w:val="false"/>
                <w:bCs w:val="false"/>
                <w:color w:val="000000"/>
                <w:sz w:val="18"/>
                <w:szCs w:val="18"/>
              </w:rPr>
              <w:t xml:space="preserve">person-day</w:t>
            </w:r>
          </w:p>
        </w:tc>
        <w:tc>
          <w:tcPr>
            <w:tcW w:type="dxa" w:w="1200"/>
          </w:tcPr>
          <w:p>
            <w:r>
              <w:rPr>
                <w:b w:val="false"/>
                <w:bCs w:val="false"/>
                <w:color w:val="000000"/>
                <w:sz w:val="18"/>
                <w:szCs w:val="18"/>
              </w:rPr>
              <w:t xml:space="preserve">600</w:t>
            </w:r>
          </w:p>
        </w:tc>
        <w:tc>
          <w:tcPr>
            <w:tcW w:type="dxa" w:w="700"/>
          </w:tcPr>
          <w:p>
            <w:r>
              <w:rPr>
                <w:b w:val="false"/>
                <w:bCs w:val="false"/>
                <w:color w:val="000000"/>
                <w:sz w:val="18"/>
                <w:szCs w:val="18"/>
              </w:rPr>
              <w:t xml:space="preserve">30</w:t>
            </w:r>
          </w:p>
        </w:tc>
        <w:tc>
          <w:tcPr>
            <w:tcW w:type="dxa" w:w="1500"/>
          </w:tcPr>
          <w:p>
            <w:r>
              <w:rPr>
                <w:b w:val="false"/>
                <w:bCs w:val="false"/>
                <w:color w:val="000000"/>
                <w:sz w:val="18"/>
                <w:szCs w:val="18"/>
              </w:rPr>
              <w:t xml:space="preserve">18,000</w:t>
            </w:r>
          </w:p>
        </w:tc>
        <w:tc>
          <w:tcPr>
            <w:tcW w:type="dxa" w:w="2000"/>
          </w:tcPr>
          <w:p>
            <w:r>
              <w:rPr>
                <w:b w:val="false"/>
                <w:bCs w:val="false"/>
                <w:color w:val="000000"/>
                <w:sz w:val="18"/>
                <w:szCs w:val="18"/>
              </w:rPr>
              <w:t xml:space="preserve">Monitoring for O1, O2</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Inception meeting with Sangathan, donor and officials</w:t>
            </w:r>
          </w:p>
        </w:tc>
        <w:tc>
          <w:tcPr>
            <w:tcW w:type="dxa" w:w="1000"/>
          </w:tcPr>
          <w:p>
            <w:r>
              <w:rPr>
                <w:b w:val="false"/>
                <w:bCs w:val="false"/>
                <w:color w:val="000000"/>
                <w:sz w:val="18"/>
                <w:szCs w:val="18"/>
              </w:rPr>
              <w:t xml:space="preserve">event</w:t>
            </w:r>
          </w:p>
        </w:tc>
        <w:tc>
          <w:tcPr>
            <w:tcW w:type="dxa" w:w="1200"/>
          </w:tcPr>
          <w:p>
            <w:r>
              <w:rPr>
                <w:b w:val="false"/>
                <w:bCs w:val="false"/>
                <w:color w:val="000000"/>
                <w:sz w:val="18"/>
                <w:szCs w:val="18"/>
              </w:rPr>
              <w:t xml:space="preserve">20,000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20,000</w:t>
            </w:r>
          </w:p>
        </w:tc>
        <w:tc>
          <w:tcPr>
            <w:tcW w:type="dxa" w:w="2000"/>
          </w:tcPr>
          <w:p>
            <w:r>
              <w:rPr>
                <w:b w:val="false"/>
                <w:bCs w:val="false"/>
                <w:color w:val="000000"/>
                <w:sz w:val="18"/>
                <w:szCs w:val="18"/>
              </w:rPr>
              <w:t xml:space="preserve">Visibility / ownership</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Sangathan convention combined with livelihood mela</w:t>
            </w:r>
          </w:p>
        </w:tc>
        <w:tc>
          <w:tcPr>
            <w:tcW w:type="dxa" w:w="1000"/>
          </w:tcPr>
          <w:p>
            <w:r>
              <w:rPr>
                <w:b w:val="false"/>
                <w:bCs w:val="false"/>
                <w:color w:val="000000"/>
                <w:sz w:val="18"/>
                <w:szCs w:val="18"/>
              </w:rPr>
              <w:t xml:space="preserve">event</w:t>
            </w:r>
          </w:p>
        </w:tc>
        <w:tc>
          <w:tcPr>
            <w:tcW w:type="dxa" w:w="1200"/>
          </w:tcPr>
          <w:p>
            <w:r>
              <w:rPr>
                <w:b w:val="false"/>
                <w:bCs w:val="false"/>
                <w:color w:val="000000"/>
                <w:sz w:val="18"/>
                <w:szCs w:val="18"/>
              </w:rPr>
              <w:t xml:space="preserve">50,000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50,000</w:t>
            </w:r>
          </w:p>
        </w:tc>
        <w:tc>
          <w:tcPr>
            <w:tcW w:type="dxa" w:w="2000"/>
          </w:tcPr>
          <w:p>
            <w:r>
              <w:rPr>
                <w:b w:val="false"/>
                <w:bCs w:val="false"/>
                <w:color w:val="000000"/>
                <w:sz w:val="18"/>
                <w:szCs w:val="18"/>
              </w:rPr>
              <w:t xml:space="preserve">O1 marketing, O3, visibility</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Consent-based documentation: case studies, photo and video</w:t>
            </w:r>
          </w:p>
        </w:tc>
        <w:tc>
          <w:tcPr>
            <w:tcW w:type="dxa" w:w="1000"/>
          </w:tcPr>
          <w:p>
            <w:r>
              <w:rPr>
                <w:b w:val="false"/>
                <w:bCs w:val="false"/>
                <w:color w:val="000000"/>
                <w:sz w:val="18"/>
                <w:szCs w:val="18"/>
              </w:rPr>
              <w:t xml:space="preserve">lump sum</w:t>
            </w:r>
          </w:p>
        </w:tc>
        <w:tc>
          <w:tcPr>
            <w:tcW w:type="dxa" w:w="1200"/>
          </w:tcPr>
          <w:p>
            <w:r>
              <w:rPr>
                <w:b w:val="false"/>
                <w:bCs w:val="false"/>
                <w:color w:val="000000"/>
                <w:sz w:val="18"/>
                <w:szCs w:val="18"/>
              </w:rPr>
              <w:t xml:space="preserve">25,000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25,000</w:t>
            </w:r>
          </w:p>
        </w:tc>
        <w:tc>
          <w:tcPr>
            <w:tcW w:type="dxa" w:w="2000"/>
          </w:tcPr>
          <w:p>
            <w:r>
              <w:rPr>
                <w:b w:val="false"/>
                <w:bCs w:val="false"/>
                <w:color w:val="000000"/>
                <w:sz w:val="18"/>
                <w:szCs w:val="18"/>
              </w:rPr>
              <w:t xml:space="preserve">Reporting / visibility</w:t>
            </w:r>
          </w:p>
        </w:tc>
        <w:tc>
          <w:tcPr>
            <w:tcW w:type="dxa" w:w="2600"/>
          </w:tcPr>
          <w:p>
            <w:r>
              <w:rPr>
                <w:b w:val="false"/>
                <w:bCs w:val="false"/>
                <w:color w:val="000000"/>
                <w:sz w:val="18"/>
                <w:szCs w:val="18"/>
              </w:rPr>
              <w:t xml:space="preserve">Estimate</w:t>
            </w:r>
          </w:p>
        </w:tc>
      </w:tr>
      <w:tr>
        <w:tc>
          <w:tcPr>
            <w:tcW w:type="dxa" w:w="2400"/>
          </w:tcPr>
          <w:p>
            <w:r>
              <w:rPr>
                <w:b w:val="false"/>
                <w:bCs w:val="false"/>
                <w:color w:val="000000"/>
                <w:sz w:val="18"/>
                <w:szCs w:val="18"/>
              </w:rPr>
              <w:t xml:space="preserve">Reporting, stationery, communication</w:t>
            </w:r>
          </w:p>
        </w:tc>
        <w:tc>
          <w:tcPr>
            <w:tcW w:type="dxa" w:w="1000"/>
          </w:tcPr>
          <w:p>
            <w:r>
              <w:rPr>
                <w:b w:val="false"/>
                <w:bCs w:val="false"/>
                <w:color w:val="000000"/>
                <w:sz w:val="18"/>
                <w:szCs w:val="18"/>
              </w:rPr>
              <w:t xml:space="preserve">month</w:t>
            </w:r>
          </w:p>
        </w:tc>
        <w:tc>
          <w:tcPr>
            <w:tcW w:type="dxa" w:w="1200"/>
          </w:tcPr>
          <w:p>
            <w:r>
              <w:rPr>
                <w:b w:val="false"/>
                <w:bCs w:val="false"/>
                <w:color w:val="000000"/>
                <w:sz w:val="18"/>
                <w:szCs w:val="18"/>
              </w:rPr>
              <w:t xml:space="preserve">1,500</w:t>
            </w:r>
          </w:p>
        </w:tc>
        <w:tc>
          <w:tcPr>
            <w:tcW w:type="dxa" w:w="700"/>
          </w:tcPr>
          <w:p>
            <w:r>
              <w:rPr>
                <w:b w:val="false"/>
                <w:bCs w:val="false"/>
                <w:color w:val="000000"/>
                <w:sz w:val="18"/>
                <w:szCs w:val="18"/>
              </w:rPr>
              <w:t xml:space="preserve">12</w:t>
            </w:r>
          </w:p>
        </w:tc>
        <w:tc>
          <w:tcPr>
            <w:tcW w:type="dxa" w:w="1500"/>
          </w:tcPr>
          <w:p>
            <w:r>
              <w:rPr>
                <w:b w:val="false"/>
                <w:bCs w:val="false"/>
                <w:color w:val="000000"/>
                <w:sz w:val="18"/>
                <w:szCs w:val="18"/>
              </w:rPr>
              <w:t xml:space="preserve">18,000</w:t>
            </w:r>
          </w:p>
        </w:tc>
        <w:tc>
          <w:tcPr>
            <w:tcW w:type="dxa" w:w="2000"/>
          </w:tcPr>
          <w:p>
            <w:r>
              <w:rPr>
                <w:b w:val="false"/>
                <w:bCs w:val="false"/>
                <w:color w:val="000000"/>
                <w:sz w:val="18"/>
                <w:szCs w:val="18"/>
              </w:rPr>
              <w:t xml:space="preserve">Reporting</w:t>
            </w:r>
          </w:p>
        </w:tc>
        <w:tc>
          <w:tcPr>
            <w:tcW w:type="dxa" w:w="2600"/>
          </w:tcPr>
          <w:p>
            <w:r>
              <w:rPr>
                <w:b w:val="false"/>
                <w:bCs w:val="false"/>
                <w:color w:val="000000"/>
                <w:sz w:val="18"/>
                <w:szCs w:val="18"/>
              </w:rPr>
              <w:t xml:space="preserve">Estimate</w:t>
            </w:r>
          </w:p>
        </w:tc>
      </w:tr>
      <w:tr>
        <w:tc>
          <w:tcPr>
            <w:tcW w:type="dxa" w:w="2000"/>
            <w:gridSpan w:val="4"/>
            <w:shd w:fill="EEF2EF" w:val="clear"/>
          </w:tcPr>
          <w:p>
            <w:r>
              <w:rPr>
                <w:b/>
                <w:bCs/>
                <w:color w:val="0F3D34"/>
                <w:sz w:val="18"/>
                <w:szCs w:val="18"/>
              </w:rPr>
              <w:t xml:space="preserve">Subtotal — Monitoring, Documentation &amp; Visibility</w:t>
            </w:r>
          </w:p>
        </w:tc>
        <w:tc>
          <w:tcPr>
            <w:tcW w:type="dxa" w:w="2000"/>
            <w:shd w:fill="EEF2EF" w:val="clear"/>
          </w:tcPr>
          <w:p>
            <w:r>
              <w:rPr>
                <w:b/>
                <w:bCs/>
                <w:color w:val="0F3D34"/>
                <w:sz w:val="18"/>
                <w:szCs w:val="18"/>
              </w:rPr>
              <w:t xml:space="preserve">2,21,000</w:t>
            </w:r>
          </w:p>
        </w:tc>
        <w:tc>
          <w:tcPr>
            <w:tcW w:type="dxa" w:w="2000"/>
            <w:gridSpan w:val="2"/>
            <w:shd w:fill="EEF2EF" w:val="clear"/>
          </w:tcPr>
          <w:p>
            <w:r>
              <w:rPr>
                <w:b w:val="false"/>
                <w:bCs w:val="false"/>
                <w:color w:val="000000"/>
                <w:sz w:val="18"/>
                <w:szCs w:val="18"/>
              </w:rPr>
              <w:t xml:space="preserve"/>
            </w:r>
          </w:p>
        </w:tc>
      </w:tr>
      <w:tr>
        <w:tc>
          <w:tcPr>
            <w:tcW w:type="dxa" w:w="2000"/>
            <w:gridSpan w:val="7"/>
            <w:shd w:fill="0F6E5C" w:val="clear"/>
          </w:tcPr>
          <w:p>
            <w:r>
              <w:rPr>
                <w:b/>
                <w:bCs/>
                <w:color w:val="FFFFFF"/>
                <w:sz w:val="18"/>
                <w:szCs w:val="18"/>
              </w:rPr>
              <w:t xml:space="preserve">F. Institutional Overheads</w:t>
            </w:r>
          </w:p>
        </w:tc>
      </w:tr>
      <w:tr>
        <w:tc>
          <w:tcPr>
            <w:tcW w:type="dxa" w:w="2400"/>
          </w:tcPr>
          <w:p>
            <w:r>
              <w:rPr>
                <w:b w:val="false"/>
                <w:bCs w:val="false"/>
                <w:color w:val="000000"/>
                <w:sz w:val="18"/>
                <w:szCs w:val="18"/>
              </w:rPr>
              <w:t xml:space="preserve">Administrative overheads (office, utilities, audit, institutional costs) @ 5% of direct costs</w:t>
            </w:r>
          </w:p>
        </w:tc>
        <w:tc>
          <w:tcPr>
            <w:tcW w:type="dxa" w:w="1000"/>
          </w:tcPr>
          <w:p>
            <w:r>
              <w:rPr>
                <w:b w:val="false"/>
                <w:bCs w:val="false"/>
                <w:color w:val="000000"/>
                <w:sz w:val="18"/>
                <w:szCs w:val="18"/>
              </w:rPr>
              <w:t xml:space="preserve">% of direct costs</w:t>
            </w:r>
          </w:p>
        </w:tc>
        <w:tc>
          <w:tcPr>
            <w:tcW w:type="dxa" w:w="1200"/>
          </w:tcPr>
          <w:p>
            <w:r>
              <w:rPr>
                <w:b w:val="false"/>
                <w:bCs w:val="false"/>
                <w:color w:val="000000"/>
                <w:sz w:val="18"/>
                <w:szCs w:val="18"/>
              </w:rPr>
              <w:t xml:space="preserve">5% of 28,43,500</w:t>
            </w:r>
          </w:p>
        </w:tc>
        <w:tc>
          <w:tcPr>
            <w:tcW w:type="dxa" w:w="700"/>
          </w:tcPr>
          <w:p>
            <w:r>
              <w:rPr>
                <w:b w:val="false"/>
                <w:bCs w:val="false"/>
                <w:color w:val="000000"/>
                <w:sz w:val="18"/>
                <w:szCs w:val="18"/>
              </w:rPr>
              <w:t xml:space="preserve">1</w:t>
            </w:r>
          </w:p>
        </w:tc>
        <w:tc>
          <w:tcPr>
            <w:tcW w:type="dxa" w:w="1500"/>
          </w:tcPr>
          <w:p>
            <w:r>
              <w:rPr>
                <w:b w:val="false"/>
                <w:bCs w:val="false"/>
                <w:color w:val="000000"/>
                <w:sz w:val="18"/>
                <w:szCs w:val="18"/>
              </w:rPr>
              <w:t xml:space="preserve">1,42,175</w:t>
            </w:r>
          </w:p>
        </w:tc>
        <w:tc>
          <w:tcPr>
            <w:tcW w:type="dxa" w:w="2000"/>
          </w:tcPr>
          <w:p>
            <w:r>
              <w:rPr>
                <w:b w:val="false"/>
                <w:bCs w:val="false"/>
                <w:color w:val="000000"/>
                <w:sz w:val="18"/>
                <w:szCs w:val="18"/>
              </w:rPr>
              <w:t xml:space="preserve">Institutional support</w:t>
            </w:r>
          </w:p>
        </w:tc>
        <w:tc>
          <w:tcPr>
            <w:tcW w:type="dxa" w:w="2600"/>
          </w:tcPr>
          <w:p>
            <w:r>
              <w:rPr>
                <w:b w:val="false"/>
                <w:bCs w:val="false"/>
                <w:color w:val="000000"/>
                <w:sz w:val="18"/>
                <w:szCs w:val="18"/>
              </w:rPr>
              <w:t xml:space="preserve">Applicant's rate; confirm the donor's overhead cap</w:t>
            </w:r>
          </w:p>
        </w:tc>
      </w:tr>
      <w:tr>
        <w:tc>
          <w:tcPr>
            <w:tcW w:type="dxa" w:w="2000"/>
            <w:gridSpan w:val="4"/>
            <w:shd w:fill="EEF2EF" w:val="clear"/>
          </w:tcPr>
          <w:p>
            <w:r>
              <w:rPr>
                <w:b/>
                <w:bCs/>
                <w:color w:val="0F3D34"/>
                <w:sz w:val="18"/>
                <w:szCs w:val="18"/>
              </w:rPr>
              <w:t xml:space="preserve">Subtotal — Institutional Overheads</w:t>
            </w:r>
          </w:p>
        </w:tc>
        <w:tc>
          <w:tcPr>
            <w:tcW w:type="dxa" w:w="2000"/>
            <w:shd w:fill="EEF2EF" w:val="clear"/>
          </w:tcPr>
          <w:p>
            <w:r>
              <w:rPr>
                <w:b/>
                <w:bCs/>
                <w:color w:val="0F3D34"/>
                <w:sz w:val="18"/>
                <w:szCs w:val="18"/>
              </w:rPr>
              <w:t xml:space="preserve">1,42,175</w:t>
            </w:r>
          </w:p>
        </w:tc>
        <w:tc>
          <w:tcPr>
            <w:tcW w:type="dxa" w:w="2000"/>
            <w:gridSpan w:val="2"/>
            <w:shd w:fill="EEF2EF" w:val="clear"/>
          </w:tcPr>
          <w:p>
            <w:r>
              <w:rPr>
                <w:b w:val="false"/>
                <w:bCs w:val="false"/>
                <w:color w:val="000000"/>
                <w:sz w:val="18"/>
                <w:szCs w:val="18"/>
              </w:rPr>
              <w:t xml:space="preserve"/>
            </w:r>
          </w:p>
        </w:tc>
      </w:tr>
      <w:tr>
        <w:tc>
          <w:tcPr>
            <w:tcW w:type="dxa" w:w="2000"/>
            <w:gridSpan w:val="4"/>
            <w:shd w:fill="0F3D34" w:val="clear"/>
          </w:tcPr>
          <w:p>
            <w:r>
              <w:rPr>
                <w:b/>
                <w:bCs/>
                <w:color w:val="FFFFFF"/>
                <w:sz w:val="19"/>
                <w:szCs w:val="19"/>
              </w:rPr>
              <w:t xml:space="preserve">Grand Total</w:t>
            </w:r>
          </w:p>
        </w:tc>
        <w:tc>
          <w:tcPr>
            <w:tcW w:type="dxa" w:w="2000"/>
            <w:shd w:fill="0F3D34" w:val="clear"/>
          </w:tcPr>
          <w:p>
            <w:r>
              <w:rPr>
                <w:b/>
                <w:bCs/>
                <w:color w:val="FFFFFF"/>
                <w:sz w:val="19"/>
                <w:szCs w:val="19"/>
              </w:rPr>
              <w:t xml:space="preserve">29,85,675</w:t>
            </w:r>
          </w:p>
        </w:tc>
        <w:tc>
          <w:tcPr>
            <w:tcW w:type="dxa" w:w="2000"/>
            <w:gridSpan w:val="2"/>
            <w:shd w:fill="0F3D34" w:val="clear"/>
          </w:tcPr>
          <w:p>
            <w:r>
              <w:rPr>
                <w:b w:val="false"/>
                <w:bCs w:val="false"/>
                <w:color w:val="000000"/>
                <w:sz w:val="18"/>
                <w:szCs w:val="18"/>
              </w:rPr>
              <w:t xml:space="preserve"/>
            </w:r>
          </w:p>
        </w:tc>
      </w:tr>
    </w:tbl>
    <w:p>
      <w:pPr>
        <w:pStyle w:val="Heading1"/>
        <w:pageBreakBefore/>
        <w:spacing w:after="140" w:before="280"/>
      </w:pPr>
      <w:r>
        <w:rPr>
          <w:b/>
          <w:bCs/>
          <w:color w:val="0F3D34"/>
          <w:sz w:val="30"/>
          <w:szCs w:val="30"/>
        </w:rPr>
        <w:t xml:space="preserve">References</w:t>
      </w:r>
    </w:p>
    <w:p>
      <w:pPr>
        <w:spacing w:after="40"/>
      </w:pPr>
      <w:r>
        <w:rPr>
          <w:b/>
          <w:bCs/>
          <w:color w:val="0F3D34"/>
          <w:sz w:val="18"/>
          <w:szCs w:val="18"/>
        </w:rPr>
        <w:t xml:space="preserve">[S1] </w:t>
      </w:r>
      <w:r>
        <w:rPr>
          <w:sz w:val="18"/>
          <w:szCs w:val="18"/>
        </w:rPr>
        <w:t xml:space="preserve">Disabled Persons in India: A Statistical Profile 2016 (MoSPI)</w:t>
      </w:r>
    </w:p>
    <w:p>
      <w:pPr>
        <w:spacing w:after="130"/>
      </w:pPr>
      <w:r>
        <w:rPr>
          <w:color w:val="0F6E5C"/>
          <w:sz w:val="16"/>
          <w:szCs w:val="16"/>
        </w:rPr>
        <w:t xml:space="preserve">https://niepmd.tn.nic.in/documents/Disabledpersons2016_2408.pdf</w:t>
      </w:r>
    </w:p>
    <w:p>
      <w:pPr>
        <w:spacing w:after="40"/>
      </w:pPr>
      <w:r>
        <w:rPr>
          <w:b/>
          <w:bCs/>
          <w:color w:val="0F3D34"/>
          <w:sz w:val="18"/>
          <w:szCs w:val="18"/>
        </w:rPr>
        <w:t xml:space="preserve">[S2] </w:t>
      </w:r>
      <w:r>
        <w:rPr>
          <w:sz w:val="18"/>
          <w:szCs w:val="18"/>
        </w:rPr>
        <w:t xml:space="preserve">Disability Divides in India: Evidence from the 2011 Census (PLOS ONE, 2016)</w:t>
      </w:r>
    </w:p>
    <w:p>
      <w:pPr>
        <w:spacing w:after="130"/>
      </w:pPr>
      <w:r>
        <w:rPr>
          <w:color w:val="0F6E5C"/>
          <w:sz w:val="16"/>
          <w:szCs w:val="16"/>
        </w:rPr>
        <w:t xml:space="preserve">https://journals.plos.org/plosone/article?id=10.1371%2Fjournal.pone.0159809</w:t>
      </w:r>
    </w:p>
    <w:p>
      <w:pPr>
        <w:spacing w:after="40"/>
      </w:pPr>
      <w:r>
        <w:rPr>
          <w:b/>
          <w:bCs/>
          <w:color w:val="0F3D34"/>
          <w:sz w:val="18"/>
          <w:szCs w:val="18"/>
        </w:rPr>
        <w:t xml:space="preserve">[S3] </w:t>
      </w:r>
      <w:r>
        <w:rPr>
          <w:sz w:val="18"/>
          <w:szCs w:val="18"/>
        </w:rPr>
        <w:t xml:space="preserve">Disabled Persons in India: A Statistical Profile 2016, Chapter 4 (MoSPI; CEO Bihar copy)</w:t>
      </w:r>
    </w:p>
    <w:p>
      <w:pPr>
        <w:spacing w:after="130"/>
      </w:pPr>
      <w:r>
        <w:rPr>
          <w:color w:val="0F6E5C"/>
          <w:sz w:val="16"/>
          <w:szCs w:val="16"/>
        </w:rPr>
        <w:t xml:space="preserve">https://ceoelection.bihar.gov.in/PDF/disabled_persons_in_India_2016.pdf</w:t>
      </w:r>
    </w:p>
    <w:p>
      <w:pPr>
        <w:spacing w:after="40"/>
      </w:pPr>
      <w:r>
        <w:rPr>
          <w:b/>
          <w:bCs/>
          <w:color w:val="0F3D34"/>
          <w:sz w:val="18"/>
          <w:szCs w:val="18"/>
        </w:rPr>
        <w:t xml:space="preserve">[S4] </w:t>
      </w:r>
      <w:r>
        <w:rPr>
          <w:sz w:val="18"/>
          <w:szCs w:val="18"/>
        </w:rPr>
        <w:t xml:space="preserve">NSS Report No. 583: Persons with Disabilities in India, NSS 76th Round (PIB, MoSPI/NSO)</w:t>
      </w:r>
    </w:p>
    <w:p>
      <w:pPr>
        <w:spacing w:after="130"/>
      </w:pPr>
      <w:r>
        <w:rPr>
          <w:color w:val="0F6E5C"/>
          <w:sz w:val="16"/>
          <w:szCs w:val="16"/>
        </w:rPr>
        <w:t xml:space="preserve">https://www.pib.gov.in/PressReleasePage.aspx?PRID=1593253&amp;reg=48&amp;lang=2</w:t>
      </w:r>
    </w:p>
    <w:p>
      <w:pPr>
        <w:spacing w:after="40"/>
      </w:pPr>
      <w:r>
        <w:rPr>
          <w:b/>
          <w:bCs/>
          <w:color w:val="0F3D34"/>
          <w:sz w:val="18"/>
          <w:szCs w:val="18"/>
        </w:rPr>
        <w:t xml:space="preserve">[S5] </w:t>
      </w:r>
      <w:r>
        <w:rPr>
          <w:sz w:val="18"/>
          <w:szCs w:val="18"/>
        </w:rPr>
        <w:t xml:space="preserve">NSS Report No. 583 full report (MoSPI)</w:t>
      </w:r>
    </w:p>
    <w:p>
      <w:pPr>
        <w:spacing w:after="130"/>
      </w:pPr>
      <w:r>
        <w:rPr>
          <w:color w:val="0F6E5C"/>
          <w:sz w:val="16"/>
          <w:szCs w:val="16"/>
        </w:rPr>
        <w:t xml:space="preserve">https://www.mospi.gov.in/sites/default/files/publication_reports/Report_583_Final_0.pdf</w:t>
      </w:r>
    </w:p>
    <w:p>
      <w:pPr>
        <w:spacing w:after="40"/>
      </w:pPr>
      <w:r>
        <w:rPr>
          <w:b/>
          <w:bCs/>
          <w:color w:val="0F3D34"/>
          <w:sz w:val="18"/>
          <w:szCs w:val="18"/>
        </w:rPr>
        <w:t xml:space="preserve">[S6] </w:t>
      </w:r>
      <w:r>
        <w:rPr>
          <w:sz w:val="18"/>
          <w:szCs w:val="18"/>
        </w:rPr>
        <w:t xml:space="preserve">Persons with Disabilities in India: NSS 76th round (PARI Library summary)</w:t>
      </w:r>
    </w:p>
    <w:p>
      <w:pPr>
        <w:spacing w:after="130"/>
      </w:pPr>
      <w:r>
        <w:rPr>
          <w:color w:val="0F6E5C"/>
          <w:sz w:val="16"/>
          <w:szCs w:val="16"/>
        </w:rPr>
        <w:t xml:space="preserve">https://ruralindiaonline.org/en/library/resource/persons-with-disabilities-in-india-nss-76th-round-july-december-2018/</w:t>
      </w:r>
    </w:p>
    <w:p>
      <w:pPr>
        <w:spacing w:after="40"/>
      </w:pPr>
      <w:r>
        <w:rPr>
          <w:b/>
          <w:bCs/>
          <w:color w:val="0F3D34"/>
          <w:sz w:val="18"/>
          <w:szCs w:val="18"/>
        </w:rPr>
        <w:t xml:space="preserve">[S7] </w:t>
      </w:r>
      <w:r>
        <w:rPr>
          <w:sz w:val="18"/>
          <w:szCs w:val="18"/>
        </w:rPr>
        <w:t xml:space="preserve">Unidentified Persons With Disabilities in India – A Study Based on 76th Round of NSS (Research Square preprint)</w:t>
      </w:r>
    </w:p>
    <w:p>
      <w:pPr>
        <w:spacing w:after="130"/>
      </w:pPr>
      <w:r>
        <w:rPr>
          <w:color w:val="0F6E5C"/>
          <w:sz w:val="16"/>
          <w:szCs w:val="16"/>
        </w:rPr>
        <w:t xml:space="preserve">https://www.researchsquare.com/article/rs-742723/v1</w:t>
      </w:r>
    </w:p>
    <w:p>
      <w:pPr>
        <w:spacing w:after="40"/>
      </w:pPr>
      <w:r>
        <w:rPr>
          <w:b/>
          <w:bCs/>
          <w:color w:val="0F3D34"/>
          <w:sz w:val="18"/>
          <w:szCs w:val="18"/>
        </w:rPr>
        <w:t xml:space="preserve">[S8] </w:t>
      </w:r>
      <w:r>
        <w:rPr>
          <w:sz w:val="18"/>
          <w:szCs w:val="18"/>
        </w:rPr>
        <w:t xml:space="preserve">Yadav J et al. Measuring the financial impact of disabilities in India, PLOS ONE 2023, DOI 10.1371/journal.pone.0292592</w:t>
      </w:r>
    </w:p>
    <w:p>
      <w:pPr>
        <w:spacing w:after="130"/>
      </w:pPr>
      <w:r>
        <w:rPr>
          <w:color w:val="0F6E5C"/>
          <w:sz w:val="16"/>
          <w:szCs w:val="16"/>
        </w:rPr>
        <w:t xml:space="preserve">https://journals.plos.org/plosone/article?id=10.1371%2Fjournal.pone.0292592</w:t>
      </w:r>
    </w:p>
    <w:p>
      <w:pPr>
        <w:spacing w:after="40"/>
      </w:pPr>
      <w:r>
        <w:rPr>
          <w:b/>
          <w:bCs/>
          <w:color w:val="0F3D34"/>
          <w:sz w:val="18"/>
          <w:szCs w:val="18"/>
        </w:rPr>
        <w:t xml:space="preserve">[S9] </w:t>
      </w:r>
      <w:r>
        <w:rPr>
          <w:sz w:val="18"/>
          <w:szCs w:val="18"/>
        </w:rPr>
        <w:t xml:space="preserve">Census of India 2011, District Census Handbook Ranchi, Part XII-B (Village and Town wise PCA)</w:t>
      </w:r>
    </w:p>
    <w:p>
      <w:pPr>
        <w:spacing w:after="130"/>
      </w:pPr>
      <w:r>
        <w:rPr>
          <w:color w:val="0F6E5C"/>
          <w:sz w:val="16"/>
          <w:szCs w:val="16"/>
        </w:rPr>
        <w:t xml:space="preserve">https://cdn.s3waas.gov.in/s32b8a61594b1f4c4db0902a8a395ced93/uploads/2018/04/2018042966.pdf</w:t>
      </w:r>
    </w:p>
    <w:p>
      <w:pPr>
        <w:spacing w:after="40"/>
      </w:pPr>
      <w:r>
        <w:rPr>
          <w:b/>
          <w:bCs/>
          <w:color w:val="0F3D34"/>
          <w:sz w:val="18"/>
          <w:szCs w:val="18"/>
        </w:rPr>
        <w:t xml:space="preserve">[S10] </w:t>
      </w:r>
      <w:r>
        <w:rPr>
          <w:sz w:val="18"/>
          <w:szCs w:val="18"/>
        </w:rPr>
        <w:t xml:space="preserve">NFHS-5 2019-21: Jharkhand State Report (IIPS/MoHFW)</w:t>
      </w:r>
    </w:p>
    <w:p>
      <w:pPr>
        <w:spacing w:after="130"/>
      </w:pPr>
      <w:r>
        <w:rPr>
          <w:color w:val="0F6E5C"/>
          <w:sz w:val="16"/>
          <w:szCs w:val="16"/>
        </w:rPr>
        <w:t xml:space="preserve">https://dhsprogram.com/pubs/pdf/FR374/FR374_Jharkhand.pdf</w:t>
      </w:r>
    </w:p>
    <w:p>
      <w:pPr>
        <w:spacing w:after="40"/>
      </w:pPr>
      <w:r>
        <w:rPr>
          <w:b/>
          <w:bCs/>
          <w:color w:val="0F3D34"/>
          <w:sz w:val="18"/>
          <w:szCs w:val="18"/>
        </w:rPr>
        <w:t xml:space="preserve">[S11] </w:t>
      </w:r>
      <w:r>
        <w:rPr>
          <w:sz w:val="18"/>
          <w:szCs w:val="18"/>
        </w:rPr>
        <w:t xml:space="preserve">Bottlenecks in the Coverage of the Anemia Mukt Bharat Programme in Rural Jharkhand (PMC)</w:t>
      </w:r>
    </w:p>
    <w:p>
      <w:pPr>
        <w:spacing w:after="130"/>
      </w:pPr>
      <w:r>
        <w:rPr>
          <w:color w:val="0F6E5C"/>
          <w:sz w:val="16"/>
          <w:szCs w:val="16"/>
        </w:rPr>
        <w:t xml:space="preserve">https://www.ncbi.nlm.nih.gov/pmc/articles/PMC12464789/</w:t>
      </w:r>
    </w:p>
    <w:p>
      <w:pPr>
        <w:spacing w:after="40"/>
      </w:pPr>
      <w:r>
        <w:rPr>
          <w:b/>
          <w:bCs/>
          <w:color w:val="0F3D34"/>
          <w:sz w:val="18"/>
          <w:szCs w:val="18"/>
        </w:rPr>
        <w:t xml:space="preserve">[S12] </w:t>
      </w:r>
      <w:r>
        <w:rPr>
          <w:sz w:val="18"/>
          <w:szCs w:val="18"/>
        </w:rPr>
        <w:t xml:space="preserve">List of Aspirational Districts (NITI Aayog)</w:t>
      </w:r>
    </w:p>
    <w:p>
      <w:pPr>
        <w:spacing w:after="130"/>
      </w:pPr>
      <w:r>
        <w:rPr>
          <w:color w:val="0F6E5C"/>
          <w:sz w:val="16"/>
          <w:szCs w:val="16"/>
        </w:rPr>
        <w:t xml:space="preserve">https://www.niti.gov.in/sites/default/files/2022-09/List-of-Aspirational-Districts.pdf</w:t>
      </w:r>
    </w:p>
    <w:p>
      <w:pPr>
        <w:spacing w:after="40"/>
      </w:pPr>
      <w:r>
        <w:rPr>
          <w:b/>
          <w:bCs/>
          <w:color w:val="0F3D34"/>
          <w:sz w:val="18"/>
          <w:szCs w:val="18"/>
        </w:rPr>
        <w:t xml:space="preserve">[S13] </w:t>
      </w:r>
      <w:r>
        <w:rPr>
          <w:sz w:val="18"/>
          <w:szCs w:val="18"/>
        </w:rPr>
        <w:t xml:space="preserve">Multidimensional Poverty in Jharkhand: A District-wise Analysis (IERJ)</w:t>
      </w:r>
    </w:p>
    <w:p>
      <w:pPr>
        <w:spacing w:after="130"/>
      </w:pPr>
      <w:r>
        <w:rPr>
          <w:color w:val="0F6E5C"/>
          <w:sz w:val="16"/>
          <w:szCs w:val="16"/>
        </w:rPr>
        <w:t xml:space="preserve">https://ierj.in/journal/index.php/ierj/article/view/5104</w:t>
      </w:r>
    </w:p>
    <w:p>
      <w:pPr>
        <w:spacing w:after="40"/>
      </w:pPr>
      <w:r>
        <w:rPr>
          <w:b/>
          <w:bCs/>
          <w:color w:val="0F3D34"/>
          <w:sz w:val="18"/>
          <w:szCs w:val="18"/>
        </w:rPr>
        <w:t xml:space="preserve">[S14] </w:t>
      </w:r>
      <w:r>
        <w:rPr>
          <w:sz w:val="18"/>
          <w:szCs w:val="18"/>
        </w:rPr>
        <w:t xml:space="preserve">Budget Insights: Trends in Finances for Jal Jeevan Mission (Accountability Initiative, Feb 2025)</w:t>
      </w:r>
    </w:p>
    <w:p>
      <w:pPr>
        <w:spacing w:after="130"/>
      </w:pPr>
      <w:r>
        <w:rPr>
          <w:color w:val="0F6E5C"/>
          <w:sz w:val="16"/>
          <w:szCs w:val="16"/>
        </w:rPr>
        <w:t xml:space="preserve">https://www.resgov.org/contents/reports/JJM-Budget-Insights-2025.pdf</w:t>
      </w:r>
    </w:p>
    <w:p>
      <w:pPr>
        <w:spacing w:after="40"/>
      </w:pPr>
      <w:r>
        <w:rPr>
          <w:b/>
          <w:bCs/>
          <w:color w:val="0F3D34"/>
          <w:sz w:val="18"/>
          <w:szCs w:val="18"/>
        </w:rPr>
        <w:t xml:space="preserve">[S15] </w:t>
      </w:r>
      <w:r>
        <w:rPr>
          <w:sz w:val="18"/>
          <w:szCs w:val="18"/>
        </w:rPr>
        <w:t xml:space="preserve">Jal Jeevan Mission: Ensuring Tap Water for 15 Crore Rural Families (PIB)</w:t>
      </w:r>
    </w:p>
    <w:p>
      <w:pPr>
        <w:spacing w:after="130"/>
      </w:pPr>
      <w:r>
        <w:rPr>
          <w:color w:val="0F6E5C"/>
          <w:sz w:val="16"/>
          <w:szCs w:val="16"/>
        </w:rPr>
        <w:t xml:space="preserve">https://www.pib.gov.in/PressReleasePage.aspx?PRID=2098651</w:t>
      </w:r>
    </w:p>
    <w:p>
      <w:pPr>
        <w:spacing w:after="40"/>
      </w:pPr>
      <w:r>
        <w:rPr>
          <w:b/>
          <w:bCs/>
          <w:color w:val="0F3D34"/>
          <w:sz w:val="18"/>
          <w:szCs w:val="18"/>
        </w:rPr>
        <w:t xml:space="preserve">[S16] </w:t>
      </w:r>
      <w:r>
        <w:rPr>
          <w:sz w:val="18"/>
          <w:szCs w:val="18"/>
        </w:rPr>
        <w:t xml:space="preserve">Variations in catastrophic health expenditure across the states of India: 2004 to 2014 (PLOS ONE, 2018)</w:t>
      </w:r>
    </w:p>
    <w:p>
      <w:pPr>
        <w:spacing w:after="130"/>
      </w:pPr>
      <w:r>
        <w:rPr>
          <w:color w:val="0F6E5C"/>
          <w:sz w:val="16"/>
          <w:szCs w:val="16"/>
        </w:rPr>
        <w:t xml:space="preserve">https://journals.plos.org/plosone/article?id=10.1371%2Fjournal.pone.0205510</w:t>
      </w:r>
    </w:p>
    <w:p>
      <w:pPr>
        <w:spacing w:after="40"/>
      </w:pPr>
      <w:r>
        <w:rPr>
          <w:b/>
          <w:bCs/>
          <w:color w:val="0F3D34"/>
          <w:sz w:val="18"/>
          <w:szCs w:val="18"/>
        </w:rPr>
        <w:t xml:space="preserve">[S17] </w:t>
      </w:r>
      <w:r>
        <w:rPr>
          <w:sz w:val="18"/>
          <w:szCs w:val="18"/>
        </w:rPr>
        <w:t xml:space="preserve">Epidemiology of disability and access to disability support and rehabilitation services in India: NSS 2018 secondary analysis (PMC)</w:t>
      </w:r>
    </w:p>
    <w:p>
      <w:pPr>
        <w:spacing w:after="130"/>
      </w:pPr>
      <w:r>
        <w:rPr>
          <w:color w:val="0F6E5C"/>
          <w:sz w:val="16"/>
          <w:szCs w:val="16"/>
        </w:rPr>
        <w:t xml:space="preserve">https://pmc.ncbi.nlm.nih.gov/articles/PMC12083387/</w:t>
      </w:r>
    </w:p>
    <w:p>
      <w:pPr>
        <w:spacing w:after="40"/>
      </w:pPr>
      <w:r>
        <w:rPr>
          <w:b/>
          <w:bCs/>
          <w:color w:val="0F3D34"/>
          <w:sz w:val="18"/>
          <w:szCs w:val="18"/>
        </w:rPr>
        <w:t xml:space="preserve">[S18] </w:t>
      </w:r>
      <w:r>
        <w:rPr>
          <w:sz w:val="18"/>
          <w:szCs w:val="18"/>
        </w:rPr>
        <w:t xml:space="preserve">Swami Vivekananda Nishakta Swavlamban Protsahan Yojana (myScheme, GoI)</w:t>
      </w:r>
    </w:p>
    <w:p>
      <w:pPr>
        <w:spacing w:after="130"/>
      </w:pPr>
      <w:r>
        <w:rPr>
          <w:color w:val="0F6E5C"/>
          <w:sz w:val="16"/>
          <w:szCs w:val="16"/>
        </w:rPr>
        <w:t xml:space="preserve">https://www.myscheme.gov.in/schemes/svnspy</w:t>
      </w:r>
    </w:p>
    <w:p>
      <w:pPr>
        <w:spacing w:after="40"/>
      </w:pPr>
      <w:r>
        <w:rPr>
          <w:b/>
          <w:bCs/>
          <w:color w:val="0F3D34"/>
          <w:sz w:val="18"/>
          <w:szCs w:val="18"/>
        </w:rPr>
        <w:t xml:space="preserve">[S19] </w:t>
      </w:r>
      <w:r>
        <w:rPr>
          <w:sz w:val="18"/>
          <w:szCs w:val="18"/>
        </w:rPr>
        <w:t xml:space="preserve">Pension Benefit to Sickle Cell Anemia Affected People in J'khand's Khunti (LatestLY/PTI, June 2024)</w:t>
      </w:r>
    </w:p>
    <w:p>
      <w:pPr>
        <w:spacing w:after="130"/>
      </w:pPr>
      <w:r>
        <w:rPr>
          <w:color w:val="0F6E5C"/>
          <w:sz w:val="16"/>
          <w:szCs w:val="16"/>
        </w:rPr>
        <w:t xml:space="preserve">https://www.latestly.com/agency-news/india-news-pension-benefit-to-sickle-cell-anemia-affected-people-in-jkhands-khunti-6048074.html</w:t>
      </w:r>
    </w:p>
    <w:p>
      <w:pPr>
        <w:spacing w:after="40"/>
      </w:pPr>
      <w:r>
        <w:rPr>
          <w:b/>
          <w:bCs/>
          <w:color w:val="0F3D34"/>
          <w:sz w:val="18"/>
          <w:szCs w:val="18"/>
        </w:rPr>
        <w:t xml:space="preserve">[S20] </w:t>
      </w:r>
      <w:r>
        <w:rPr>
          <w:sz w:val="18"/>
          <w:szCs w:val="18"/>
        </w:rPr>
        <w:t xml:space="preserve">Jharkhand Becomes First State To Abolish Percentage System For Disability Certificates (The Daily Jagran, 4 Dec 2025), news report only</w:t>
      </w:r>
    </w:p>
    <w:p>
      <w:pPr>
        <w:spacing w:after="130"/>
      </w:pPr>
      <w:r>
        <w:rPr>
          <w:color w:val="0F6E5C"/>
          <w:sz w:val="16"/>
          <w:szCs w:val="16"/>
        </w:rPr>
        <w:t xml:space="preserve">https://www.thedailyjagran.com/jharkhand/jharkhand-becomes-first-state-to-abolish-percentage-system-for-disability-certificates-check-new-rules-how-to-apply-for-udid-card-40060538</w:t>
      </w:r>
    </w:p>
    <w:p>
      <w:pPr>
        <w:spacing w:after="40"/>
      </w:pPr>
      <w:r>
        <w:rPr>
          <w:b/>
          <w:bCs/>
          <w:color w:val="0F3D34"/>
          <w:sz w:val="18"/>
          <w:szCs w:val="18"/>
        </w:rPr>
        <w:t xml:space="preserve">[S21] </w:t>
      </w:r>
      <w:r>
        <w:rPr>
          <w:sz w:val="18"/>
          <w:szCs w:val="18"/>
        </w:rPr>
        <w:t xml:space="preserve">ADIP Scheme (DEPwD)</w:t>
      </w:r>
    </w:p>
    <w:p>
      <w:pPr>
        <w:spacing w:after="130"/>
      </w:pPr>
      <w:r>
        <w:rPr>
          <w:color w:val="0F6E5C"/>
          <w:sz w:val="16"/>
          <w:szCs w:val="16"/>
        </w:rPr>
        <w:t xml:space="preserve">https://depwd.gov.in/en/adip/</w:t>
      </w:r>
    </w:p>
    <w:p>
      <w:pPr>
        <w:spacing w:after="40"/>
      </w:pPr>
      <w:r>
        <w:rPr>
          <w:b/>
          <w:bCs/>
          <w:color w:val="0F3D34"/>
          <w:sz w:val="18"/>
          <w:szCs w:val="18"/>
        </w:rPr>
        <w:t xml:space="preserve">[S22] </w:t>
      </w:r>
      <w:r>
        <w:rPr>
          <w:sz w:val="18"/>
          <w:szCs w:val="18"/>
        </w:rPr>
        <w:t xml:space="preserve">ADIP Scheme guidelines (DEPwD)</w:t>
      </w:r>
    </w:p>
    <w:p>
      <w:pPr>
        <w:spacing w:after="130"/>
      </w:pPr>
      <w:r>
        <w:rPr>
          <w:color w:val="0F6E5C"/>
          <w:sz w:val="16"/>
          <w:szCs w:val="16"/>
        </w:rPr>
        <w:t xml:space="preserve">https://adip.depwd.gov.in/files/ADIP_English.pdf</w:t>
      </w:r>
    </w:p>
    <w:p>
      <w:pPr>
        <w:spacing w:after="40"/>
      </w:pPr>
      <w:r>
        <w:rPr>
          <w:b/>
          <w:bCs/>
          <w:color w:val="0F3D34"/>
          <w:sz w:val="18"/>
          <w:szCs w:val="18"/>
        </w:rPr>
        <w:t xml:space="preserve">[S23] </w:t>
      </w:r>
      <w:r>
        <w:rPr>
          <w:sz w:val="18"/>
          <w:szCs w:val="18"/>
        </w:rPr>
        <w:t xml:space="preserve">Scheme of Assistance to Disabled Persons (ADIP) – DEPwD Maharashtra</w:t>
      </w:r>
    </w:p>
    <w:p>
      <w:pPr>
        <w:spacing w:after="130"/>
      </w:pPr>
      <w:r>
        <w:rPr>
          <w:color w:val="0F6E5C"/>
          <w:sz w:val="16"/>
          <w:szCs w:val="16"/>
        </w:rPr>
        <w:t xml:space="preserve">https://depwd.maharashtra.gov.in/en/scheme/7-scheme-of-assistance-to-disabled-persons-for-purchase-fitting-of-aids-appliances-adip-scheme/</w:t>
      </w:r>
    </w:p>
    <w:p>
      <w:pPr>
        <w:spacing w:after="40"/>
      </w:pPr>
      <w:r>
        <w:rPr>
          <w:b/>
          <w:bCs/>
          <w:color w:val="0F3D34"/>
          <w:sz w:val="18"/>
          <w:szCs w:val="18"/>
        </w:rPr>
        <w:t xml:space="preserve">[S24] </w:t>
      </w:r>
      <w:r>
        <w:rPr>
          <w:sz w:val="18"/>
          <w:szCs w:val="18"/>
        </w:rPr>
        <w:t xml:space="preserve">Disability Schemes – UDID (swavlambancard.gov.in)</w:t>
      </w:r>
    </w:p>
    <w:p>
      <w:pPr>
        <w:spacing w:after="130"/>
      </w:pPr>
      <w:r>
        <w:rPr>
          <w:color w:val="0F6E5C"/>
          <w:sz w:val="16"/>
          <w:szCs w:val="16"/>
        </w:rPr>
        <w:t xml:space="preserve">https://swavlambancard.gov.in//schemes/search</w:t>
      </w:r>
    </w:p>
    <w:p>
      <w:pPr>
        <w:spacing w:after="40"/>
      </w:pPr>
      <w:r>
        <w:rPr>
          <w:b/>
          <w:bCs/>
          <w:color w:val="0F3D34"/>
          <w:sz w:val="18"/>
          <w:szCs w:val="18"/>
        </w:rPr>
        <w:t xml:space="preserve">[S25] </w:t>
      </w:r>
      <w:r>
        <w:rPr>
          <w:sz w:val="18"/>
          <w:szCs w:val="18"/>
        </w:rPr>
        <w:t xml:space="preserve">JJM Dashboard – Tap water supply in households (Ministry of Jal Shakti)</w:t>
      </w:r>
    </w:p>
    <w:p>
      <w:pPr>
        <w:spacing w:after="130"/>
      </w:pPr>
      <w:r>
        <w:rPr>
          <w:color w:val="0F6E5C"/>
          <w:sz w:val="16"/>
          <w:szCs w:val="16"/>
        </w:rPr>
        <w:t xml:space="preserve">https://ejalshakti.gov.in/jjmreport/jjmindia.aspx</w:t>
      </w:r>
    </w:p>
    <w:p>
      <w:pPr>
        <w:spacing w:after="40"/>
      </w:pPr>
      <w:r>
        <w:rPr>
          <w:b/>
          <w:bCs/>
          <w:color w:val="0F3D34"/>
          <w:sz w:val="18"/>
          <w:szCs w:val="18"/>
        </w:rPr>
        <w:t xml:space="preserve">[S26] </w:t>
      </w:r>
      <w:r>
        <w:rPr>
          <w:sz w:val="18"/>
          <w:szCs w:val="18"/>
        </w:rPr>
        <w:t xml:space="preserve">Jharkhand Animal Husbandry Directorate – State Schemes (goat unit 4+1 norm; MPVY)</w:t>
      </w:r>
    </w:p>
    <w:p>
      <w:pPr>
        <w:spacing w:after="130"/>
      </w:pPr>
      <w:r>
        <w:rPr>
          <w:color w:val="0F6E5C"/>
          <w:sz w:val="16"/>
          <w:szCs w:val="16"/>
        </w:rPr>
        <w:t xml:space="preserve">https://animalhusbandry.jharkhand.gov.in/state-schemes/</w:t>
      </w:r>
    </w:p>
    <w:p>
      <w:pPr>
        <w:spacing w:after="40"/>
      </w:pPr>
      <w:r>
        <w:rPr>
          <w:b/>
          <w:bCs/>
          <w:color w:val="0F3D34"/>
          <w:sz w:val="18"/>
          <w:szCs w:val="18"/>
        </w:rPr>
        <w:t xml:space="preserve">[S27] </w:t>
      </w:r>
      <w:r>
        <w:rPr>
          <w:sz w:val="18"/>
          <w:szCs w:val="18"/>
        </w:rPr>
        <w:t xml:space="preserve">JSLPS Notification: Block Project Officer, Accounts Officer &amp; Other Posts (GoJ RDD, 2019)</w:t>
      </w:r>
    </w:p>
    <w:p>
      <w:pPr>
        <w:spacing w:after="130"/>
      </w:pPr>
      <w:r>
        <w:rPr>
          <w:color w:val="0F6E5C"/>
          <w:sz w:val="16"/>
          <w:szCs w:val="16"/>
        </w:rPr>
        <w:t xml:space="preserve">https://img.freejobalert.com/uploads/2019/06/Notification-JSLPS-Block-Project-Officer-Accounts-Officer-Other-Posts.pdf</w:t>
      </w:r>
    </w:p>
    <w:p>
      <w:pPr>
        <w:spacing w:after="40"/>
      </w:pPr>
      <w:r>
        <w:rPr>
          <w:b/>
          <w:bCs/>
          <w:color w:val="0F3D34"/>
          <w:sz w:val="18"/>
          <w:szCs w:val="18"/>
        </w:rPr>
        <w:t xml:space="preserve">[S28] </w:t>
      </w:r>
      <w:r>
        <w:rPr>
          <w:sz w:val="18"/>
          <w:szCs w:val="18"/>
        </w:rPr>
        <w:t xml:space="preserve">Minimum Rate of Wages – Jharkhand (May 2026), SGCMS summary of Labour Dept notification</w:t>
      </w:r>
    </w:p>
    <w:p>
      <w:pPr>
        <w:spacing w:after="130"/>
      </w:pPr>
      <w:r>
        <w:rPr>
          <w:color w:val="0F6E5C"/>
          <w:sz w:val="16"/>
          <w:szCs w:val="16"/>
        </w:rPr>
        <w:t xml:space="preserve">https://www.sgcms.com/regulatory-updates/minimum-rate-of-wages-jharkhand-may-2026/</w:t>
      </w:r>
    </w:p>
    <w:p>
      <w:pPr>
        <w:spacing w:after="40"/>
      </w:pPr>
      <w:r>
        <w:rPr>
          <w:b/>
          <w:bCs/>
          <w:color w:val="0F3D34"/>
          <w:sz w:val="18"/>
          <w:szCs w:val="18"/>
        </w:rPr>
        <w:t xml:space="preserve">[S29] </w:t>
      </w:r>
      <w:r>
        <w:rPr>
          <w:sz w:val="18"/>
          <w:szCs w:val="18"/>
        </w:rPr>
        <w:t xml:space="preserve">Government Notifies Revised Wage Rates under the VB–G RAM G Act, 2025 (PIB, MoRD)</w:t>
      </w:r>
    </w:p>
    <w:p>
      <w:pPr>
        <w:spacing w:after="130"/>
      </w:pPr>
      <w:r>
        <w:rPr>
          <w:color w:val="0F6E5C"/>
          <w:sz w:val="16"/>
          <w:szCs w:val="16"/>
        </w:rPr>
        <w:t xml:space="preserve">https://www.pib.gov.in/PressReleasePage.aspx?PRID=2279660&amp;reg=3&amp;lang=1</w:t>
      </w:r>
    </w:p>
    <w:p>
      <w:pPr>
        <w:spacing w:after="40"/>
      </w:pPr>
      <w:r>
        <w:rPr>
          <w:b/>
          <w:bCs/>
          <w:color w:val="0F3D34"/>
          <w:sz w:val="18"/>
          <w:szCs w:val="18"/>
        </w:rPr>
        <w:t xml:space="preserve">[S30] </w:t>
      </w:r>
      <w:r>
        <w:rPr>
          <w:sz w:val="18"/>
          <w:szCs w:val="18"/>
        </w:rPr>
        <w:t xml:space="preserve">ATMA cafeteria cost norms (District Bilaspur)</w:t>
      </w:r>
    </w:p>
    <w:p>
      <w:pPr>
        <w:spacing w:after="130"/>
      </w:pPr>
      <w:r>
        <w:rPr>
          <w:color w:val="0F6E5C"/>
          <w:sz w:val="16"/>
          <w:szCs w:val="16"/>
        </w:rPr>
        <w:t xml:space="preserve">https://bilaspur.gov.in/en/agriculture/</w:t>
      </w:r>
    </w:p>
    <w:p>
      <w:pPr>
        <w:spacing w:after="40"/>
      </w:pPr>
      <w:r>
        <w:rPr>
          <w:b/>
          <w:bCs/>
          <w:color w:val="0F3D34"/>
          <w:sz w:val="18"/>
          <w:szCs w:val="18"/>
        </w:rPr>
        <w:t xml:space="preserve">[S31] </w:t>
      </w:r>
      <w:r>
        <w:rPr>
          <w:sz w:val="18"/>
          <w:szCs w:val="18"/>
        </w:rPr>
        <w:t xml:space="preserve">Guidelines of BPKP (NITI Aayog Natural Farming portal)</w:t>
      </w:r>
    </w:p>
    <w:p>
      <w:pPr>
        <w:spacing w:after="130"/>
      </w:pPr>
      <w:r>
        <w:rPr>
          <w:color w:val="0F6E5C"/>
          <w:sz w:val="16"/>
          <w:szCs w:val="16"/>
        </w:rPr>
        <w:t xml:space="preserve">https://naturalfarming.niti.gov.in/wp-content/uploads/2021/09/Guidelines_of_BPKP.pdf</w:t>
      </w:r>
    </w:p>
    <w:p>
      <w:pPr>
        <w:spacing w:after="40"/>
      </w:pPr>
      <w:r>
        <w:rPr>
          <w:b/>
          <w:bCs/>
          <w:color w:val="0F3D34"/>
          <w:sz w:val="18"/>
          <w:szCs w:val="18"/>
        </w:rPr>
        <w:t xml:space="preserve">[S32] </w:t>
      </w:r>
      <w:r>
        <w:rPr>
          <w:sz w:val="18"/>
          <w:szCs w:val="18"/>
        </w:rPr>
        <w:t xml:space="preserve">Usha Martin CSR (as cited in draft)</w:t>
      </w:r>
    </w:p>
    <w:p>
      <w:pPr>
        <w:spacing w:after="130"/>
      </w:pPr>
      <w:r>
        <w:rPr>
          <w:color w:val="0F6E5C"/>
          <w:sz w:val="16"/>
          <w:szCs w:val="16"/>
        </w:rPr>
        <w:t xml:space="preserve">https://ushamartin.com/csr</w:t>
      </w:r>
    </w:p>
    <w:p>
      <w:pPr>
        <w:spacing w:after="40"/>
      </w:pPr>
      <w:r>
        <w:rPr>
          <w:b/>
          <w:bCs/>
          <w:color w:val="0F3D34"/>
          <w:sz w:val="18"/>
          <w:szCs w:val="18"/>
        </w:rPr>
        <w:t xml:space="preserve">[S33] </w:t>
      </w:r>
      <w:r>
        <w:rPr>
          <w:sz w:val="18"/>
          <w:szCs w:val="18"/>
        </w:rPr>
        <w:t xml:space="preserve">National Multidimensional Poverty Index: A Progress Review 2023 (NITI Aayog)</w:t>
      </w:r>
    </w:p>
    <w:p>
      <w:pPr>
        <w:spacing w:after="130"/>
      </w:pPr>
      <w:r>
        <w:rPr>
          <w:color w:val="0F6E5C"/>
          <w:sz w:val="16"/>
          <w:szCs w:val="16"/>
        </w:rPr>
        <w:t xml:space="preserve">https://www.niti.gov.in/sites/default/files/2023-08/India-National-Multidimentional-Poverty-Index-2023.pdf</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76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2026-09-30T05:33:41.837Z</dcterms:created>
  <dcterms:modified xsi:type="dcterms:W3CDTF">2026-09-30T05:33:41.837Z</dcterms:modified>
</cp:coreProperties>
</file>

<file path=docProps/custom.xml><?xml version="1.0" encoding="utf-8"?>
<Properties xmlns="http://schemas.openxmlformats.org/officeDocument/2006/custom-properties" xmlns:vt="http://schemas.openxmlformats.org/officeDocument/2006/docPropsVTypes"/>
</file>