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Whatever</w:t>
      </w:r>
    </w:p>
    <w:bookmarkStart w:id="24" w:name="title1"/>
    <w:p>
      <w:pPr>
        <w:pStyle w:val="Heading1"/>
      </w:pPr>
      <w:r>
        <w:t xml:space="preserve">Title1</w:t>
      </w:r>
    </w:p>
    <w:bookmarkStart w:id="23" w:name="title2"/>
    <w:p>
      <w:pPr>
        <w:pStyle w:val="Heading2"/>
      </w:pPr>
      <w:r>
        <w:t xml:space="preserve">Title2</w:t>
      </w:r>
    </w:p>
    <w:p>
      <w:pPr>
        <w:numPr>
          <w:ilvl w:val="0"/>
          <w:numId w:val="1001"/>
        </w:numPr>
        <w:pStyle w:val="Compact"/>
      </w:pPr>
      <w:r>
        <w:t xml:space="preserve">we</w:t>
      </w:r>
    </w:p>
    <w:p>
      <w:pPr>
        <w:numPr>
          <w:ilvl w:val="0"/>
          <w:numId w:val="1001"/>
        </w:numPr>
        <w:pStyle w:val="Compact"/>
      </w:pPr>
      <w:r>
        <w:t xml:space="preserve">can</w:t>
      </w:r>
    </w:p>
    <w:p>
      <w:pPr>
        <w:numPr>
          <w:ilvl w:val="0"/>
          <w:numId w:val="1001"/>
        </w:numPr>
        <w:pStyle w:val="Compact"/>
      </w:pPr>
      <w:r>
        <w:t xml:space="preserve">make</w:t>
      </w:r>
    </w:p>
    <w:p>
      <w:pPr>
        <w:numPr>
          <w:ilvl w:val="0"/>
          <w:numId w:val="1001"/>
        </w:numPr>
        <w:pStyle w:val="Compact"/>
      </w:pPr>
      <w:r>
        <w:t xml:space="preserve">bullet lists</w:t>
      </w:r>
    </w:p>
    <w:p>
      <w:pPr>
        <w:numPr>
          <w:ilvl w:val="0"/>
          <w:numId w:val="1002"/>
        </w:numPr>
        <w:pStyle w:val="Compact"/>
      </w:pPr>
      <w:r>
        <w:t xml:space="preserve">or</w:t>
      </w:r>
    </w:p>
    <w:p>
      <w:pPr>
        <w:numPr>
          <w:ilvl w:val="0"/>
          <w:numId w:val="1002"/>
        </w:numPr>
        <w:pStyle w:val="Compact"/>
      </w:pPr>
      <w:r>
        <w:t xml:space="preserve">numbered</w:t>
      </w:r>
    </w:p>
    <w:p>
      <w:pPr>
        <w:numPr>
          <w:ilvl w:val="0"/>
          <w:numId w:val="1002"/>
        </w:numPr>
        <w:pStyle w:val="Compact"/>
      </w:pPr>
      <w:r>
        <w:t xml:space="preserve">lists</w:t>
      </w:r>
    </w:p>
    <w:p>
      <w:pPr>
        <w:numPr>
          <w:ilvl w:val="1"/>
          <w:numId w:val="1003"/>
        </w:numPr>
        <w:pStyle w:val="Compact"/>
      </w:pPr>
      <w:r>
        <w:t xml:space="preserve">another bullet list</w:t>
      </w:r>
    </w:p>
    <w:p>
      <w:pPr>
        <w:pStyle w:val="FirstParagraph"/>
      </w:pPr>
      <w:r>
        <w:rPr>
          <w:bCs/>
          <w:b/>
        </w:rPr>
        <w:t xml:space="preserve">some basic</w:t>
      </w:r>
      <w:r>
        <w:t xml:space="preserve"> </w:t>
      </w:r>
      <w:r>
        <w:rPr>
          <w:iCs/>
          <w:i/>
        </w:rPr>
        <w:t xml:space="preserve">formatting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above is a line</w:t>
      </w:r>
    </w:p>
    <w:p>
      <w:pPr>
        <w:pStyle w:val="BodyText"/>
      </w:pPr>
      <w:r>
        <w:t xml:space="preserve">a</w:t>
      </w:r>
      <w:r>
        <w:rPr>
          <w:vertAlign w:val="superscript"/>
        </w:rPr>
        <w:t xml:space="preserve">2</w:t>
      </w:r>
      <w:r>
        <w:t xml:space="preserve"> </w:t>
      </w:r>
      <w:r>
        <w:t xml:space="preserve">b</w:t>
      </w:r>
      <w:r>
        <w:rPr>
          <w:vertAlign w:val="subscript"/>
        </w:rPr>
        <w:t xml:space="preserve">subscript</w:t>
      </w:r>
    </w:p>
    <w:p>
      <w:pPr>
        <w:pStyle w:val="BodyText"/>
      </w:pPr>
      <w:r>
        <w:t xml:space="preserve">log</w:t>
      </w:r>
      <w:r>
        <w:rPr>
          <w:vertAlign w:val="subscript"/>
        </w:rPr>
        <w:t xml:space="preserve">2</w:t>
      </w:r>
      <w:r>
        <w:t xml:space="preserve"> </w:t>
      </w:r>
      <w:r>
        <w:t xml:space="preserve">fold change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x</m:t>
                </m:r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rPr>
            <m:nor/>
            <m:sty m:val="p"/>
          </m:rPr>
          <m:t>log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)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π</m:t>
        </m:r>
        <m:r>
          <m:rPr>
            <m:sty m:val="p"/>
          </m:rPr>
          <m:t>)</m:t>
        </m:r>
        <m:sSup>
          <m:e>
            <m:r>
              <m:t>χ</m:t>
            </m:r>
          </m:e>
          <m:sup>
            <m:r>
              <m:t>2</m:t>
            </m:r>
          </m:sup>
        </m:sSup>
      </m:oMath>
    </w:p>
    <w:tbl>
      <w:tblPr>
        <w:tblStyle w:val="Table"/>
        <w:tblW w:type="pct" w:w="3402.777777777778"/>
        <w:tblLook w:firstRow="1" w:lastRow="0" w:firstColumn="0" w:lastColumn="0" w:noHBand="0" w:noVBand="0" w:val="0020"/>
      </w:tblPr>
      <w:tblGrid>
        <w:gridCol w:w="1870"/>
        <w:gridCol w:w="2090"/>
        <w:gridCol w:w="1430"/>
      </w:tblGrid>
      <w:tr>
        <w:tc>
          <w:p>
            <w:pPr>
              <w:pStyle w:val="Compact"/>
              <w:jc w:val="left"/>
            </w:pPr>
            <w:r>
              <w:t xml:space="preserve">something</w:t>
            </w:r>
          </w:p>
        </w:tc>
        <w:tc>
          <w:p>
            <w:pPr>
              <w:pStyle w:val="Compact"/>
              <w:jc w:val="center"/>
            </w:pPr>
            <w:r>
              <w:t xml:space="preserve">something</w:t>
            </w:r>
          </w:p>
        </w:tc>
        <w:tc>
          <w:p>
            <w:pPr>
              <w:pStyle w:val="Compact"/>
              <w:jc w:val="center"/>
            </w:pPr>
            <w:r>
              <w:t xml:space="preserve">else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asdf asdf</w:t>
            </w:r>
          </w:p>
        </w:tc>
        <w:tc>
          <w:p>
            <w:pPr>
              <w:pStyle w:val="Compact"/>
              <w:jc w:val="center"/>
            </w:pPr>
            <w:r>
              <w:t xml:space="preserve">asdfasdfasdf</w:t>
            </w:r>
          </w:p>
        </w:tc>
        <w:tc>
          <w:p>
            <w:pPr>
              <w:pStyle w:val="Compact"/>
              <w:jc w:val="center"/>
            </w:pPr>
            <w:r>
              <w:t xml:space="preserve">asdfasdf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row</w:t>
            </w:r>
          </w:p>
        </w:tc>
        <w:tc>
          <w:p>
            <w:pPr>
              <w:pStyle w:val="Compact"/>
              <w:jc w:val="center"/>
            </w:pPr>
            <w:r>
              <w:t xml:space="preserve">2 +1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t>2</m:t>
                  </m:r>
                </m:e>
                <m:sup>
                  <m:r>
                    <m:t>e</m:t>
                  </m:r>
                </m:sup>
              </m:sSup>
            </m:oMath>
          </w:p>
        </w:tc>
      </w:tr>
    </w:tbl>
    <w:p>
      <w:pPr>
        <w:pStyle w:val="BodyText"/>
      </w:pPr>
      <w:r>
        <w:t xml:space="preserve">Citing myself is a bad thing</w:t>
      </w:r>
      <w:r>
        <w:t xml:space="preserve"> </w:t>
      </w:r>
      <w:r>
        <w:t xml:space="preserve">(Weiner et al. 2018)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this will be computer code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refs"/>
    <w:bookmarkStart w:id="21" w:name="ref-weiner2018metabolite"/>
    <w:p>
      <w:pPr>
        <w:pStyle w:val="Bibliography"/>
      </w:pPr>
      <w:r>
        <w:t xml:space="preserve">Weiner, January, Jeroen Maertzdorf, Jayne S Sutherland, Fergal J Duffy, Ethan Thompson, Sara Suliman, Gayle McEwen, et al. 2018.</w:t>
      </w:r>
      <w:r>
        <w:t xml:space="preserve"> </w:t>
      </w:r>
      <w:r>
        <w:t xml:space="preserve">“Metabolite Changes in Blood Predict the Onset of Tuberculosis.”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9 (1): 1–12.</w:t>
      </w:r>
    </w:p>
    <w:bookmarkEnd w:id="21"/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Whatever</dc:title>
  <dc:creator/>
  <cp:keywords/>
  <dcterms:created xsi:type="dcterms:W3CDTF">2021-03-09T13:56:40Z</dcterms:created>
  <dcterms:modified xsi:type="dcterms:W3CDTF">2021-03-09T13:56:40Z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output">
    <vt:lpwstr/>
  </property>
</Properties>
</file>