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62"/>
        <w:rPr/>
      </w:pPr>
      <w:r>
        <w:rPr/>
        <w:t>Functional Requirement Document (FRD) — MahaUdyam One</w:t>
      </w:r>
    </w:p>
    <w:p w14:paraId="00000002">
      <w:pPr>
        <w:pStyle w:val="style74"/>
        <w:rPr/>
      </w:pPr>
      <w:r>
        <w:rPr/>
        <w:t>Unified Industrial Approvals, Compliance &amp; Government Support Platform</w:t>
      </w:r>
    </w:p>
    <w:p w14:paraId="00000003">
      <w:pPr>
        <w:pStyle w:val="style0"/>
        <w:keepNext/>
        <w:keepLines/>
        <w:pageBreakBefore w:val="false"/>
        <w:widowControl/>
        <w:pBdr>
          <w:left w:val="nil"/>
          <w:right w:val="nil"/>
          <w:top w:val="nil"/>
          <w:bottom w:val="nil"/>
          <w:between w:val="nil"/>
        </w:pBdr>
        <w:shd w:val="clear" w:color="auto" w:fill="auto"/>
        <w:spacing w:before="0" w:after="200" w:lineRule="auto" w:line="240"/>
        <w:ind w:left="0" w:right="0" w:firstLine="0"/>
        <w:jc w:val="center"/>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Problem Statement 26130 · Government of Maharashtra · MSInS, Dept. of Skills, Employment, Entrepreneurship &amp; Innovation · Version 1.0 (Draft for Hackathon Submission)</w:t>
      </w:r>
    </w:p>
    <w:bookmarkStart w:id="0" w:name="tlza1fbujwj3" w:colFirst="0" w:colLast="0"/>
    <w:bookmarkEnd w:id="0"/>
    <w:p w14:paraId="00000004">
      <w:pPr>
        <w:pStyle w:val="style2"/>
        <w:rPr/>
      </w:pPr>
      <w:r>
        <w:rPr/>
        <w:t>Table of Contents</w:t>
      </w:r>
    </w:p>
    <w:p w14:paraId="0000000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 &amp; Scope Discipline</w:t>
      </w:r>
    </w:p>
    <w:p w14:paraId="0000000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Feasibility Principles Applied</w:t>
      </w:r>
    </w:p>
    <w:p w14:paraId="0000000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Portal Design Principles</w:t>
      </w:r>
    </w:p>
    <w:p w14:paraId="0000000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 Roles — Functional Capability Summary</w:t>
      </w:r>
    </w:p>
    <w:p w14:paraId="0000000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Information Visibility Matrix (Per Role)</w:t>
      </w:r>
    </w:p>
    <w:p w14:paraId="0000000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Portal Information Architecture — Public Website</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Portal Navigation</w:t>
      </w:r>
    </w:p>
    <w:p w14:paraId="0000000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Dashboard — Functional Requirements</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Entrepreneur Onboarding Flow</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 Function</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Customised Approval Checklist</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Creation</w:t>
      </w:r>
    </w:p>
    <w:p w14:paraId="0000001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Form Design Specifications</w:t>
      </w:r>
    </w:p>
    <w:p w14:paraId="0000001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Upload</w:t>
      </w:r>
    </w:p>
    <w:p w14:paraId="0000001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Reuse</w:t>
      </w:r>
    </w:p>
    <w:p w14:paraId="0000001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Pre-Submission Validation</w:t>
      </w:r>
    </w:p>
    <w:p w14:paraId="0000001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Submission</w:t>
      </w:r>
    </w:p>
    <w:p w14:paraId="0000001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Tracking</w:t>
      </w:r>
    </w:p>
    <w:p w14:paraId="0000001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 / Clarification Management</w:t>
      </w:r>
    </w:p>
    <w:p w14:paraId="0000001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Representative / Consultant</w:t>
      </w:r>
    </w:p>
    <w:p w14:paraId="0000001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Officer Workspace</w:t>
      </w:r>
    </w:p>
    <w:p w14:paraId="0000001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Scrutiny</w:t>
      </w:r>
    </w:p>
    <w:p w14:paraId="0000001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Parallel Department Workflow</w:t>
      </w:r>
    </w:p>
    <w:p w14:paraId="0000001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Module</w:t>
      </w:r>
    </w:p>
    <w:p w14:paraId="0000001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Management (Functional View)</w:t>
      </w:r>
    </w:p>
    <w:p w14:paraId="0000001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Notifications</w:t>
      </w:r>
    </w:p>
    <w:p w14:paraId="0000001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Compliance Module</w:t>
      </w:r>
    </w:p>
    <w:p w14:paraId="0000002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Module</w:t>
      </w:r>
    </w:p>
    <w:p w14:paraId="0000002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Schemes and Incentives</w:t>
      </w:r>
    </w:p>
    <w:p w14:paraId="0000002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Function</w:t>
      </w:r>
    </w:p>
    <w:p w14:paraId="0000002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Search</w:t>
      </w:r>
    </w:p>
    <w:p w14:paraId="0000002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Help and Guidance</w:t>
      </w:r>
    </w:p>
    <w:p w14:paraId="0000002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Administrator Functions</w:t>
      </w:r>
    </w:p>
    <w:p w14:paraId="0000002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Scheme/Incentive Officer Functions</w:t>
      </w:r>
    </w:p>
    <w:p w14:paraId="0000002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Administrator Functions (Technical vs Statutory Separation)</w:t>
      </w:r>
    </w:p>
    <w:p w14:paraId="0000002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Leadership Dashboard</w:t>
      </w:r>
    </w:p>
    <w:p w14:paraId="0000002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Consolidated “To Be Validated with Government Department” Register</w:t>
      </w:r>
    </w:p>
    <w:bookmarkStart w:id="1" w:name="y8drb6s8w5tf" w:colFirst="0" w:colLast="0"/>
    <w:bookmarkEnd w:id="1"/>
    <w:p w14:paraId="0000002A">
      <w:pPr>
        <w:pStyle w:val="style3"/>
        <w:rPr/>
      </w:pPr>
      <w:r>
        <w:rPr/>
        <w:t>How to read this document</w:t>
      </w:r>
    </w:p>
    <w:p w14:paraId="0000002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functional requirement is written from the user’s point of view — what they can </w:t>
      </w:r>
      <w:r>
        <w:rPr>
          <w:rFonts w:ascii="Cambria" w:cs="Cambria" w:eastAsia="Cambria" w:hAnsi="Cambria"/>
          <w:b/>
          <w:bCs/>
          <w:i w:val="false"/>
          <w:iCs w:val="false"/>
          <w:smallCaps w:val="false"/>
          <w:color w:val="000000"/>
          <w:sz w:val="24"/>
          <w:szCs w:val="24"/>
          <w:u w:val="none"/>
          <w:shd w:val="clear" w:color="auto" w:fill="auto"/>
          <w:vertAlign w:val="baseline"/>
        </w:rPr>
        <w:t>see, enter, submit, verify, approve, reject, track, modify, download, or manage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not how the system is built internally (that belongs to the companion Technical Requirement Document). Statuses, field lists, and workflows shown here are the </w:t>
      </w:r>
      <w:r>
        <w:rPr>
          <w:rFonts w:ascii="Cambria" w:cs="Cambria" w:eastAsia="Cambria" w:hAnsi="Cambria"/>
          <w:b/>
          <w:bCs/>
          <w:i w:val="false"/>
          <w:iCs w:val="false"/>
          <w:smallCaps w:val="false"/>
          <w:color w:val="000000"/>
          <w:sz w:val="24"/>
          <w:szCs w:val="24"/>
          <w:u w:val="none"/>
          <w:shd w:val="clear" w:color="auto" w:fill="auto"/>
          <w:vertAlign w:val="baseline"/>
        </w:rPr>
        <w:t>minimum functional set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needed to satisfy Problem Statement 26130; anything not traceable to the 16 in-scope capability areas (Section 1.2) has been deliberately left out. Wherever an exact government rule, form, timeline, or integration is needed, this document states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rather than inventing one.</w:t>
      </w:r>
    </w:p>
    <w:bookmarkStart w:id="2" w:name="gy380xwzsgzf" w:colFirst="0" w:colLast="0"/>
    <w:bookmarkEnd w:id="2"/>
    <w:p w14:paraId="0000002C">
      <w:pPr>
        <w:pStyle w:val="style2"/>
        <w:rPr/>
      </w:pPr>
      <w:r>
        <w:rPr/>
        <w:t>1. Purpose &amp; Scope Discipline</w:t>
      </w:r>
    </w:p>
    <w:bookmarkStart w:id="3" w:name="wwbs4i1g2l57" w:colFirst="0" w:colLast="0"/>
    <w:bookmarkEnd w:id="3"/>
    <w:p w14:paraId="0000002D">
      <w:pPr>
        <w:pStyle w:val="style3"/>
        <w:rPr/>
      </w:pPr>
      <w:r>
        <w:rPr/>
        <w:t>1.1 Purpose</w:t>
      </w:r>
    </w:p>
    <w:p w14:paraId="0000002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This FRD translates Problem Statement 26130 into concrete, testable functional behaviour: exactly what each type of user can do on the platform, tentatively named </w:t>
      </w:r>
      <w:r>
        <w:rPr>
          <w:rFonts w:ascii="Cambria" w:cs="Cambria" w:eastAsia="Cambria" w:hAnsi="Cambria"/>
          <w:b/>
          <w:bCs/>
          <w:i w:val="false"/>
          <w:iCs w:val="false"/>
          <w:smallCaps w:val="false"/>
          <w:color w:val="000000"/>
          <w:sz w:val="24"/>
          <w:szCs w:val="24"/>
          <w:u w:val="none"/>
          <w:shd w:val="clear" w:color="auto" w:fill="auto"/>
          <w:vertAlign w:val="baseline"/>
        </w:rPr>
        <w:t>MahaUdyam One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bookmarkStart w:id="4" w:name="f5f8fnbywav4" w:colFirst="0" w:colLast="0"/>
    <w:bookmarkEnd w:id="4"/>
    <w:p w14:paraId="0000002F">
      <w:pPr>
        <w:pStyle w:val="style3"/>
        <w:rPr/>
      </w:pPr>
      <w:r>
        <w:rPr/>
        <w:t>1.2 The 16 In-Scope Capability Areas (Scope Anchor)</w:t>
      </w:r>
    </w:p>
    <w:p w14:paraId="0000003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module in this document is traceable to one or more of: 1. Industrial approval discovery 2. Approval application management 3. Documentation 4. Application pre-validation 5. Reuse of verified information 6. Departmental coordination 7. Inspection management 8. SLA/timeline tracking 9. Alerts and notifications 10. Compliance management 11. Renewals 12. Government incentives/support schemes 13. Grievance escalation 14. Regulatory information 15. Bottleneck analytics 16. Transparency and ease of doing business</w:t>
      </w:r>
    </w:p>
    <w:p w14:paraId="0000003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feature in this document exists outside this list. Where a section header names a capability, the mapping is stated explicitly.</w:t>
      </w:r>
    </w:p>
    <w:p w14:paraId="00000032">
      <w:pPr>
        <w:pStyle w:val="style0"/>
        <w:rPr/>
      </w:pPr>
      <w:r>
        <w:rPr/>
        <w:pict>
          <v:rect id="1026" fillcolor="#a0a0a0" stroked="f" style="margin-left:0.0pt;margin-top:0.0pt;width:0.0pt;height:1.5pt;mso-wrap-distance-left:0.0pt;mso-wrap-distance-right:0.0pt;visibility:visible;" o:hr="t" o:hralign="center" o:hrstd="t">
            <v:stroke on="f"/>
            <v:fill/>
          </v:rect>
        </w:pict>
      </w:r>
    </w:p>
    <w:bookmarkStart w:id="5" w:name="tbw0id7wmclw" w:colFirst="0" w:colLast="0"/>
    <w:bookmarkEnd w:id="5"/>
    <w:p w14:paraId="00000033">
      <w:pPr>
        <w:pStyle w:val="style2"/>
        <w:rPr/>
      </w:pPr>
      <w:r>
        <w:rPr/>
        <w:t>2. Feasibility Principles Applied</w:t>
      </w:r>
    </w:p>
    <w:p w14:paraId="0000003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This FRD deliberately avoids assuming capabilities that cannot realistically be guaranteed at launch. The following table shows the assumption that is </w:t>
      </w:r>
      <w:r>
        <w:rPr>
          <w:rFonts w:ascii="Cambria" w:cs="Cambria" w:eastAsia="Cambria" w:hAnsi="Cambria"/>
          <w:b/>
          <w:bCs/>
          <w:i w:val="false"/>
          <w:iCs w:val="false"/>
          <w:smallCaps w:val="false"/>
          <w:color w:val="000000"/>
          <w:sz w:val="24"/>
          <w:szCs w:val="24"/>
          <w:u w:val="none"/>
          <w:shd w:val="clear" w:color="auto" w:fill="auto"/>
          <w:vertAlign w:val="baseline"/>
        </w:rPr>
        <w:t>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made, and the feasible functional alternative actually specified in this document.</w:t>
      </w:r>
    </w:p>
    <w:tbl>
      <w:tblPr>
        <w:tblStyle w:val="style4099"/>
        <w:tblW w:w="7920" w:type="dxa"/>
        <w:jc w:val="left"/>
        <w:tblInd w:w="-108" w:type="dxa"/>
        <w:tblLayout w:type="fixed"/>
        <w:tblLook w:val="0020" w:firstRow="1" w:lastRow="0" w:firstColumn="0" w:lastColumn="0" w:noHBand="0" w:noVBand="0"/>
      </w:tblPr>
      <w:tblGrid>
        <w:gridCol w:w="3960"/>
        <w:gridCol w:w="3960"/>
      </w:tblGrid>
      <w:tr w14:paraId="B12B3165">
        <w:trPr>
          <w:cantSplit w:val="false"/>
          <w:tblHeader/>
          <w:jc w:val="left"/>
        </w:trPr>
        <w:tc>
          <w:tcPr>
            <w:tcW w:w="0" w:type="auto"/>
            <w:tcBorders/>
          </w:tcPr>
          <w:p w14:paraId="000000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 Assumed</w:t>
            </w:r>
          </w:p>
        </w:tc>
        <w:tc>
          <w:tcPr>
            <w:tcW w:w="0" w:type="auto"/>
            <w:tcBorders/>
          </w:tcPr>
          <w:p w14:paraId="000000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Feasible Alternative Actually Specified</w:t>
            </w:r>
          </w:p>
        </w:tc>
      </w:tr>
      <w:tr w14:paraId="541D5BDD">
        <w:tblPrEx/>
        <w:trPr>
          <w:cantSplit w:val="false"/>
          <w:tblHeader w:val="false"/>
          <w:jc w:val="left"/>
        </w:trPr>
        <w:tc>
          <w:tcPr>
            <w:tcW w:w="0" w:type="auto"/>
            <w:tcBorders/>
          </w:tcPr>
          <w:p w14:paraId="000000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department has a live API</w:t>
            </w:r>
          </w:p>
        </w:tc>
        <w:tc>
          <w:tcPr>
            <w:tcW w:w="0" w:type="auto"/>
            <w:tcBorders/>
          </w:tcPr>
          <w:p w14:paraId="000000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Manual/assisted officer workflow with configurable status updates; integration is additive where confirmed (Section 37)</w:t>
            </w:r>
          </w:p>
        </w:tc>
      </w:tr>
      <w:tr w14:paraId="31683C5E">
        <w:tblPrEx/>
        <w:trPr>
          <w:cantSplit w:val="false"/>
          <w:tblHeader w:val="false"/>
          <w:jc w:val="left"/>
        </w:trPr>
        <w:tc>
          <w:tcPr>
            <w:tcW w:w="0" w:type="auto"/>
            <w:tcBorders/>
          </w:tcPr>
          <w:p w14:paraId="000000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government database is integrable</w:t>
            </w:r>
          </w:p>
        </w:tc>
        <w:tc>
          <w:tcPr>
            <w:tcW w:w="0" w:type="auto"/>
            <w:tcBorders/>
          </w:tcPr>
          <w:p w14:paraId="000000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self-declares data with document evidence; officer verifies manually until an integration is confirmed</w:t>
            </w:r>
          </w:p>
        </w:tc>
      </w:tr>
      <w:tr w14:paraId="828C4D00">
        <w:tblPrEx/>
        <w:trPr>
          <w:cantSplit w:val="false"/>
          <w:tblHeader w:val="false"/>
          <w:jc w:val="left"/>
        </w:trPr>
        <w:tc>
          <w:tcPr>
            <w:tcW w:w="0" w:type="auto"/>
            <w:tcBorders/>
          </w:tcPr>
          <w:p w14:paraId="000000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Real-time access to every government system</w:t>
            </w:r>
          </w:p>
        </w:tc>
        <w:tc>
          <w:tcPr>
            <w:tcW w:w="0" w:type="auto"/>
            <w:tcBorders/>
          </w:tcPr>
          <w:p w14:paraId="000000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Platform maintains its own authoritative record of application status; syncs opportunistically where integration exists</w:t>
            </w:r>
          </w:p>
        </w:tc>
      </w:tr>
      <w:tr w14:paraId="62348519">
        <w:tblPrEx/>
        <w:trPr>
          <w:cantSplit w:val="false"/>
          <w:tblHeader w:val="false"/>
          <w:jc w:val="left"/>
        </w:trPr>
        <w:tc>
          <w:tcPr>
            <w:tcW w:w="0" w:type="auto"/>
            <w:tcBorders/>
          </w:tcPr>
          <w:p w14:paraId="000000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approval can be auto-issued</w:t>
            </w:r>
          </w:p>
        </w:tc>
        <w:tc>
          <w:tcPr>
            <w:tcW w:w="0" w:type="auto"/>
            <w:tcBorders/>
          </w:tcPr>
          <w:p w14:paraId="0000003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statutory approve/reject actions require an Approving Authority’s explicit action (Section 22, 23)</w:t>
            </w:r>
          </w:p>
        </w:tc>
      </w:tr>
      <w:tr w14:paraId="C102D76C">
        <w:tblPrEx/>
        <w:trPr>
          <w:cantSplit w:val="false"/>
          <w:tblHeader w:val="false"/>
          <w:jc w:val="left"/>
        </w:trPr>
        <w:tc>
          <w:tcPr>
            <w:tcW w:w="0" w:type="auto"/>
            <w:tcBorders/>
          </w:tcPr>
          <w:p w14:paraId="000000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AI can make statutory decisions</w:t>
            </w:r>
          </w:p>
        </w:tc>
        <w:tc>
          <w:tcPr>
            <w:tcW w:w="0" w:type="auto"/>
            <w:tcBorders/>
          </w:tcPr>
          <w:p w14:paraId="000000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AI/RAG is advisory-only everywhere it appears (Sections 10, 31, 32); every AI output includes a “not an official decision” indicator</w:t>
            </w:r>
          </w:p>
        </w:tc>
      </w:tr>
      <w:tr w14:paraId="FE0AE615">
        <w:tblPrEx/>
        <w:trPr>
          <w:cantSplit w:val="false"/>
          <w:tblHeader w:val="false"/>
          <w:jc w:val="left"/>
        </w:trPr>
        <w:tc>
          <w:tcPr>
            <w:tcW w:w="0" w:type="auto"/>
            <w:tcBorders/>
          </w:tcPr>
          <w:p w14:paraId="000000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Officers will immediately change existing procedures</w:t>
            </w:r>
          </w:p>
        </w:tc>
        <w:tc>
          <w:tcPr>
            <w:tcW w:w="0" w:type="auto"/>
            <w:tcBorders/>
          </w:tcPr>
          <w:p w14:paraId="000000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 workspace (Section 21) mirrors familiar inbox/queue/scrutiny concepts already used in government offices, digitised rather than reinvented</w:t>
            </w:r>
          </w:p>
        </w:tc>
      </w:tr>
      <w:tr w14:paraId="220315B2">
        <w:tblPrEx/>
        <w:trPr>
          <w:cantSplit w:val="false"/>
          <w:tblHeader w:val="false"/>
          <w:jc w:val="left"/>
        </w:trPr>
        <w:tc>
          <w:tcPr>
            <w:tcW w:w="0" w:type="auto"/>
            <w:tcBorders/>
          </w:tcPr>
          <w:p w14:paraId="000000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regulatory rules can be auto-extracted</w:t>
            </w:r>
          </w:p>
        </w:tc>
        <w:tc>
          <w:tcPr>
            <w:tcW w:w="0" w:type="auto"/>
            <w:tcBorders/>
          </w:tcPr>
          <w:p w14:paraId="000000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content is human-curated and version-controlled (companion TRD, Section 5); the platform never “learns” a rule on its own</w:t>
            </w:r>
          </w:p>
        </w:tc>
      </w:tr>
      <w:tr w14:paraId="973AE96C">
        <w:tblPrEx/>
        <w:trPr>
          <w:cantSplit w:val="false"/>
          <w:tblHeader w:val="false"/>
          <w:jc w:val="left"/>
        </w:trPr>
        <w:tc>
          <w:tcPr>
            <w:tcW w:w="0" w:type="auto"/>
            <w:tcBorders/>
          </w:tcPr>
          <w:p w14:paraId="000000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documents can be auto-verified</w:t>
            </w:r>
          </w:p>
        </w:tc>
        <w:tc>
          <w:tcPr>
            <w:tcW w:w="0" w:type="auto"/>
            <w:tcBorders/>
          </w:tcPr>
          <w:p w14:paraId="000000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status includes “Validation Pending” and “Verified” as distinct states (Section 16) — automation assists, an officer confirms</w:t>
            </w:r>
          </w:p>
        </w:tc>
      </w:tr>
      <w:tr w14:paraId="7EE8406C">
        <w:tblPrEx/>
        <w:trPr>
          <w:cantSplit w:val="false"/>
          <w:tblHeader w:val="false"/>
          <w:jc w:val="left"/>
        </w:trPr>
        <w:tc>
          <w:tcPr>
            <w:tcW w:w="0" w:type="auto"/>
            <w:tcBorders/>
          </w:tcPr>
          <w:p w14:paraId="000000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process becomes paperless immediately</w:t>
            </w:r>
          </w:p>
        </w:tc>
        <w:tc>
          <w:tcPr>
            <w:tcW w:w="0" w:type="auto"/>
            <w:tcBorders/>
          </w:tcPr>
          <w:p w14:paraId="000000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Downloadable receipts/certificates are provided for offline use (Sections 19, 22); the design does not assume all counter-based processes disappear at once</w:t>
            </w:r>
          </w:p>
        </w:tc>
      </w:tr>
    </w:tbl>
    <w:p w14:paraId="00000049">
      <w:pPr>
        <w:pStyle w:val="style0"/>
        <w:rPr/>
      </w:pPr>
      <w:r>
        <w:rPr/>
        <w:pict>
          <v:rect id="1027" fillcolor="#a0a0a0" stroked="f" style="margin-left:0.0pt;margin-top:0.0pt;width:0.0pt;height:1.5pt;mso-wrap-distance-left:0.0pt;mso-wrap-distance-right:0.0pt;visibility:visible;" o:hr="t" o:hralign="center" o:hrstd="t">
            <v:stroke on="f"/>
            <v:fill/>
          </v:rect>
        </w:pict>
      </w:r>
    </w:p>
    <w:bookmarkStart w:id="6" w:name="kckeknwmsbc1" w:colFirst="0" w:colLast="0"/>
    <w:bookmarkEnd w:id="6"/>
    <w:p w14:paraId="0000004A">
      <w:pPr>
        <w:pStyle w:val="style2"/>
        <w:rPr/>
      </w:pPr>
      <w:r>
        <w:rPr/>
        <w:t>3. Government Portal Design Principles</w:t>
      </w:r>
    </w:p>
    <w:p w14:paraId="0000004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MahaUdyam One must read as a </w:t>
      </w:r>
      <w:r>
        <w:rPr>
          <w:rFonts w:ascii="Cambria" w:cs="Cambria" w:eastAsia="Cambria" w:hAnsi="Cambria"/>
          <w:b/>
          <w:bCs/>
          <w:i w:val="false"/>
          <w:iCs w:val="false"/>
          <w:smallCaps w:val="false"/>
          <w:color w:val="000000"/>
          <w:sz w:val="24"/>
          <w:szCs w:val="24"/>
          <w:u w:val="none"/>
          <w:shd w:val="clear" w:color="auto" w:fill="auto"/>
          <w:vertAlign w:val="baseline"/>
        </w:rPr>
        <w:t>credible, official Government of Maharashtra digital service</w:t>
      </w:r>
      <w:r>
        <w:rPr>
          <w:rFonts w:ascii="Cambria" w:cs="Cambria" w:eastAsia="Cambria" w:hAnsi="Cambria"/>
          <w:b w:val="false"/>
          <w:bCs w:val="false"/>
          <w:i w:val="false"/>
          <w:iCs w:val="false"/>
          <w:smallCaps w:val="false"/>
          <w:color w:val="000000"/>
          <w:sz w:val="24"/>
          <w:szCs w:val="24"/>
          <w:u w:val="none"/>
          <w:shd w:val="clear" w:color="auto" w:fill="auto"/>
          <w:vertAlign w:val="baseline"/>
        </w:rPr>
        <w:t>, not a consumer SaaS product.</w:t>
      </w:r>
    </w:p>
    <w:bookmarkStart w:id="7" w:name="cnodb9crq9mx" w:colFirst="0" w:colLast="0"/>
    <w:bookmarkEnd w:id="7"/>
    <w:p w14:paraId="0000004C">
      <w:pPr>
        <w:pStyle w:val="style3"/>
        <w:rPr/>
      </w:pPr>
      <w:r>
        <w:rPr/>
        <w:t>3.1 Prioritise</w:t>
      </w:r>
    </w:p>
    <w:p w14:paraId="0000004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Trust, simplicity, accessibility, transparency, clear government terminology (e.g., “Application Reference Number,” “Competent Authority,” “No-Objection Certificate” rather than casual product language), structured multi-step forms, official-style notifications, application/reference numbers on everything, visible status tracking, downloadable receipts/acknowledgements and certificates, clearly attributable officer actions, full auditability, citizen/entrepreneur visibility into their own matters, and strict role-based access.</w:t>
      </w:r>
    </w:p>
    <w:bookmarkStart w:id="8" w:name="l6u483jhmfke" w:colFirst="0" w:colLast="0"/>
    <w:bookmarkEnd w:id="8"/>
    <w:p w14:paraId="0000004E">
      <w:pPr>
        <w:pStyle w:val="style3"/>
        <w:rPr/>
      </w:pPr>
      <w:r>
        <w:rPr/>
        <w:t>3.2 Avoid</w:t>
      </w:r>
    </w:p>
    <w:p w14:paraId="0000004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Excessive animation, gamification (badges, streaks, progress “celebrations”), consumer-app visual style (excessive card shadows, playful illustrations), an oversized number of dashboard cards, futuristic/sci-fi UI treatments, AI presented as if it were a decision-maker, social features (likes, comments, sharing), and a chatbot positioned as the primary way to get anything done.</w:t>
      </w:r>
    </w:p>
    <w:bookmarkStart w:id="9" w:name="ygd5tz9qske3" w:colFirst="0" w:colLast="0"/>
    <w:bookmarkEnd w:id="9"/>
    <w:p w14:paraId="00000050">
      <w:pPr>
        <w:pStyle w:val="style3"/>
        <w:rPr/>
      </w:pPr>
      <w:r>
        <w:rPr/>
        <w:t>3.3 Tone</w:t>
      </w:r>
    </w:p>
    <w:p w14:paraId="0000005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Official but not intimidating. Plain-language help text accompanies every form field. Government terminology is used correctly and consistently (Section 32 Help &amp; Guidance exists precisely to bridge the gap between legal terms and applicant understanding).</w:t>
      </w:r>
    </w:p>
    <w:p w14:paraId="00000052">
      <w:pPr>
        <w:pStyle w:val="style0"/>
        <w:rPr/>
      </w:pPr>
      <w:r>
        <w:rPr/>
        <w:pict>
          <v:rect id="1028" fillcolor="#a0a0a0" stroked="f" style="margin-left:0.0pt;margin-top:0.0pt;width:0.0pt;height:1.5pt;mso-wrap-distance-left:0.0pt;mso-wrap-distance-right:0.0pt;visibility:visible;" o:hr="t" o:hralign="center" o:hrstd="t">
            <v:stroke on="f"/>
            <v:fill/>
          </v:rect>
        </w:pict>
      </w:r>
    </w:p>
    <w:bookmarkStart w:id="10" w:name="fnje5533q42k" w:colFirst="0" w:colLast="0"/>
    <w:bookmarkEnd w:id="10"/>
    <w:p w14:paraId="00000053">
      <w:pPr>
        <w:pStyle w:val="style2"/>
        <w:rPr/>
      </w:pPr>
      <w:r>
        <w:rPr/>
        <w:t>4. User Roles — Functional Capability Summary</w:t>
      </w:r>
    </w:p>
    <w:bookmarkStart w:id="11" w:name="aba222x4tkm7" w:colFirst="0" w:colLast="0"/>
    <w:bookmarkEnd w:id="11"/>
    <w:p w14:paraId="00000054">
      <w:pPr>
        <w:pStyle w:val="style3"/>
        <w:rPr/>
      </w:pPr>
      <w:r>
        <w:rPr/>
        <w:t>4.1 Entrepreneur / Applicant</w:t>
      </w:r>
    </w:p>
    <w:p w14:paraId="0000005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register and log in; manage profile; create and manage one or more enterprises; create and manage projects under an enterprise; enter project details; run approval discovery; view the customised checklist; view detailed requirements per approval; upload documents; reuse verified information/documents where the platform indicates reuse is permitted; complete and pre-validate applications; submit applications; track applications end-to-end; respond to officer queries; view inspection schedules and outcomes; view approval/rejection decisions; download available documents/certificates/receipts; view compliance obligations; view and act on renewals; view eligible schemes and apply; raise and track grievances; manage notification preferences.</w:t>
      </w:r>
    </w:p>
    <w:bookmarkStart w:id="12" w:name="1xmn69nu79pv" w:colFirst="0" w:colLast="0"/>
    <w:bookmarkEnd w:id="12"/>
    <w:p w14:paraId="00000056">
      <w:pPr>
        <w:pStyle w:val="style3"/>
        <w:rPr/>
      </w:pPr>
      <w:r>
        <w:rPr/>
        <w:t>4.2 Applicant Representative / Consultant</w:t>
      </w:r>
    </w:p>
    <w:p w14:paraId="0000005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Functions </w:t>
      </w:r>
      <w:r>
        <w:rPr>
          <w:rFonts w:ascii="Cambria" w:cs="Cambria" w:eastAsia="Cambria" w:hAnsi="Cambria"/>
          <w:b/>
          <w:bCs/>
          <w:i w:val="false"/>
          <w:iCs w:val="false"/>
          <w:smallCaps w:val="false"/>
          <w:color w:val="000000"/>
          <w:sz w:val="24"/>
          <w:szCs w:val="24"/>
          <w:u w:val="none"/>
          <w:shd w:val="clear" w:color="auto" w:fill="auto"/>
          <w:vertAlign w:val="baseline"/>
        </w:rPr>
        <w:t>only within an explicit authorisation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granted by the entrepreneur (Section 20). Cannot self-grant access to any enterprise. Every action performed is attributed to the representative in the audit trail, in addition to being visible to the entrepreneur.</w:t>
      </w:r>
    </w:p>
    <w:bookmarkStart w:id="13" w:name="1nbi06sjxkj" w:colFirst="0" w:colLast="0"/>
    <w:bookmarkEnd w:id="13"/>
    <w:p w14:paraId="00000058">
      <w:pPr>
        <w:pStyle w:val="style3"/>
        <w:rPr/>
      </w:pPr>
      <w:r>
        <w:rPr/>
        <w:t>4.3 Department Officer (Scrutiny Officer)</w:t>
      </w:r>
    </w:p>
    <w:p w14:paraId="0000005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view applications assigned to them; review submitted forms and documents; verify documents; raise queries; record scrutiny observations; assign/request inspection; view inspection reports; recommend approval or rejection to the Approving Authority; track SLA on their own queue; escalate; add internal notes not visible to the applicant.</w:t>
      </w:r>
    </w:p>
    <w:bookmarkStart w:id="14" w:name="vhp5bx50zwhi" w:colFirst="0" w:colLast="0"/>
    <w:bookmarkEnd w:id="14"/>
    <w:p w14:paraId="0000005A">
      <w:pPr>
        <w:pStyle w:val="style3"/>
        <w:rPr/>
      </w:pPr>
      <w:r>
        <w:rPr/>
        <w:t>4.4 Inspector</w:t>
      </w:r>
    </w:p>
    <w:p w14:paraId="0000005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view assigned inspections and the minimum project information needed to conduct one; view the inspection checklist; confirm/reschedule a visit; record observations and upload permitted evidence; complete and submit an inspection report; flag non-compliance and recommend corrective action.</w:t>
      </w:r>
    </w:p>
    <w:bookmarkStart w:id="15" w:name="mq6laihyacjq" w:colFirst="0" w:colLast="0"/>
    <w:bookmarkEnd w:id="15"/>
    <w:p w14:paraId="0000005C">
      <w:pPr>
        <w:pStyle w:val="style3"/>
        <w:rPr/>
      </w:pPr>
      <w:r>
        <w:rPr/>
        <w:t>4.5 Approving Authority</w:t>
      </w:r>
    </w:p>
    <w:p w14:paraId="0000005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review completed scrutiny and inspection outcomes; view the scrutiny officer’s recommendation; approve or reject with a mandatory recorded reason; return an application for further clarification where the department’s workflow authorises this step; digitally sign where the platform supports it; trigger issuance of the approval document for applicant download.</w:t>
      </w:r>
    </w:p>
    <w:bookmarkStart w:id="16" w:name="xplkmn9gwuqh" w:colFirst="0" w:colLast="0"/>
    <w:bookmarkEnd w:id="16"/>
    <w:p w14:paraId="0000005E">
      <w:pPr>
        <w:pStyle w:val="style3"/>
        <w:rPr/>
      </w:pPr>
      <w:r>
        <w:rPr/>
        <w:t>4.6 Department Administrator</w:t>
      </w:r>
    </w:p>
    <w:p w14:paraId="0000005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manage users within their own department; assign roles within department-permitted role types; configure department-scoped workflow parameters and SLA values where authorised; monitor department workload and pending-application backlog; view department-level analytics; maintain department-authorised master data (e.g., officer-to-queue mapping). Cannot make or override statutory approve/reject decisions.</w:t>
      </w:r>
    </w:p>
    <w:bookmarkStart w:id="17" w:name="ve37ryi251y" w:colFirst="0" w:colLast="0"/>
    <w:bookmarkEnd w:id="17"/>
    <w:p w14:paraId="00000060">
      <w:pPr>
        <w:pStyle w:val="style3"/>
        <w:rPr/>
      </w:pPr>
      <w:r>
        <w:rPr/>
        <w:t>4.7 Scheme/Incentive Officer</w:t>
      </w:r>
    </w:p>
    <w:p w14:paraId="0000006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maintain scheme information (catalogue entries, eligibility criteria, required documents — subject to publish/approve control); review incentive applications; verify supporting documents; raise queries; update application status; record decisions on scheme applications.</w:t>
      </w:r>
    </w:p>
    <w:bookmarkStart w:id="18" w:name="eh3xybsi5uaa" w:colFirst="0" w:colLast="0"/>
    <w:bookmarkEnd w:id="18"/>
    <w:p w14:paraId="00000062">
      <w:pPr>
        <w:pStyle w:val="style3"/>
        <w:rPr/>
      </w:pPr>
      <w:r>
        <w:rPr/>
        <w:t>4.8 Grievance Officer</w:t>
      </w:r>
    </w:p>
    <w:p w14:paraId="0000006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view grievances routed to their department; categorise and prioritise; assign to self or another officer; escalate unresolved grievances; respond to the applicant; record resolution; close a grievance; reopen where the applicant is dissatisfied within the allowed window.</w:t>
      </w:r>
    </w:p>
    <w:bookmarkStart w:id="19" w:name="lpgn9yvlwi99" w:colFirst="0" w:colLast="0"/>
    <w:bookmarkEnd w:id="19"/>
    <w:p w14:paraId="00000064">
      <w:pPr>
        <w:pStyle w:val="style3"/>
        <w:rPr/>
      </w:pPr>
      <w:r>
        <w:rPr/>
        <w:t>4.9 System Administrator</w:t>
      </w:r>
    </w:p>
    <w:p w14:paraId="0000006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Handles </w:t>
      </w:r>
      <w:r>
        <w:rPr>
          <w:rFonts w:ascii="Cambria" w:cs="Cambria" w:eastAsia="Cambria" w:hAnsi="Cambria"/>
          <w:b/>
          <w:bCs/>
          <w:i w:val="false"/>
          <w:iCs w:val="false"/>
          <w:smallCaps w:val="false"/>
          <w:color w:val="000000"/>
          <w:sz w:val="24"/>
          <w:szCs w:val="24"/>
          <w:u w:val="none"/>
          <w:shd w:val="clear" w:color="auto" w:fill="auto"/>
          <w:vertAlign w:val="baseline"/>
        </w:rPr>
        <w:t>technical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configuration only: user account provisioning/deactivation, technical master data, system health monitoring, integration credential management. </w:t>
      </w:r>
      <w:r>
        <w:rPr>
          <w:rFonts w:ascii="Cambria" w:cs="Cambria" w:eastAsia="Cambria" w:hAnsi="Cambria"/>
          <w:b/>
          <w:bCs/>
          <w:i w:val="false"/>
          <w:iCs w:val="false"/>
          <w:smallCaps w:val="false"/>
          <w:color w:val="000000"/>
          <w:sz w:val="24"/>
          <w:szCs w:val="24"/>
          <w:u w:val="none"/>
          <w:shd w:val="clear" w:color="auto" w:fill="auto"/>
          <w:vertAlign w:val="baseline"/>
        </w:rPr>
        <w:t>Explicitly excluded: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approving/rejecting any application, editing an officer’s scrutiny finding, or overriding a statutory decision — those remain Business/Statutory Authority actions restricted to the roles in 4.3–4.7.</w:t>
      </w:r>
    </w:p>
    <w:bookmarkStart w:id="20" w:name="i84s4ruoylkk" w:colFirst="0" w:colLast="0"/>
    <w:bookmarkEnd w:id="20"/>
    <w:p w14:paraId="00000066">
      <w:pPr>
        <w:pStyle w:val="style3"/>
        <w:rPr/>
      </w:pPr>
      <w:r>
        <w:rPr/>
        <w:t>4.10 Government Leadership / Dashboard User</w:t>
      </w:r>
    </w:p>
    <w:p w14:paraId="0000006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Read-only access to: KPIs, department performance, application volumes, delay analysis, SLA compliance, systemic bottlenecks, scheme utilisation, grievance trends, district/sector comparisons. Cannot view individual applicant PII beyond what is needed for aggregate analytics.</w:t>
      </w:r>
    </w:p>
    <w:p w14:paraId="00000068">
      <w:pPr>
        <w:pStyle w:val="style0"/>
        <w:rPr/>
      </w:pPr>
      <w:r>
        <w:rPr/>
        <w:pict>
          <v:rect id="1029" fillcolor="#a0a0a0" stroked="f" style="margin-left:0.0pt;margin-top:0.0pt;width:0.0pt;height:1.5pt;mso-wrap-distance-left:0.0pt;mso-wrap-distance-right:0.0pt;visibility:visible;" o:hr="t" o:hralign="center" o:hrstd="t">
            <v:stroke on="f"/>
            <v:fill/>
          </v:rect>
        </w:pict>
      </w:r>
    </w:p>
    <w:bookmarkStart w:id="21" w:name="fyb9oh5io3oy" w:colFirst="0" w:colLast="0"/>
    <w:bookmarkEnd w:id="21"/>
    <w:p w14:paraId="00000069">
      <w:pPr>
        <w:pStyle w:val="style2"/>
        <w:rPr/>
      </w:pPr>
      <w:r>
        <w:rPr/>
        <w:t>5. Information Visibility Matrix (Per Role)</w:t>
      </w:r>
    </w:p>
    <w:p w14:paraId="0000006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Legend: ✅ Can See/Do · 🚫 Cannot See/Do · 🔸 Partial/Conditional</w:t>
      </w:r>
    </w:p>
    <w:tbl>
      <w:tblPr>
        <w:tblStyle w:val="style4100"/>
        <w:tblW w:w="7920" w:type="dxa"/>
        <w:jc w:val="left"/>
        <w:tblInd w:w="-108" w:type="dxa"/>
        <w:tblLayout w:type="fixed"/>
        <w:tblLook w:val="0020" w:firstRow="1" w:lastRow="0" w:firstColumn="0" w:lastColumn="0" w:noHBand="0" w:noVBand="0"/>
      </w:tblPr>
      <w:tblGrid>
        <w:gridCol w:w="990"/>
        <w:gridCol w:w="990"/>
        <w:gridCol w:w="990"/>
        <w:gridCol w:w="990"/>
        <w:gridCol w:w="990"/>
        <w:gridCol w:w="990"/>
        <w:gridCol w:w="990"/>
        <w:gridCol w:w="990"/>
      </w:tblGrid>
      <w:tr w14:paraId="F1A0C86C">
        <w:trPr>
          <w:cantSplit w:val="false"/>
          <w:tblHeader/>
          <w:jc w:val="left"/>
        </w:trPr>
        <w:tc>
          <w:tcPr>
            <w:tcW w:w="0" w:type="auto"/>
            <w:tcBorders/>
          </w:tcPr>
          <w:p w14:paraId="000000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Information / Action</w:t>
            </w:r>
          </w:p>
        </w:tc>
        <w:tc>
          <w:tcPr>
            <w:tcW w:w="0" w:type="auto"/>
            <w:tcBorders/>
          </w:tcPr>
          <w:p w14:paraId="000000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0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Representative (authorised scope)</w:t>
            </w:r>
          </w:p>
        </w:tc>
        <w:tc>
          <w:tcPr>
            <w:tcW w:w="0" w:type="auto"/>
            <w:tcBorders/>
          </w:tcPr>
          <w:p w14:paraId="000000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0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Inspector</w:t>
            </w:r>
          </w:p>
        </w:tc>
        <w:tc>
          <w:tcPr>
            <w:tcW w:w="0" w:type="auto"/>
            <w:tcBorders/>
          </w:tcPr>
          <w:p w14:paraId="000000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Approving Authority</w:t>
            </w:r>
          </w:p>
        </w:tc>
        <w:tc>
          <w:tcPr>
            <w:tcW w:w="0" w:type="auto"/>
            <w:tcBorders/>
          </w:tcPr>
          <w:p w14:paraId="000000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Dept Admin</w:t>
            </w:r>
          </w:p>
        </w:tc>
        <w:tc>
          <w:tcPr>
            <w:tcW w:w="0" w:type="auto"/>
            <w:tcBorders/>
          </w:tcPr>
          <w:p w14:paraId="000000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Leadership</w:t>
            </w:r>
          </w:p>
        </w:tc>
      </w:tr>
      <w:tr w14:paraId="F7F049DF">
        <w:tblPrEx/>
        <w:trPr>
          <w:cantSplit w:val="false"/>
          <w:tblHeader w:val="false"/>
          <w:jc w:val="left"/>
        </w:trPr>
        <w:tc>
          <w:tcPr>
            <w:tcW w:w="0" w:type="auto"/>
            <w:tcBorders/>
          </w:tcPr>
          <w:p w14:paraId="000000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 application status &amp; stage</w:t>
            </w:r>
          </w:p>
        </w:tc>
        <w:tc>
          <w:tcPr>
            <w:tcW w:w="0" w:type="auto"/>
            <w:tcBorders/>
          </w:tcPr>
          <w:p w14:paraId="000000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(delegated scope only)</w:t>
            </w:r>
          </w:p>
        </w:tc>
        <w:tc>
          <w:tcPr>
            <w:tcW w:w="0" w:type="auto"/>
            <w:tcBorders/>
          </w:tcPr>
          <w:p w14:paraId="000000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(assigned)</w:t>
            </w:r>
          </w:p>
        </w:tc>
        <w:tc>
          <w:tcPr>
            <w:tcW w:w="0" w:type="auto"/>
            <w:tcBorders/>
          </w:tcPr>
          <w:p w14:paraId="000000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(assigned)</w:t>
            </w:r>
          </w:p>
        </w:tc>
        <w:tc>
          <w:tcPr>
            <w:tcW w:w="0" w:type="auto"/>
            <w:tcBorders/>
          </w:tcPr>
          <w:p w14:paraId="000000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(queue)</w:t>
            </w:r>
          </w:p>
        </w:tc>
        <w:tc>
          <w:tcPr>
            <w:tcW w:w="0" w:type="auto"/>
            <w:tcBorders/>
          </w:tcPr>
          <w:p w14:paraId="000000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(dept-wide)</w:t>
            </w:r>
          </w:p>
        </w:tc>
        <w:tc>
          <w:tcPr>
            <w:tcW w:w="0" w:type="auto"/>
            <w:tcBorders/>
          </w:tcPr>
          <w:p w14:paraId="000000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(individual) / ✅ (aggregate)</w:t>
            </w:r>
          </w:p>
        </w:tc>
      </w:tr>
      <w:tr w14:paraId="167452CA">
        <w:tblPrEx/>
        <w:trPr>
          <w:cantSplit w:val="false"/>
          <w:tblHeader w:val="false"/>
          <w:jc w:val="left"/>
        </w:trPr>
        <w:tc>
          <w:tcPr>
            <w:tcW w:w="0" w:type="auto"/>
            <w:tcBorders/>
          </w:tcPr>
          <w:p w14:paraId="000000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Officer’s internal scrutiny notes</w:t>
            </w:r>
          </w:p>
        </w:tc>
        <w:tc>
          <w:tcPr>
            <w:tcW w:w="0" w:type="auto"/>
            <w:tcBorders/>
          </w:tcPr>
          <w:p w14:paraId="000000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(own/dept)</w:t>
            </w:r>
          </w:p>
        </w:tc>
        <w:tc>
          <w:tcPr>
            <w:tcW w:w="0" w:type="auto"/>
            <w:tcBorders/>
          </w:tcPr>
          <w:p w14:paraId="000000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CF020168">
        <w:tblPrEx/>
        <w:trPr>
          <w:cantSplit w:val="false"/>
          <w:tblHeader w:val="false"/>
          <w:jc w:val="left"/>
        </w:trPr>
        <w:tc>
          <w:tcPr>
            <w:tcW w:w="0" w:type="auto"/>
            <w:tcBorders/>
          </w:tcPr>
          <w:p w14:paraId="000000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Internal risk-analysis details (restricted)</w:t>
            </w:r>
          </w:p>
        </w:tc>
        <w:tc>
          <w:tcPr>
            <w:tcW w:w="0" w:type="auto"/>
            <w:tcBorders/>
          </w:tcPr>
          <w:p w14:paraId="000000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(summary only)</w:t>
            </w:r>
          </w:p>
        </w:tc>
        <w:tc>
          <w:tcPr>
            <w:tcW w:w="0" w:type="auto"/>
            <w:tcBorders/>
          </w:tcPr>
          <w:p w14:paraId="000000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 trend only)</w:t>
            </w:r>
          </w:p>
        </w:tc>
      </w:tr>
      <w:tr w14:paraId="093C7EF4">
        <w:tblPrEx/>
        <w:trPr>
          <w:cantSplit w:val="false"/>
          <w:tblHeader w:val="false"/>
          <w:jc w:val="left"/>
        </w:trPr>
        <w:tc>
          <w:tcPr>
            <w:tcW w:w="0" w:type="auto"/>
            <w:tcBorders/>
          </w:tcPr>
          <w:p w14:paraId="000000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Inter-department coordination notes</w:t>
            </w:r>
          </w:p>
        </w:tc>
        <w:tc>
          <w:tcPr>
            <w:tcW w:w="0" w:type="auto"/>
            <w:tcBorders/>
          </w:tcPr>
          <w:p w14:paraId="000000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 dept’s side)</w:t>
            </w:r>
          </w:p>
        </w:tc>
        <w:tc>
          <w:tcPr>
            <w:tcW w:w="0" w:type="auto"/>
            <w:tcBorders/>
          </w:tcPr>
          <w:p w14:paraId="000000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046A887C">
        <w:tblPrEx/>
        <w:trPr>
          <w:cantSplit w:val="false"/>
          <w:tblHeader w:val="false"/>
          <w:jc w:val="left"/>
        </w:trPr>
        <w:tc>
          <w:tcPr>
            <w:tcW w:w="0" w:type="auto"/>
            <w:tcBorders/>
          </w:tcPr>
          <w:p w14:paraId="000000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Internal administrative metadata (assignment logic, workload)</w:t>
            </w:r>
          </w:p>
        </w:tc>
        <w:tc>
          <w:tcPr>
            <w:tcW w:w="0" w:type="auto"/>
            <w:tcBorders/>
          </w:tcPr>
          <w:p w14:paraId="000000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w:t>
            </w:r>
          </w:p>
        </w:tc>
      </w:tr>
      <w:tr w14:paraId="49E6FA69">
        <w:tblPrEx/>
        <w:trPr>
          <w:cantSplit w:val="false"/>
          <w:tblHeader w:val="false"/>
          <w:jc w:val="left"/>
        </w:trPr>
        <w:tc>
          <w:tcPr>
            <w:tcW w:w="0" w:type="auto"/>
            <w:tcBorders/>
          </w:tcPr>
          <w:p w14:paraId="000000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 raised to applicant</w:t>
            </w:r>
          </w:p>
        </w:tc>
        <w:tc>
          <w:tcPr>
            <w:tcW w:w="0" w:type="auto"/>
            <w:tcBorders/>
          </w:tcPr>
          <w:p w14:paraId="000000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w:t>
            </w:r>
          </w:p>
        </w:tc>
        <w:tc>
          <w:tcPr>
            <w:tcW w:w="0" w:type="auto"/>
            <w:tcBorders/>
          </w:tcPr>
          <w:p w14:paraId="000000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528D8CF9">
        <w:tblPrEx/>
        <w:trPr>
          <w:cantSplit w:val="false"/>
          <w:tblHeader w:val="false"/>
          <w:jc w:val="left"/>
        </w:trPr>
        <w:tc>
          <w:tcPr>
            <w:tcW w:w="0" w:type="auto"/>
            <w:tcBorders/>
          </w:tcPr>
          <w:p w14:paraId="000000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schedule &amp; outcome</w:t>
            </w:r>
          </w:p>
        </w:tc>
        <w:tc>
          <w:tcPr>
            <w:tcW w:w="0" w:type="auto"/>
            <w:tcBorders/>
          </w:tcPr>
          <w:p w14:paraId="000000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w:t>
            </w:r>
          </w:p>
        </w:tc>
        <w:tc>
          <w:tcPr>
            <w:tcW w:w="0" w:type="auto"/>
            <w:tcBorders/>
          </w:tcPr>
          <w:p w14:paraId="000000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w:t>
            </w:r>
          </w:p>
        </w:tc>
        <w:tc>
          <w:tcPr>
            <w:tcW w:w="0" w:type="auto"/>
            <w:tcBorders/>
          </w:tcPr>
          <w:p w14:paraId="000000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w:t>
            </w:r>
          </w:p>
        </w:tc>
      </w:tr>
      <w:tr w14:paraId="B4B0C3FB">
        <w:tblPrEx/>
        <w:trPr>
          <w:cantSplit w:val="false"/>
          <w:tblHeader w:val="false"/>
          <w:jc w:val="left"/>
        </w:trPr>
        <w:tc>
          <w:tcPr>
            <w:tcW w:w="0" w:type="auto"/>
            <w:tcBorders/>
          </w:tcPr>
          <w:p w14:paraId="000000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Approval/rejection decision &amp; reason</w:t>
            </w:r>
          </w:p>
        </w:tc>
        <w:tc>
          <w:tcPr>
            <w:tcW w:w="0" w:type="auto"/>
            <w:tcBorders/>
          </w:tcPr>
          <w:p w14:paraId="000000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(own)</w:t>
            </w:r>
          </w:p>
        </w:tc>
        <w:tc>
          <w:tcPr>
            <w:tcW w:w="0" w:type="auto"/>
            <w:tcBorders/>
          </w:tcPr>
          <w:p w14:paraId="000000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w:t>
            </w:r>
          </w:p>
        </w:tc>
      </w:tr>
      <w:tr w14:paraId="E1EF442C">
        <w:tblPrEx/>
        <w:trPr>
          <w:cantSplit w:val="false"/>
          <w:tblHeader w:val="false"/>
          <w:jc w:val="left"/>
        </w:trPr>
        <w:tc>
          <w:tcPr>
            <w:tcW w:w="0" w:type="auto"/>
            <w:tcBorders/>
          </w:tcPr>
          <w:p w14:paraId="000000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Another department’s unrelated application for the same project</w:t>
            </w:r>
          </w:p>
        </w:tc>
        <w:tc>
          <w:tcPr>
            <w:tcW w:w="0" w:type="auto"/>
            <w:tcBorders/>
          </w:tcPr>
          <w:p w14:paraId="000000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(unless own)</w:t>
            </w:r>
          </w:p>
        </w:tc>
        <w:tc>
          <w:tcPr>
            <w:tcW w:w="0" w:type="auto"/>
            <w:tcBorders/>
          </w:tcPr>
          <w:p w14:paraId="000000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(other dept)</w:t>
            </w:r>
          </w:p>
        </w:tc>
        <w:tc>
          <w:tcPr>
            <w:tcW w:w="0" w:type="auto"/>
            <w:tcBorders/>
          </w:tcPr>
          <w:p w14:paraId="000000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 only)</w:t>
            </w:r>
          </w:p>
        </w:tc>
      </w:tr>
      <w:tr w14:paraId="0B2813FF">
        <w:tblPrEx/>
        <w:trPr>
          <w:cantSplit w:val="false"/>
          <w:tblHeader w:val="false"/>
          <w:jc w:val="left"/>
        </w:trPr>
        <w:tc>
          <w:tcPr>
            <w:tcW w:w="0" w:type="auto"/>
            <w:tcBorders/>
          </w:tcPr>
          <w:p w14:paraId="000000B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 uploaded documents</w:t>
            </w:r>
          </w:p>
        </w:tc>
        <w:tc>
          <w:tcPr>
            <w:tcW w:w="0" w:type="auto"/>
            <w:tcBorders/>
          </w:tcPr>
          <w:p w14:paraId="000000B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(relevant)</w:t>
            </w:r>
          </w:p>
        </w:tc>
        <w:tc>
          <w:tcPr>
            <w:tcW w:w="0" w:type="auto"/>
            <w:tcBorders/>
          </w:tcPr>
          <w:p w14:paraId="000000B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(relevant)</w:t>
            </w:r>
          </w:p>
        </w:tc>
        <w:tc>
          <w:tcPr>
            <w:tcW w:w="0" w:type="auto"/>
            <w:tcBorders/>
          </w:tcPr>
          <w:p w14:paraId="000000C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C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CC1E8591">
        <w:tblPrEx/>
        <w:trPr>
          <w:cantSplit w:val="false"/>
          <w:tblHeader w:val="false"/>
          <w:jc w:val="left"/>
        </w:trPr>
        <w:tc>
          <w:tcPr>
            <w:tcW w:w="0" w:type="auto"/>
            <w:tcBorders/>
          </w:tcPr>
          <w:p w14:paraId="000000C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Editing submitted application data</w:t>
            </w:r>
          </w:p>
        </w:tc>
        <w:tc>
          <w:tcPr>
            <w:tcW w:w="0" w:type="auto"/>
            <w:tcBorders/>
          </w:tcPr>
          <w:p w14:paraId="000000C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(only via controlled query-response)</w:t>
            </w:r>
          </w:p>
        </w:tc>
        <w:tc>
          <w:tcPr>
            <w:tcW w:w="0" w:type="auto"/>
            <w:tcBorders/>
          </w:tcPr>
          <w:p w14:paraId="000000C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(can request correction, not edit directly)</w:t>
            </w:r>
          </w:p>
        </w:tc>
        <w:tc>
          <w:tcPr>
            <w:tcW w:w="0" w:type="auto"/>
            <w:tcBorders/>
          </w:tcPr>
          <w:p w14:paraId="000000C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43A04DED">
        <w:tblPrEx/>
        <w:trPr>
          <w:cantSplit w:val="false"/>
          <w:tblHeader w:val="false"/>
          <w:jc w:val="left"/>
        </w:trPr>
        <w:tc>
          <w:tcPr>
            <w:tcW w:w="0" w:type="auto"/>
            <w:tcBorders/>
          </w:tcPr>
          <w:p w14:paraId="000000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Approve/Reject action</w:t>
            </w:r>
          </w:p>
        </w:tc>
        <w:tc>
          <w:tcPr>
            <w:tcW w:w="0" w:type="auto"/>
            <w:tcBorders/>
          </w:tcPr>
          <w:p w14:paraId="000000C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(recommend only)</w:t>
            </w:r>
          </w:p>
        </w:tc>
        <w:tc>
          <w:tcPr>
            <w:tcW w:w="0" w:type="auto"/>
            <w:tcBorders/>
          </w:tcPr>
          <w:p w14:paraId="000000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B226603E">
        <w:tblPrEx/>
        <w:trPr>
          <w:cantSplit w:val="false"/>
          <w:tblHeader w:val="false"/>
          <w:jc w:val="left"/>
        </w:trPr>
        <w:tc>
          <w:tcPr>
            <w:tcW w:w="0" w:type="auto"/>
            <w:tcBorders/>
          </w:tcPr>
          <w:p w14:paraId="000000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countdown for own queue</w:t>
            </w:r>
          </w:p>
        </w:tc>
        <w:tc>
          <w:tcPr>
            <w:tcW w:w="0" w:type="auto"/>
            <w:tcBorders/>
          </w:tcPr>
          <w:p w14:paraId="000000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(sees own application’s timeline, not officer workload)</w:t>
            </w:r>
          </w:p>
        </w:tc>
        <w:tc>
          <w:tcPr>
            <w:tcW w:w="0" w:type="auto"/>
            <w:tcBorders/>
          </w:tcPr>
          <w:p w14:paraId="000000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0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(dept)</w:t>
            </w:r>
          </w:p>
        </w:tc>
        <w:tc>
          <w:tcPr>
            <w:tcW w:w="0" w:type="auto"/>
            <w:tcBorders/>
          </w:tcPr>
          <w:p w14:paraId="000000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(aggregate)</w:t>
            </w:r>
          </w:p>
        </w:tc>
      </w:tr>
    </w:tbl>
    <w:p w14:paraId="000000D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Principle: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entrepreneur sees everything about the </w:t>
      </w:r>
      <w:r>
        <w:rPr>
          <w:rFonts w:ascii="Cambria" w:cs="Cambria" w:eastAsia="Cambria" w:hAnsi="Cambria"/>
          <w:b w:val="false"/>
          <w:bCs w:val="false"/>
          <w:i/>
          <w:iCs/>
          <w:smallCaps w:val="false"/>
          <w:color w:val="000000"/>
          <w:sz w:val="24"/>
          <w:szCs w:val="24"/>
          <w:u w:val="none"/>
          <w:shd w:val="clear" w:color="auto" w:fill="auto"/>
          <w:vertAlign w:val="baseline"/>
        </w:rPr>
        <w:t>outcome and 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of their own matters, never the </w:t>
      </w:r>
      <w:r>
        <w:rPr>
          <w:rFonts w:ascii="Cambria" w:cs="Cambria" w:eastAsia="Cambria" w:hAnsi="Cambria"/>
          <w:b w:val="false"/>
          <w:bCs w:val="false"/>
          <w:i/>
          <w:iCs/>
          <w:smallCaps w:val="false"/>
          <w:color w:val="000000"/>
          <w:sz w:val="24"/>
          <w:szCs w:val="24"/>
          <w:u w:val="none"/>
          <w:shd w:val="clear" w:color="auto" w:fill="auto"/>
          <w:vertAlign w:val="baseline"/>
        </w:rPr>
        <w:t>internal deliberation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behind them. A department sees everything needed to process what is routed to it, never another department’s unrelated internal material for the same project unless a coordination note has been explicitly shared (companion TRD, Section 9).</w:t>
      </w:r>
    </w:p>
    <w:p w14:paraId="000000DC">
      <w:pPr>
        <w:pStyle w:val="style0"/>
        <w:rPr/>
      </w:pPr>
      <w:r>
        <w:rPr/>
        <w:pict>
          <v:rect id="1030" fillcolor="#a0a0a0" stroked="f" style="margin-left:0.0pt;margin-top:0.0pt;width:0.0pt;height:1.5pt;mso-wrap-distance-left:0.0pt;mso-wrap-distance-right:0.0pt;visibility:visible;" o:hr="t" o:hralign="center" o:hrstd="t">
            <v:stroke on="f"/>
            <v:fill/>
          </v:rect>
        </w:pict>
      </w:r>
    </w:p>
    <w:bookmarkStart w:id="22" w:name="3j8zh1ptebeo" w:colFirst="0" w:colLast="0"/>
    <w:bookmarkEnd w:id="22"/>
    <w:p w14:paraId="000000DD">
      <w:pPr>
        <w:pStyle w:val="style2"/>
        <w:rPr/>
      </w:pPr>
      <w:r>
        <w:rPr/>
        <w:t>6. Portal Information Architecture — Public Website</w:t>
      </w:r>
    </w:p>
    <w:p w14:paraId="000000D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16: transparency and ease of doing business)</w:t>
      </w:r>
    </w:p>
    <w:tbl>
      <w:tblPr>
        <w:tblStyle w:val="style4101"/>
        <w:tblW w:w="7920" w:type="dxa"/>
        <w:jc w:val="left"/>
        <w:tblInd w:w="-108" w:type="dxa"/>
        <w:tblLayout w:type="fixed"/>
        <w:tblLook w:val="0020" w:firstRow="1" w:lastRow="0" w:firstColumn="0" w:lastColumn="0" w:noHBand="0" w:noVBand="0"/>
      </w:tblPr>
      <w:tblGrid>
        <w:gridCol w:w="2640"/>
        <w:gridCol w:w="2640"/>
        <w:gridCol w:w="2640"/>
      </w:tblGrid>
      <w:tr w14:paraId="C2BFF799">
        <w:trPr>
          <w:cantSplit w:val="false"/>
          <w:tblHeader/>
          <w:jc w:val="left"/>
        </w:trPr>
        <w:tc>
          <w:tcPr>
            <w:tcW w:w="0" w:type="auto"/>
            <w:tcBorders/>
          </w:tcPr>
          <w:p w14:paraId="000000D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Section</w:t>
            </w:r>
          </w:p>
        </w:tc>
        <w:tc>
          <w:tcPr>
            <w:tcW w:w="0" w:type="auto"/>
            <w:tcBorders/>
          </w:tcPr>
          <w:p w14:paraId="000000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0E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Notes</w:t>
            </w:r>
          </w:p>
        </w:tc>
      </w:tr>
      <w:tr w14:paraId="17B656CF">
        <w:tblPrEx/>
        <w:trPr>
          <w:cantSplit w:val="false"/>
          <w:tblHeader w:val="false"/>
          <w:jc w:val="left"/>
        </w:trPr>
        <w:tc>
          <w:tcPr>
            <w:tcW w:w="0" w:type="auto"/>
            <w:tcBorders/>
          </w:tcPr>
          <w:p w14:paraId="000000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Home</w:t>
            </w:r>
          </w:p>
        </w:tc>
        <w:tc>
          <w:tcPr>
            <w:tcW w:w="0" w:type="auto"/>
            <w:tcBorders/>
          </w:tcPr>
          <w:p w14:paraId="000000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Orients a first-time visitor; states what the platform does in plain language</w:t>
            </w:r>
          </w:p>
        </w:tc>
        <w:tc>
          <w:tcPr>
            <w:tcW w:w="0" w:type="auto"/>
            <w:tcBorders/>
          </w:tcPr>
          <w:p w14:paraId="000000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login required</w:t>
            </w:r>
          </w:p>
        </w:tc>
      </w:tr>
      <w:tr w14:paraId="064C6DB8">
        <w:tblPrEx/>
        <w:trPr>
          <w:cantSplit w:val="false"/>
          <w:tblHeader w:val="false"/>
          <w:jc w:val="left"/>
        </w:trPr>
        <w:tc>
          <w:tcPr>
            <w:tcW w:w="0" w:type="auto"/>
            <w:tcBorders/>
          </w:tcPr>
          <w:p w14:paraId="000000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About the Platform</w:t>
            </w:r>
          </w:p>
        </w:tc>
        <w:tc>
          <w:tcPr>
            <w:tcW w:w="0" w:type="auto"/>
            <w:tcBorders/>
          </w:tcPr>
          <w:p w14:paraId="000000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Explains MahaUdyam One’s role and the departments it covers</w:t>
            </w:r>
          </w:p>
        </w:tc>
        <w:tc>
          <w:tcPr>
            <w:tcW w:w="0" w:type="auto"/>
            <w:tcBorders/>
          </w:tcPr>
          <w:p w14:paraId="000000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Builds trust/credibility</w:t>
            </w:r>
          </w:p>
        </w:tc>
      </w:tr>
      <w:tr w14:paraId="1E6224D1">
        <w:tblPrEx/>
        <w:trPr>
          <w:cantSplit w:val="false"/>
          <w:tblHeader w:val="false"/>
          <w:jc w:val="left"/>
        </w:trPr>
        <w:tc>
          <w:tcPr>
            <w:tcW w:w="0" w:type="auto"/>
            <w:tcBorders/>
          </w:tcPr>
          <w:p w14:paraId="000000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Industrial Approvals</w:t>
            </w:r>
          </w:p>
        </w:tc>
        <w:tc>
          <w:tcPr>
            <w:tcW w:w="0" w:type="auto"/>
            <w:tcBorders/>
          </w:tcPr>
          <w:p w14:paraId="000000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Browsable, read-only catalogue of approval types and the authorities responsible</w:t>
            </w:r>
          </w:p>
        </w:tc>
        <w:tc>
          <w:tcPr>
            <w:tcW w:w="0" w:type="auto"/>
            <w:tcBorders/>
          </w:tcPr>
          <w:p w14:paraId="000000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Reuses the same ApprovalType data the Discovery Engine uses — not a duplicate content set</w:t>
            </w:r>
          </w:p>
        </w:tc>
      </w:tr>
      <w:tr w14:paraId="99ACE42C">
        <w:tblPrEx/>
        <w:trPr>
          <w:cantSplit w:val="false"/>
          <w:tblHeader w:val="false"/>
          <w:jc w:val="left"/>
        </w:trPr>
        <w:tc>
          <w:tcPr>
            <w:tcW w:w="0" w:type="auto"/>
            <w:tcBorders/>
          </w:tcPr>
          <w:p w14:paraId="000000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How It Works</w:t>
            </w:r>
          </w:p>
        </w:tc>
        <w:tc>
          <w:tcPr>
            <w:tcW w:w="0" w:type="auto"/>
            <w:tcBorders/>
          </w:tcPr>
          <w:p w14:paraId="000000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Plain-language walkthrough of the applicant journey (Section 9)</w:t>
            </w:r>
          </w:p>
        </w:tc>
        <w:tc>
          <w:tcPr>
            <w:tcW w:w="0" w:type="auto"/>
            <w:tcBorders/>
          </w:tcPr>
          <w:p w14:paraId="000000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tc>
      </w:tr>
      <w:tr w14:paraId="C071FD68">
        <w:tblPrEx/>
        <w:trPr>
          <w:cantSplit w:val="false"/>
          <w:tblHeader w:val="false"/>
          <w:jc w:val="left"/>
        </w:trPr>
        <w:tc>
          <w:tcPr>
            <w:tcW w:w="0" w:type="auto"/>
            <w:tcBorders/>
          </w:tcPr>
          <w:p w14:paraId="000000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 (preview)</w:t>
            </w:r>
          </w:p>
        </w:tc>
        <w:tc>
          <w:tcPr>
            <w:tcW w:w="0" w:type="auto"/>
            <w:tcBorders/>
          </w:tcPr>
          <w:p w14:paraId="000000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public, no-login </w:t>
            </w:r>
            <w:r>
              <w:rPr>
                <w:rFonts w:ascii="Cambria" w:cs="Cambria" w:eastAsia="Cambria" w:hAnsi="Cambria"/>
                <w:b/>
                <w:bCs/>
                <w:i w:val="false"/>
                <w:iCs w:val="false"/>
                <w:smallCaps w:val="false"/>
                <w:color w:val="000000"/>
                <w:sz w:val="24"/>
                <w:szCs w:val="24"/>
                <w:u w:val="none"/>
                <w:shd w:val="clear" w:color="auto" w:fill="auto"/>
                <w:vertAlign w:val="baseline"/>
              </w:rPr>
              <w:t>preview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of the discovery questionnaire so a prospective applicant can explore before registering</w:t>
            </w:r>
          </w:p>
        </w:tc>
        <w:tc>
          <w:tcPr>
            <w:tcW w:w="0" w:type="auto"/>
            <w:tcBorders/>
          </w:tcPr>
          <w:p w14:paraId="000000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Results shown are illustrative; full checklist requires login/profile</w:t>
            </w:r>
          </w:p>
        </w:tc>
      </w:tr>
      <w:tr w14:paraId="240B8E73">
        <w:tblPrEx/>
        <w:trPr>
          <w:cantSplit w:val="false"/>
          <w:tblHeader w:val="false"/>
          <w:jc w:val="left"/>
        </w:trPr>
        <w:tc>
          <w:tcPr>
            <w:tcW w:w="0" w:type="auto"/>
            <w:tcBorders/>
          </w:tcPr>
          <w:p w14:paraId="000000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Schemes</w:t>
            </w:r>
          </w:p>
        </w:tc>
        <w:tc>
          <w:tcPr>
            <w:tcW w:w="0" w:type="auto"/>
            <w:tcBorders/>
          </w:tcPr>
          <w:p w14:paraId="000000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 browsable scheme catalogue (Section 29)</w:t>
            </w:r>
          </w:p>
        </w:tc>
        <w:tc>
          <w:tcPr>
            <w:tcW w:w="0" w:type="auto"/>
            <w:tcBorders/>
          </w:tcPr>
          <w:p w14:paraId="000000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login required to browse; login required to apply</w:t>
            </w:r>
          </w:p>
        </w:tc>
      </w:tr>
      <w:tr w14:paraId="E11539C9">
        <w:tblPrEx/>
        <w:trPr>
          <w:cantSplit w:val="false"/>
          <w:tblHeader w:val="false"/>
          <w:jc w:val="left"/>
        </w:trPr>
        <w:tc>
          <w:tcPr>
            <w:tcW w:w="0" w:type="auto"/>
            <w:tcBorders/>
          </w:tcPr>
          <w:p w14:paraId="000000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Help</w:t>
            </w:r>
          </w:p>
        </w:tc>
        <w:tc>
          <w:tcPr>
            <w:tcW w:w="0" w:type="auto"/>
            <w:tcBorders/>
          </w:tcPr>
          <w:p w14:paraId="000000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FAQs, guides (Section 32)</w:t>
            </w:r>
          </w:p>
        </w:tc>
        <w:tc>
          <w:tcPr>
            <w:tcW w:w="0" w:type="auto"/>
            <w:tcBorders/>
          </w:tcPr>
          <w:p w14:paraId="000000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tc>
      </w:tr>
      <w:tr w14:paraId="D3CB7130">
        <w:tblPrEx/>
        <w:trPr>
          <w:cantSplit w:val="false"/>
          <w:tblHeader w:val="false"/>
          <w:jc w:val="left"/>
        </w:trPr>
        <w:tc>
          <w:tcPr>
            <w:tcW w:w="0" w:type="auto"/>
            <w:tcBorders/>
          </w:tcPr>
          <w:p w14:paraId="000000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Contact/Support</w:t>
            </w:r>
          </w:p>
        </w:tc>
        <w:tc>
          <w:tcPr>
            <w:tcW w:w="0" w:type="auto"/>
            <w:tcBorders/>
          </w:tcPr>
          <w:p w14:paraId="000000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helpdesk contact information</w:t>
            </w:r>
          </w:p>
        </w:tc>
        <w:tc>
          <w:tcPr>
            <w:tcW w:w="0" w:type="auto"/>
            <w:tcBorders/>
          </w:tcPr>
          <w:p w14:paraId="000000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tc>
      </w:tr>
      <w:tr w14:paraId="C45504A0">
        <w:tblPrEx/>
        <w:trPr>
          <w:cantSplit w:val="false"/>
          <w:tblHeader w:val="false"/>
          <w:jc w:val="left"/>
        </w:trPr>
        <w:tc>
          <w:tcPr>
            <w:tcW w:w="0" w:type="auto"/>
            <w:tcBorders/>
          </w:tcPr>
          <w:p w14:paraId="000000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Important Notices</w:t>
            </w:r>
          </w:p>
        </w:tc>
        <w:tc>
          <w:tcPr>
            <w:tcW w:w="0" w:type="auto"/>
            <w:tcBorders/>
          </w:tcPr>
          <w:p w14:paraId="000000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Circulars/regulatory updates relevant to applicants (read-only view of Regulatory Knowledge content)</w:t>
            </w:r>
          </w:p>
        </w:tc>
        <w:tc>
          <w:tcPr>
            <w:tcW w:w="0" w:type="auto"/>
            <w:tcBorders/>
          </w:tcPr>
          <w:p w14:paraId="000000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tc>
      </w:tr>
      <w:tr w14:paraId="5BE7280A">
        <w:tblPrEx/>
        <w:trPr>
          <w:cantSplit w:val="false"/>
          <w:tblHeader w:val="false"/>
          <w:jc w:val="left"/>
        </w:trPr>
        <w:tc>
          <w:tcPr>
            <w:tcW w:w="0" w:type="auto"/>
            <w:tcBorders/>
          </w:tcPr>
          <w:p w14:paraId="000000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Login/Register</w:t>
            </w:r>
          </w:p>
        </w:tc>
        <w:tc>
          <w:tcPr>
            <w:tcW w:w="0" w:type="auto"/>
            <w:tcBorders/>
          </w:tcPr>
          <w:p w14:paraId="000000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Entry point into the Applicant Portal</w:t>
            </w:r>
          </w:p>
        </w:tc>
        <w:tc>
          <w:tcPr>
            <w:tcW w:w="0" w:type="auto"/>
            <w:tcBorders/>
          </w:tcPr>
          <w:p w14:paraId="000000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tc>
      </w:tr>
    </w:tbl>
    <w:p w14:paraId="0000010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information is duplicated between the public Industrial Approvals catalogue and the logged-in checklist — the public page shows generic approval information; the logged-in checklist shows the applicant’s specific, personalised subset with status.</w:t>
      </w:r>
    </w:p>
    <w:p w14:paraId="00000101">
      <w:pPr>
        <w:pStyle w:val="style0"/>
        <w:rPr/>
      </w:pPr>
      <w:r>
        <w:rPr/>
        <w:pict>
          <v:rect id="1031" fillcolor="#a0a0a0" stroked="f" style="margin-left:0.0pt;margin-top:0.0pt;width:0.0pt;height:1.5pt;mso-wrap-distance-left:0.0pt;mso-wrap-distance-right:0.0pt;visibility:visible;" o:hr="t" o:hralign="center" o:hrstd="t">
            <v:stroke on="f"/>
            <v:fill/>
          </v:rect>
        </w:pict>
      </w:r>
    </w:p>
    <w:bookmarkStart w:id="23" w:name="l8bl9sxpjrub" w:colFirst="0" w:colLast="0"/>
    <w:bookmarkEnd w:id="23"/>
    <w:p w14:paraId="00000102">
      <w:pPr>
        <w:pStyle w:val="style2"/>
        <w:rPr/>
      </w:pPr>
      <w:r>
        <w:rPr/>
        <w:t>7. Applicant Portal Navigation</w:t>
      </w:r>
    </w:p>
    <w:p w14:paraId="00000103">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Dashboard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My Profile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My Enterprises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 My Projects (nested under each enterprise)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Approval Checklist          (per project)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Applications                (all applications across all projects)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Inspections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Compliance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Renewals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Schemes &amp; Incentives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Grievances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Notifications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Documents                   (central document vault, shared across projects)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Help &amp; Support</w:t>
      </w:r>
    </w:p>
    <w:p w14:paraId="0000010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Necessity check for each item:</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ambria" w:cs="Cambria" w:eastAsia="Cambria" w:hAnsi="Cambria"/>
          <w:b w:val="false"/>
          <w:bCs w:val="false"/>
          <w:i/>
          <w:iCs/>
          <w:smallCaps w:val="false"/>
          <w:color w:val="000000"/>
          <w:sz w:val="24"/>
          <w:szCs w:val="24"/>
          <w:u w:val="none"/>
          <w:shd w:val="clear" w:color="auto" w:fill="auto"/>
          <w:vertAlign w:val="baseline"/>
        </w:rPr>
        <w:t>My Enterprises → My Projects nesting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necessary because a single enterprise commonly runs multiple projects with different approval needs (explicit in the problem statement’s “project size/stage” variation). - A single central </w:t>
      </w:r>
      <w:r>
        <w:rPr>
          <w:rFonts w:ascii="Cambria" w:cs="Cambria" w:eastAsia="Cambria" w:hAnsi="Cambria"/>
          <w:b/>
          <w:bCs/>
          <w:i w:val="false"/>
          <w:iCs w:val="false"/>
          <w:smallCaps w:val="false"/>
          <w:color w:val="000000"/>
          <w:sz w:val="24"/>
          <w:szCs w:val="24"/>
          <w:u w:val="none"/>
          <w:shd w:val="clear" w:color="auto" w:fill="auto"/>
          <w:vertAlign w:val="baseline"/>
        </w:rPr>
        <w:t>Documents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vault (rather than documents scattered per-application) is necessary to support Document Reuse (Section 15) — an applicant should not have to hunt through past applications to find a verified document. - </w:t>
      </w:r>
      <w:r>
        <w:rPr>
          <w:rFonts w:ascii="Cambria" w:cs="Cambria" w:eastAsia="Cambria" w:hAnsi="Cambria"/>
          <w:b/>
          <w:bCs/>
          <w:i w:val="false"/>
          <w:iCs w:val="false"/>
          <w:smallCaps w:val="false"/>
          <w:color w:val="000000"/>
          <w:sz w:val="24"/>
          <w:szCs w:val="24"/>
          <w:u w:val="none"/>
          <w:shd w:val="clear" w:color="auto" w:fill="auto"/>
          <w:vertAlign w:val="baseline"/>
        </w:rPr>
        <w:t>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kept separate from </w:t>
      </w:r>
      <w:r>
        <w:rPr>
          <w:rFonts w:ascii="Cambria" w:cs="Cambria" w:eastAsia="Cambria" w:hAnsi="Cambria"/>
          <w:b/>
          <w:bCs/>
          <w:i w:val="false"/>
          <w:iCs w:val="false"/>
          <w:smallCaps w:val="false"/>
          <w:color w:val="000000"/>
          <w:sz w:val="24"/>
          <w:szCs w:val="24"/>
          <w:u w:val="none"/>
          <w:shd w:val="clear" w:color="auto" w:fill="auto"/>
          <w:vertAlign w:val="baseline"/>
        </w:rPr>
        <w:t>Approval Checklist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deliberately: the checklist is the discovery/planning view (“what do I need”), Applications is the execution/tracking view (“where do things stand”) — collapsing them into one screen would overload a single page with two different mental models. - No separate “Settings” menu is introduced beyond My Profile, to avoid unnecessary navigation depth.</w:t>
      </w:r>
    </w:p>
    <w:p w14:paraId="00000105">
      <w:pPr>
        <w:pStyle w:val="style0"/>
        <w:rPr/>
      </w:pPr>
      <w:r>
        <w:rPr/>
        <w:pict>
          <v:rect id="1032" fillcolor="#a0a0a0" stroked="f" style="margin-left:0.0pt;margin-top:0.0pt;width:0.0pt;height:1.5pt;mso-wrap-distance-left:0.0pt;mso-wrap-distance-right:0.0pt;visibility:visible;" o:hr="t" o:hralign="center" o:hrstd="t">
            <v:stroke on="f"/>
            <v:fill/>
          </v:rect>
        </w:pict>
      </w:r>
    </w:p>
    <w:bookmarkStart w:id="24" w:name="it5ycdnflhy5" w:colFirst="0" w:colLast="0"/>
    <w:bookmarkEnd w:id="24"/>
    <w:p w14:paraId="00000106">
      <w:pPr>
        <w:pStyle w:val="style2"/>
        <w:rPr/>
      </w:pPr>
      <w:r>
        <w:rPr/>
        <w:t>8. Applicant Dashboard — Functional Requirements</w:t>
      </w:r>
    </w:p>
    <w:p w14:paraId="0000010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8, 9, 16)</w:t>
      </w:r>
    </w:p>
    <w:bookmarkStart w:id="25" w:name="vmvl53cy1zuo" w:colFirst="0" w:colLast="0"/>
    <w:bookmarkEnd w:id="25"/>
    <w:p w14:paraId="00000108">
      <w:pPr>
        <w:pStyle w:val="style3"/>
        <w:rPr/>
      </w:pPr>
      <w:r>
        <w:rPr/>
        <w:t>8.1 Content, in priority order</w:t>
      </w:r>
    </w:p>
    <w:p w14:paraId="00000109">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Action-required items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(top of page, most prominent): pending queries awaiting response, documents nearing expiry, applications with “Ready to Submit” status left in draft, upcoming inspection confirmations needed.</w:t>
      </w:r>
    </w:p>
    <w:p w14:paraId="0000010A">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Applicant action summary counts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pending applications, applications requiring a response, upcoming inspections, renewals due within a configurable window, open grievances.</w:t>
      </w:r>
    </w:p>
    <w:p w14:paraId="0000010B">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Active projects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a one-line status per project (“3 of 5 approvals complete”).</w:t>
      </w:r>
    </w:p>
    <w:p w14:paraId="0000010C">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Deadlines</w:t>
      </w:r>
      <w:r>
        <w:rPr>
          <w:rFonts w:ascii="Cambria" w:cs="Cambria" w:eastAsia="Cambria" w:hAnsi="Cambria"/>
          <w:b w:val="false"/>
          <w:bCs w:val="false"/>
          <w:i w:val="false"/>
          <w:iCs w:val="false"/>
          <w:smallCaps w:val="false"/>
          <w:color w:val="000000"/>
          <w:sz w:val="24"/>
          <w:szCs w:val="24"/>
          <w:u w:val="none"/>
          <w:shd w:val="clear" w:color="auto" w:fill="auto"/>
          <w:vertAlign w:val="baseline"/>
        </w:rPr>
        <w:t>: nearest SLA-relevant applicant deadlines and compliance/renewal due dates, sorted by urgency.</w:t>
      </w:r>
    </w:p>
    <w:p w14:paraId="0000010D">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Recently approved 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(brief, secondary placement).</w:t>
      </w:r>
    </w:p>
    <w:p w14:paraId="0000010E">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Relevant schemes/incentives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small, clearly-labelled “You may be eligible” panel — never more prominent than the action-required section).</w:t>
      </w:r>
    </w:p>
    <w:p w14:paraId="0000010F">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Recent notifications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(last 5, with a link to the full Notifications page).</w:t>
      </w:r>
    </w:p>
    <w:bookmarkStart w:id="26" w:name="n37vpxzd33p8" w:colFirst="0" w:colLast="0"/>
    <w:bookmarkEnd w:id="26"/>
    <w:p w14:paraId="00000110">
      <w:pPr>
        <w:pStyle w:val="style3"/>
        <w:rPr/>
      </w:pPr>
      <w:r>
        <w:rPr/>
        <w:t>8.2 Explicit Design Rule</w:t>
      </w:r>
    </w:p>
    <w:p w14:paraId="0000011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dashboard leads with </w:t>
      </w:r>
      <w:r>
        <w:rPr>
          <w:rFonts w:ascii="Cambria" w:cs="Cambria" w:eastAsia="Cambria" w:hAnsi="Cambria"/>
          <w:b/>
          <w:bCs/>
          <w:i w:val="false"/>
          <w:iCs w:val="false"/>
          <w:smallCaps w:val="false"/>
          <w:color w:val="000000"/>
          <w:sz w:val="24"/>
          <w:szCs w:val="24"/>
          <w:u w:val="none"/>
          <w:shd w:val="clear" w:color="auto" w:fill="auto"/>
          <w:vertAlign w:val="baseline"/>
        </w:rPr>
        <w:t>what the entrepreneur must do next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not with celebratory or decorative statistics. No widget is included unless it maps to an action the applicant can take or a status they need to know </w:t>
      </w:r>
      <w:r>
        <w:rPr>
          <w:rFonts w:ascii="Cambria" w:cs="Cambria" w:eastAsia="Cambria" w:hAnsi="Cambria"/>
          <w:b/>
          <w:bCs/>
          <w:i w:val="false"/>
          <w:iCs w:val="false"/>
          <w:smallCaps w:val="false"/>
          <w:color w:val="000000"/>
          <w:sz w:val="24"/>
          <w:szCs w:val="24"/>
          <w:u w:val="none"/>
          <w:shd w:val="clear" w:color="auto" w:fill="auto"/>
          <w:vertAlign w:val="baseline"/>
        </w:rPr>
        <w:t>today</w:t>
      </w:r>
      <w:r>
        <w:rPr>
          <w:rFonts w:ascii="Cambria" w:cs="Cambria" w:eastAsia="Cambria" w:hAnsi="Cambria"/>
          <w:b w:val="false"/>
          <w:bCs w:val="false"/>
          <w:i w:val="false"/>
          <w:iCs w:val="false"/>
          <w:smallCaps w:val="false"/>
          <w:color w:val="000000"/>
          <w:sz w:val="24"/>
          <w:szCs w:val="24"/>
          <w:u w:val="none"/>
          <w:shd w:val="clear" w:color="auto" w:fill="auto"/>
          <w:vertAlign w:val="baseline"/>
        </w:rPr>
        <w:t>. A generic “welcome back” banner is limited to a single line with name and last-login date — no decorative imagery.</w:t>
      </w:r>
    </w:p>
    <w:p w14:paraId="00000112">
      <w:pPr>
        <w:pStyle w:val="style0"/>
        <w:rPr/>
      </w:pPr>
      <w:r>
        <w:rPr/>
        <w:pict>
          <v:rect id="1033" fillcolor="#a0a0a0" stroked="f" style="margin-left:0.0pt;margin-top:0.0pt;width:0.0pt;height:1.5pt;mso-wrap-distance-left:0.0pt;mso-wrap-distance-right:0.0pt;visibility:visible;" o:hr="t" o:hralign="center" o:hrstd="t">
            <v:stroke on="f"/>
            <v:fill/>
          </v:rect>
        </w:pict>
      </w:r>
    </w:p>
    <w:bookmarkStart w:id="27" w:name="r4jwq5a43mk7" w:colFirst="0" w:colLast="0"/>
    <w:bookmarkEnd w:id="27"/>
    <w:p w14:paraId="00000113">
      <w:pPr>
        <w:pStyle w:val="style2"/>
        <w:rPr/>
      </w:pPr>
      <w:r>
        <w:rPr/>
        <w:t>9. Entrepreneur Onboarding Flow</w:t>
      </w:r>
    </w:p>
    <w:p w14:paraId="0000011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1, 2, 16)</w:t>
      </w:r>
    </w:p>
    <w:bookmarkStart w:id="28" w:name="b6grgmz9cevy" w:colFirst="0" w:colLast="0"/>
    <w:bookmarkEnd w:id="28"/>
    <w:p w14:paraId="00000115">
      <w:pPr>
        <w:pStyle w:val="style3"/>
        <w:rPr/>
      </w:pPr>
      <w:r>
        <w:rPr/>
        <w:t>9.1 Flow</w:t>
      </w:r>
    </w:p>
    <w:p w14:paraId="0000011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Registration → Identity/Contact Verification → Login → Enterprise Creation → Enterprise Details → Project Creation → Project Characteristics → Approval Discovery → Customised Checklist</w:t>
      </w:r>
    </w:p>
    <w:bookmarkStart w:id="29" w:name="mbq5jni6l875" w:colFirst="0" w:colLast="0"/>
    <w:bookmarkEnd w:id="29"/>
    <w:p w14:paraId="00000117">
      <w:pPr>
        <w:pStyle w:val="style3"/>
        <w:rPr/>
      </w:pPr>
      <w:r>
        <w:rPr/>
        <w:t>9.2 Step-by-Step Functional Detail</w:t>
      </w:r>
    </w:p>
    <w:p w14:paraId="0000011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1 — Registration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Mandatory: full name, mobile number, email, password (or OTP-based passwordless —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regarding preferred authentication standard). - Validation: mobile number format, email format, password strength (if used), duplicate-account check by mobile/email. - Error messages are field-specific and shown inline, in plain language (e.g., “This mobile number is already registered. Try logging in instead.”).</w:t>
      </w:r>
    </w:p>
    <w:p w14:paraId="0000011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2 — Identity/Contact Verification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OTP sent to mobile and/or email; account remains “Unverified” until confirmed. - Resend OTP with a cooldown timer; clear message if OTP expires.</w:t>
      </w:r>
    </w:p>
    <w:p w14:paraId="0000011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3 — Login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Standard credential/OTP login; “Forgot Password” flow; session timeout with a warning before auto-logout.</w:t>
      </w:r>
    </w:p>
    <w:p w14:paraId="0000011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4–5 — Enterprise Creation &amp; Details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Mandatory: enterprise legal name, business type (proprietorship/partnership/Pvt Ltd/LLP/etc.), registration number (e.g., Udyam/CIN — </w:t>
      </w:r>
      <w:r>
        <w:rPr>
          <w:rFonts w:ascii="Cambria" w:cs="Cambria" w:eastAsia="Cambria" w:hAnsi="Cambria"/>
          <w:b/>
          <w:bCs/>
          <w:i w:val="false"/>
          <w:iCs w:val="false"/>
          <w:smallCaps w:val="false"/>
          <w:color w:val="000000"/>
          <w:sz w:val="24"/>
          <w:szCs w:val="24"/>
          <w:u w:val="none"/>
          <w:shd w:val="clear" w:color="auto" w:fill="auto"/>
          <w:vertAlign w:val="baseline"/>
        </w:rPr>
        <w:t>TO BE VALIDATED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registered address, sector/industry. - Optional: trade name, website, additional contact person. - </w:t>
      </w:r>
      <w:r>
        <w:rPr>
          <w:rFonts w:ascii="Cambria" w:cs="Cambria" w:eastAsia="Cambria" w:hAnsi="Cambria"/>
          <w:b/>
          <w:bCs/>
          <w:i w:val="false"/>
          <w:iCs w:val="false"/>
          <w:smallCaps w:val="false"/>
          <w:color w:val="000000"/>
          <w:sz w:val="24"/>
          <w:szCs w:val="24"/>
          <w:u w:val="none"/>
          <w:shd w:val="clear" w:color="auto" w:fill="auto"/>
          <w:vertAlign w:val="baseline"/>
        </w:rPr>
        <w:t>Save as Draft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available at every step; the applicant can resume later from the Dashboard’s action-required panel. - Confirmation screen summarises entered data before final save; an </w:t>
      </w:r>
      <w:r>
        <w:rPr>
          <w:rFonts w:ascii="Cambria" w:cs="Cambria" w:eastAsia="Cambria" w:hAnsi="Cambria"/>
          <w:b/>
          <w:bCs/>
          <w:i w:val="false"/>
          <w:iCs w:val="false"/>
          <w:smallCaps w:val="false"/>
          <w:color w:val="000000"/>
          <w:sz w:val="24"/>
          <w:szCs w:val="24"/>
          <w:u w:val="none"/>
          <w:shd w:val="clear" w:color="auto" w:fill="auto"/>
          <w:vertAlign w:val="baseline"/>
        </w:rPr>
        <w:t>Enterprise Reference Number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generated on save.</w:t>
      </w:r>
    </w:p>
    <w:p w14:paraId="0000011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6–7 — Project Creation &amp; Characteristics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Mandatory: project name, location (district/taluka/industrial area), project size/investment band, employment estimate, project stage (greenfield/brownfield/expansion), activity/sector, land status, construction status, production status, hazardous-activity flag. - Optional: additional site details, expected commissioning date. - Conditional fields appear only when relevant (e.g., “leased land” only asks for lease details if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land_status = Leased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w:t>
      </w:r>
      <w:r>
        <w:rPr>
          <w:rFonts w:ascii="Cambria" w:cs="Cambria" w:eastAsia="Cambria" w:hAnsi="Cambria"/>
          <w:b/>
          <w:bCs/>
          <w:i w:val="false"/>
          <w:iCs w:val="false"/>
          <w:smallCaps w:val="false"/>
          <w:color w:val="000000"/>
          <w:sz w:val="24"/>
          <w:szCs w:val="24"/>
          <w:u w:val="none"/>
          <w:shd w:val="clear" w:color="auto" w:fill="auto"/>
          <w:vertAlign w:val="baseline"/>
        </w:rPr>
        <w:t>Project Reference Number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generated on save.</w:t>
      </w:r>
    </w:p>
    <w:p w14:paraId="0000011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Step 8–9 — Approval Discovery &amp; Checklist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System runs the Approval Discovery function (Section 10) automatically on project save and presents the resulting Customised Approval Checklist (Section 11) as the final onboarding screen, with a clear call-to-action to begin the first application.</w:t>
      </w:r>
    </w:p>
    <w:bookmarkStart w:id="30" w:name="ijb1rpfj0gdh" w:colFirst="0" w:colLast="0"/>
    <w:bookmarkEnd w:id="30"/>
    <w:p w14:paraId="0000011E">
      <w:pPr>
        <w:pStyle w:val="style3"/>
        <w:rPr/>
      </w:pPr>
      <w:r>
        <w:rPr/>
        <w:t>9.3 Cross-Cutting Onboarding Rules</w:t>
      </w:r>
    </w:p>
    <w:p w14:paraId="0000011F">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step requires re-entering data already captured in a prior step.</w:t>
      </w:r>
    </w:p>
    <w:p w14:paraId="00000120">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“Save as Draft” action shows a confirmation toast and updates the Dashboard’s action-required panel.</w:t>
      </w:r>
    </w:p>
    <w:p w14:paraId="00000121">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reference numbers (Enterprise, Project) are shown prominently and are searchable later.</w:t>
      </w:r>
    </w:p>
    <w:p w14:paraId="00000122">
      <w:pPr>
        <w:pStyle w:val="style0"/>
        <w:rPr/>
      </w:pPr>
      <w:r>
        <w:rPr/>
        <w:pict>
          <v:rect id="1034" fillcolor="#a0a0a0" stroked="f" style="margin-left:0.0pt;margin-top:0.0pt;width:0.0pt;height:1.5pt;mso-wrap-distance-left:0.0pt;mso-wrap-distance-right:0.0pt;visibility:visible;" o:hr="t" o:hralign="center" o:hrstd="t">
            <v:stroke on="f"/>
            <v:fill/>
          </v:rect>
        </w:pict>
      </w:r>
    </w:p>
    <w:bookmarkStart w:id="31" w:name="zi7fwu8m0ryc" w:colFirst="0" w:colLast="0"/>
    <w:bookmarkEnd w:id="31"/>
    <w:p w14:paraId="00000123">
      <w:pPr>
        <w:pStyle w:val="style2"/>
        <w:rPr/>
      </w:pPr>
      <w:r>
        <w:rPr/>
        <w:t>10. Approval Discovery Function</w:t>
      </w:r>
    </w:p>
    <w:p w14:paraId="0000012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 — the platform’s central feature)</w:t>
      </w:r>
    </w:p>
    <w:bookmarkStart w:id="32" w:name="u8wmi8xtcjmx" w:colFirst="0" w:colLast="0"/>
    <w:bookmarkEnd w:id="32"/>
    <w:p w14:paraId="00000125">
      <w:pPr>
        <w:pStyle w:val="style3"/>
        <w:rPr/>
      </w:pPr>
      <w:r>
        <w:rPr/>
        <w:t>10.1 Functional Flow</w:t>
      </w:r>
    </w:p>
    <w:p w14:paraId="0000012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Start New Project → Answer Guided Questions (project characteristics, Section 9 Step 6-7) → System Computes Potentially Applicable Approvals → Display Checklist (Section 11)</w:t>
      </w:r>
    </w:p>
    <w:p w14:paraId="0000012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questionnaire is presented as a short, plain-language, multi-step wizard (not a single long form) — each screen asks 3–5 related questions with a progress indicator.</w:t>
      </w:r>
    </w:p>
    <w:bookmarkStart w:id="33" w:name="9wttghlgxz0j" w:colFirst="0" w:colLast="0"/>
    <w:bookmarkEnd w:id="33"/>
    <w:p w14:paraId="00000128">
      <w:pPr>
        <w:pStyle w:val="style3"/>
        <w:rPr/>
      </w:pPr>
      <w:r>
        <w:rPr/>
        <w:t>10.2 Per-Approval Information Displayed</w:t>
      </w:r>
    </w:p>
    <w:p w14:paraId="0000012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For every approval surfaced by discovery, the applicant sees: - </w:t>
      </w:r>
      <w:r>
        <w:rPr>
          <w:rFonts w:ascii="Cambria" w:cs="Cambria" w:eastAsia="Cambria" w:hAnsi="Cambria"/>
          <w:b/>
          <w:bCs/>
          <w:i w:val="false"/>
          <w:iCs w:val="false"/>
          <w:smallCaps w:val="false"/>
          <w:color w:val="000000"/>
          <w:sz w:val="24"/>
          <w:szCs w:val="24"/>
          <w:u w:val="none"/>
          <w:shd w:val="clear" w:color="auto" w:fill="auto"/>
          <w:vertAlign w:val="baseline"/>
        </w:rPr>
        <w:t>Approval name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(plain-language, with the official/legal name shown secondarily) - </w:t>
      </w:r>
      <w:r>
        <w:rPr>
          <w:rFonts w:ascii="Cambria" w:cs="Cambria" w:eastAsia="Cambria" w:hAnsi="Cambria"/>
          <w:b/>
          <w:bCs/>
          <w:i w:val="false"/>
          <w:iCs w:val="false"/>
          <w:smallCaps w:val="false"/>
          <w:color w:val="000000"/>
          <w:sz w:val="24"/>
          <w:szCs w:val="24"/>
          <w:u w:val="none"/>
          <w:shd w:val="clear" w:color="auto" w:fill="auto"/>
          <w:vertAlign w:val="baseline"/>
        </w:rPr>
        <w:t>Responsible authority/department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ambria" w:cs="Cambria" w:eastAsia="Cambria" w:hAnsi="Cambria"/>
          <w:b/>
          <w:bCs/>
          <w:i w:val="false"/>
          <w:iCs w:val="false"/>
          <w:smallCaps w:val="false"/>
          <w:color w:val="000000"/>
          <w:sz w:val="24"/>
          <w:szCs w:val="24"/>
          <w:u w:val="none"/>
          <w:shd w:val="clear" w:color="auto" w:fill="auto"/>
          <w:vertAlign w:val="baseline"/>
        </w:rPr>
        <w:t>Why it may be applicable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one-line plain-language explanation tied to the specific answer that triggered it (e.g., “Shown because your project involves hazardous chemical storage”) - </w:t>
      </w:r>
      <w:r>
        <w:rPr>
          <w:rFonts w:ascii="Cambria" w:cs="Cambria" w:eastAsia="Cambria" w:hAnsi="Cambria"/>
          <w:b/>
          <w:bCs/>
          <w:i w:val="false"/>
          <w:iCs w:val="false"/>
          <w:smallCaps w:val="false"/>
          <w:color w:val="000000"/>
          <w:sz w:val="24"/>
          <w:szCs w:val="24"/>
          <w:u w:val="none"/>
          <w:shd w:val="clear" w:color="auto" w:fill="auto"/>
          <w:vertAlign w:val="baseline"/>
        </w:rPr>
        <w:t>Eligibility/trigger conditions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expandable detail - </w:t>
      </w:r>
      <w:r>
        <w:rPr>
          <w:rFonts w:ascii="Cambria" w:cs="Cambria" w:eastAsia="Cambria" w:hAnsi="Cambria"/>
          <w:b/>
          <w:bCs/>
          <w:i w:val="false"/>
          <w:iCs w:val="false"/>
          <w:smallCaps w:val="false"/>
          <w:color w:val="000000"/>
          <w:sz w:val="24"/>
          <w:szCs w:val="24"/>
          <w:u w:val="none"/>
          <w:shd w:val="clear" w:color="auto" w:fill="auto"/>
          <w:vertAlign w:val="baseline"/>
        </w:rPr>
        <w:t>Required documents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(summary list; full detail on the application screen) - </w:t>
      </w:r>
      <w:r>
        <w:rPr>
          <w:rFonts w:ascii="Cambria" w:cs="Cambria" w:eastAsia="Cambria" w:hAnsi="Cambria"/>
          <w:b/>
          <w:bCs/>
          <w:i w:val="false"/>
          <w:iCs w:val="false"/>
          <w:smallCaps w:val="false"/>
          <w:color w:val="000000"/>
          <w:sz w:val="24"/>
          <w:szCs w:val="24"/>
          <w:u w:val="none"/>
          <w:shd w:val="clear" w:color="auto" w:fill="auto"/>
          <w:vertAlign w:val="baseline"/>
        </w:rPr>
        <w:t>Dependencies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e.g., “Requires Consent to Establish before this can be applied for” - </w:t>
      </w:r>
      <w:r>
        <w:rPr>
          <w:rFonts w:ascii="Cambria" w:cs="Cambria" w:eastAsia="Cambria" w:hAnsi="Cambria"/>
          <w:b/>
          <w:bCs/>
          <w:i w:val="false"/>
          <w:iCs w:val="false"/>
          <w:smallCaps w:val="false"/>
          <w:color w:val="000000"/>
          <w:sz w:val="24"/>
          <w:szCs w:val="24"/>
          <w:u w:val="none"/>
          <w:shd w:val="clear" w:color="auto" w:fill="auto"/>
          <w:vertAlign w:val="baseline"/>
        </w:rPr>
        <w:t>Expected process stages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short preview of the tracking timeline (Section 18) this approval will follow - </w:t>
      </w:r>
      <w:r>
        <w:rPr>
          <w:rFonts w:ascii="Cambria" w:cs="Cambria" w:eastAsia="Cambria" w:hAnsi="Cambria"/>
          <w:b/>
          <w:bCs/>
          <w:i w:val="false"/>
          <w:iCs w:val="false"/>
          <w:smallCaps w:val="false"/>
          <w:color w:val="000000"/>
          <w:sz w:val="24"/>
          <w:szCs w:val="24"/>
          <w:u w:val="none"/>
          <w:shd w:val="clear" w:color="auto" w:fill="auto"/>
          <w:vertAlign w:val="baseline"/>
        </w:rPr>
        <w:t>Renewal requirement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where known (“Valid for 5 years, renewable”) - </w:t>
      </w:r>
      <w:r>
        <w:rPr>
          <w:rFonts w:ascii="Cambria" w:cs="Cambria" w:eastAsia="Cambria" w:hAnsi="Cambria"/>
          <w:b/>
          <w:bCs/>
          <w:i w:val="false"/>
          <w:iCs w:val="false"/>
          <w:smallCaps w:val="false"/>
          <w:color w:val="000000"/>
          <w:sz w:val="24"/>
          <w:szCs w:val="24"/>
          <w:u w:val="none"/>
          <w:shd w:val="clear" w:color="auto" w:fill="auto"/>
          <w:vertAlign w:val="baseline"/>
        </w:rPr>
        <w:t>Applicant action required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“Start Application,” “Waiting on Dependency,” etc. - </w:t>
      </w:r>
      <w:r>
        <w:rPr>
          <w:rFonts w:ascii="Cambria" w:cs="Cambria" w:eastAsia="Cambria" w:hAnsi="Cambria"/>
          <w:b/>
          <w:bCs/>
          <w:i w:val="false"/>
          <w:iCs w:val="false"/>
          <w:smallCaps w:val="false"/>
          <w:color w:val="000000"/>
          <w:sz w:val="24"/>
          <w:szCs w:val="24"/>
          <w:u w:val="none"/>
          <w:shd w:val="clear" w:color="auto" w:fill="auto"/>
          <w:vertAlign w:val="baseline"/>
        </w:rPr>
        <w:t>Current 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(Section 11 status list)</w:t>
      </w:r>
    </w:p>
    <w:bookmarkStart w:id="34" w:name="r8i12u26413s" w:colFirst="0" w:colLast="0"/>
    <w:bookmarkEnd w:id="34"/>
    <w:p w14:paraId="0000012A">
      <w:pPr>
        <w:pStyle w:val="style3"/>
        <w:rPr/>
      </w:pPr>
      <w:r>
        <w:rPr/>
        <w:t>10.3 Critical Labelling Rule [Explicit requirement]</w:t>
      </w:r>
    </w:p>
    <w:p w14:paraId="0000012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discovered approval is labelled </w:t>
      </w:r>
      <w:r>
        <w:rPr>
          <w:rFonts w:ascii="Cambria" w:cs="Cambria" w:eastAsia="Cambria" w:hAnsi="Cambria"/>
          <w:b/>
          <w:bCs/>
          <w:i w:val="false"/>
          <w:iCs w:val="false"/>
          <w:smallCaps w:val="false"/>
          <w:color w:val="000000"/>
          <w:sz w:val="24"/>
          <w:szCs w:val="24"/>
          <w:u w:val="none"/>
          <w:shd w:val="clear" w:color="auto" w:fill="auto"/>
          <w:vertAlign w:val="baseline"/>
        </w:rPr>
        <w:t>“Potentially Applicable”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by default. It is only shown as </w:t>
      </w:r>
      <w:r>
        <w:rPr>
          <w:rFonts w:ascii="Cambria" w:cs="Cambria" w:eastAsia="Cambria" w:hAnsi="Cambria"/>
          <w:b/>
          <w:bCs/>
          <w:i w:val="false"/>
          <w:iCs w:val="false"/>
          <w:smallCaps w:val="false"/>
          <w:color w:val="000000"/>
          <w:sz w:val="24"/>
          <w:szCs w:val="24"/>
          <w:u w:val="none"/>
          <w:shd w:val="clear" w:color="auto" w:fill="auto"/>
          <w:vertAlign w:val="baseline"/>
        </w:rPr>
        <w:t>“Officially Required”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where the underlying rule has been explicitly configured by the government department as authoritative (a flag on the rule, not a default). This distinction is shown as a visible badge on every checklist item, never left implicit — protecting both the applicant (no false confidence) and the government (no unauthorised claim of legal determination).</w:t>
      </w:r>
    </w:p>
    <w:bookmarkStart w:id="35" w:name="ls8pfvbv2s6s" w:colFirst="0" w:colLast="0"/>
    <w:bookmarkEnd w:id="35"/>
    <w:p w14:paraId="0000012C">
      <w:pPr>
        <w:pStyle w:val="style3"/>
        <w:rPr/>
      </w:pPr>
      <w:r>
        <w:rPr/>
        <w:t>10.4 Feasibility Note</w:t>
      </w:r>
    </w:p>
    <w:p w14:paraId="0000012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discovery engine is a </w:t>
      </w:r>
      <w:r>
        <w:rPr>
          <w:rFonts w:ascii="Cambria" w:cs="Cambria" w:eastAsia="Cambria" w:hAnsi="Cambria"/>
          <w:b/>
          <w:bCs/>
          <w:i w:val="false"/>
          <w:iCs w:val="false"/>
          <w:smallCaps w:val="false"/>
          <w:color w:val="000000"/>
          <w:sz w:val="24"/>
          <w:szCs w:val="24"/>
          <w:u w:val="none"/>
          <w:shd w:val="clear" w:color="auto" w:fill="auto"/>
          <w:vertAlign w:val="baseline"/>
        </w:rPr>
        <w:t>configurable rules-based system</w:t>
      </w:r>
      <w:r>
        <w:rPr>
          <w:rFonts w:ascii="Cambria" w:cs="Cambria" w:eastAsia="Cambria" w:hAnsi="Cambria"/>
          <w:b w:val="false"/>
          <w:bCs w:val="false"/>
          <w:i w:val="false"/>
          <w:iCs w:val="false"/>
          <w:smallCaps w:val="false"/>
          <w:color w:val="000000"/>
          <w:sz w:val="24"/>
          <w:szCs w:val="24"/>
          <w:u w:val="none"/>
          <w:shd w:val="clear" w:color="auto" w:fill="auto"/>
          <w:vertAlign w:val="baseline"/>
        </w:rPr>
        <w:t>, not a self-learning AI — so its outputs are explainable and its coverage is exactly what the government has confirmed and configured (see companion TRD Section 4). If a rule for a given scenario has not yet been configured, the system says so explicitly (“We could not determine additional approvals for this combination — please consult [department contact]”) rather than guessing.</w:t>
      </w:r>
    </w:p>
    <w:p w14:paraId="0000012E">
      <w:pPr>
        <w:pStyle w:val="style0"/>
        <w:rPr/>
      </w:pPr>
      <w:r>
        <w:rPr/>
        <w:pict>
          <v:rect id="1035" fillcolor="#a0a0a0" stroked="f" style="margin-left:0.0pt;margin-top:0.0pt;width:0.0pt;height:1.5pt;mso-wrap-distance-left:0.0pt;mso-wrap-distance-right:0.0pt;visibility:visible;" o:hr="t" o:hralign="center" o:hrstd="t">
            <v:stroke on="f"/>
            <v:fill/>
          </v:rect>
        </w:pict>
      </w:r>
    </w:p>
    <w:bookmarkStart w:id="36" w:name="kn9tj5ntcoik" w:colFirst="0" w:colLast="0"/>
    <w:bookmarkEnd w:id="36"/>
    <w:p w14:paraId="0000012F">
      <w:pPr>
        <w:pStyle w:val="style2"/>
        <w:rPr/>
      </w:pPr>
      <w:r>
        <w:rPr/>
        <w:t>11. Customised Approval Checklist</w:t>
      </w:r>
    </w:p>
    <w:p w14:paraId="0000013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1, 2, 8, 16)</w:t>
      </w:r>
    </w:p>
    <w:bookmarkStart w:id="37" w:name="fie6lwwcif5x" w:colFirst="0" w:colLast="0"/>
    <w:bookmarkEnd w:id="37"/>
    <w:p w14:paraId="00000131">
      <w:pPr>
        <w:pStyle w:val="style3"/>
        <w:rPr/>
      </w:pPr>
      <w:r>
        <w:rPr/>
        <w:t>11.1 Per-Item Fields</w:t>
      </w:r>
    </w:p>
    <w:p w14:paraId="0000013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name, department, status, priority (mandatory/conditional), dependency indicator, required documents (count + list), applicant action, deadline/SLA where applicable, direct link to start/continue the application, last-updated timestamp.</w:t>
      </w:r>
    </w:p>
    <w:bookmarkStart w:id="38" w:name="av2l5eh08rvn" w:colFirst="0" w:colLast="0"/>
    <w:bookmarkEnd w:id="38"/>
    <w:p w14:paraId="00000133">
      <w:pPr>
        <w:pStyle w:val="style3"/>
        <w:rPr/>
      </w:pPr>
      <w:r>
        <w:rPr/>
        <w:t>11.2 Status List (deliberately minimal — no unnecessary statuses)</w:t>
      </w:r>
    </w:p>
    <w:p w14:paraId="0000013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 Started → Draft → Ready to Submit → Submitted → Under Scrutiny → Query Raised → Awaiting Applicant → Inspection Pending → Inspection Scheduled → Awaiting Decision → Approved | Rejected | Withdrawn → Closed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with a separate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 Due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status that appears on an approved item once its validity period approaches expiry.</w:t>
      </w:r>
    </w:p>
    <w:bookmarkStart w:id="39" w:name="upeg2z1g03j4" w:colFirst="0" w:colLast="0"/>
    <w:bookmarkEnd w:id="39"/>
    <w:p w14:paraId="00000135">
      <w:pPr>
        <w:pStyle w:val="style3"/>
        <w:rPr/>
      </w:pPr>
      <w:r>
        <w:rPr/>
        <w:t>11.3 Checklist-Level Behaviour</w:t>
      </w:r>
    </w:p>
    <w:p w14:paraId="00000136">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Items with unmet dependencies are visually distinguished (e.g., greyed with a “Waiting on: Consent to Establish” note) and cannot be started until the dependency reaches a configured minimum state.</w:t>
      </w:r>
    </w:p>
    <w:p w14:paraId="00000137">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checklist can be filtered by department, status, and priority.</w:t>
      </w:r>
    </w:p>
    <w:p w14:paraId="00000138">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Selecting an item opens either the read-only requirement detail (if Not Started) or the live Application Tracking view (Section 18) once an application exists for it.</w:t>
      </w:r>
    </w:p>
    <w:p w14:paraId="00000139">
      <w:pPr>
        <w:pStyle w:val="style0"/>
        <w:rPr/>
      </w:pPr>
      <w:r>
        <w:rPr/>
        <w:pict>
          <v:rect id="1036" fillcolor="#a0a0a0" stroked="f" style="margin-left:0.0pt;margin-top:0.0pt;width:0.0pt;height:1.5pt;mso-wrap-distance-left:0.0pt;mso-wrap-distance-right:0.0pt;visibility:visible;" o:hr="t" o:hralign="center" o:hrstd="t">
            <v:stroke on="f"/>
            <v:fill/>
          </v:rect>
        </w:pict>
      </w:r>
    </w:p>
    <w:bookmarkStart w:id="40" w:name="4ycfrd6vuow" w:colFirst="0" w:colLast="0"/>
    <w:bookmarkEnd w:id="40"/>
    <w:p w14:paraId="0000013A">
      <w:pPr>
        <w:pStyle w:val="style2"/>
        <w:rPr/>
      </w:pPr>
      <w:r>
        <w:rPr/>
        <w:t>12. Application Creation</w:t>
      </w:r>
    </w:p>
    <w:p w14:paraId="0000013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3, 5)</w:t>
      </w:r>
    </w:p>
    <w:bookmarkStart w:id="41" w:name="uqgmiuqr9zgm" w:colFirst="0" w:colLast="0"/>
    <w:bookmarkEnd w:id="41"/>
    <w:p w14:paraId="0000013C">
      <w:pPr>
        <w:pStyle w:val="style3"/>
        <w:rPr/>
      </w:pPr>
      <w:r>
        <w:rPr/>
        <w:t>12.1 Functional Behaviour</w:t>
      </w:r>
    </w:p>
    <w:p w14:paraId="0000013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On selecting “Start Application” from the checklist, the system: 1. Pre-fills verified profile, enterprise, and project information already on file — displayed as read-only reference with an “Edit in Profile” link rather than re-editable inline fields (to avoid silently diverging enterprise records). 2. Identifies and highlights </w:t>
      </w:r>
      <w:r>
        <w:rPr>
          <w:rFonts w:ascii="Cambria" w:cs="Cambria" w:eastAsia="Cambria" w:hAnsi="Cambria"/>
          <w:b/>
          <w:bCs/>
          <w:i w:val="false"/>
          <w:iCs w:val="false"/>
          <w:smallCaps w:val="false"/>
          <w:color w:val="000000"/>
          <w:sz w:val="24"/>
          <w:szCs w:val="24"/>
          <w:u w:val="none"/>
          <w:shd w:val="clear" w:color="auto" w:fill="auto"/>
          <w:vertAlign w:val="baseline"/>
        </w:rPr>
        <w:t>missing information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specific to this approval (fields not covered by the standard profile/project data). 3. Displays approval-specific fields and their required documents (Section 13, 14). 4. Allows </w:t>
      </w:r>
      <w:r>
        <w:rPr>
          <w:rFonts w:ascii="Cambria" w:cs="Cambria" w:eastAsia="Cambria" w:hAnsi="Cambria"/>
          <w:b/>
          <w:bCs/>
          <w:i w:val="false"/>
          <w:iCs w:val="false"/>
          <w:smallCaps w:val="false"/>
          <w:color w:val="000000"/>
          <w:sz w:val="24"/>
          <w:szCs w:val="24"/>
          <w:u w:val="none"/>
          <w:shd w:val="clear" w:color="auto" w:fill="auto"/>
          <w:vertAlign w:val="baseline"/>
        </w:rPr>
        <w:t>Save as Draft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at any point. 5. Runs Pre-Submission Validation (Section 16) before allowing final submission.</w:t>
      </w:r>
    </w:p>
    <w:bookmarkStart w:id="42" w:name="t9f2jr3ceg8p" w:colFirst="0" w:colLast="0"/>
    <w:bookmarkEnd w:id="42"/>
    <w:p w14:paraId="0000013E">
      <w:pPr>
        <w:pStyle w:val="style3"/>
        <w:rPr/>
      </w:pPr>
      <w:r>
        <w:rPr/>
        <w:t>12.2 Explicit Rule</w:t>
      </w:r>
    </w:p>
    <w:p w14:paraId="0000013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entrepreneur is never asked to retype an enterprise or project field that already exists on file. If a value needs to change for this specific application only (a legitimate case), the system requires an explicit “This differs from my enterprise/project record” acknowledgement so discrepancies are never silent.</w:t>
      </w:r>
    </w:p>
    <w:p w14:paraId="00000140">
      <w:pPr>
        <w:pStyle w:val="style0"/>
        <w:rPr/>
      </w:pPr>
      <w:r>
        <w:rPr/>
        <w:pict>
          <v:rect id="1037" fillcolor="#a0a0a0" stroked="f" style="margin-left:0.0pt;margin-top:0.0pt;width:0.0pt;height:1.5pt;mso-wrap-distance-left:0.0pt;mso-wrap-distance-right:0.0pt;visibility:visible;" o:hr="t" o:hralign="center" o:hrstd="t">
            <v:stroke on="f"/>
            <v:fill/>
          </v:rect>
        </w:pict>
      </w:r>
    </w:p>
    <w:bookmarkStart w:id="43" w:name="qz9y1mesv6i6" w:colFirst="0" w:colLast="0"/>
    <w:bookmarkEnd w:id="43"/>
    <w:p w14:paraId="00000141">
      <w:pPr>
        <w:pStyle w:val="style2"/>
        <w:rPr/>
      </w:pPr>
      <w:r>
        <w:rPr/>
        <w:t>13. Form Design Specifications</w:t>
      </w:r>
    </w:p>
    <w:p w14:paraId="0000014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3)</w:t>
      </w:r>
    </w:p>
    <w:bookmarkStart w:id="44" w:name="edxm1v34an8s" w:colFirst="0" w:colLast="0"/>
    <w:bookmarkEnd w:id="44"/>
    <w:p w14:paraId="00000143">
      <w:pPr>
        <w:pStyle w:val="style3"/>
        <w:rPr/>
      </w:pPr>
      <w:r>
        <w:rPr/>
        <w:t>13.1 General Principles</w:t>
      </w:r>
    </w:p>
    <w:p w14:paraId="0000014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Conditional, multi-step forms grouped into logical sections; no form exceeds ~7 visible fields per screen; every field has plain-language help text; validation is inline and immediate where feasible (format checks) and summarised at submission (cross-field checks).</w:t>
      </w:r>
    </w:p>
    <w:bookmarkStart w:id="45" w:name="uzxwldepjtkf" w:colFirst="0" w:colLast="0"/>
    <w:bookmarkEnd w:id="45"/>
    <w:p w14:paraId="00000145">
      <w:pPr>
        <w:pStyle w:val="style3"/>
        <w:rPr/>
      </w:pPr>
      <w:r>
        <w:rPr/>
        <w:t>13.2 Representative Form Specification — “New Application” Form</w:t>
      </w:r>
    </w:p>
    <w:tbl>
      <w:tblPr>
        <w:tblStyle w:val="style4102"/>
        <w:tblW w:w="7920" w:type="dxa"/>
        <w:jc w:val="left"/>
        <w:tblInd w:w="-108" w:type="dxa"/>
        <w:tblLayout w:type="fixed"/>
        <w:tblLook w:val="0020" w:firstRow="1" w:lastRow="0" w:firstColumn="0" w:lastColumn="0" w:noHBand="0" w:noVBand="0"/>
      </w:tblPr>
      <w:tblGrid>
        <w:gridCol w:w="3960"/>
        <w:gridCol w:w="3960"/>
      </w:tblGrid>
      <w:tr w14:paraId="19EF273C">
        <w:trPr>
          <w:cantSplit w:val="false"/>
          <w:tblHeader/>
          <w:jc w:val="left"/>
        </w:trPr>
        <w:tc>
          <w:tcPr>
            <w:tcW w:w="0" w:type="auto"/>
            <w:tcBorders/>
          </w:tcPr>
          <w:p w14:paraId="000001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Attribute</w:t>
            </w:r>
          </w:p>
        </w:tc>
        <w:tc>
          <w:tcPr>
            <w:tcW w:w="0" w:type="auto"/>
            <w:tcBorders/>
          </w:tcPr>
          <w:p w14:paraId="000001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Detail</w:t>
            </w:r>
          </w:p>
        </w:tc>
      </w:tr>
      <w:tr w14:paraId="ED31450D">
        <w:tblPrEx/>
        <w:trPr>
          <w:cantSplit w:val="false"/>
          <w:tblHeader w:val="false"/>
          <w:jc w:val="left"/>
        </w:trPr>
        <w:tc>
          <w:tcPr>
            <w:tcW w:w="0" w:type="auto"/>
            <w:tcBorders/>
          </w:tcPr>
          <w:p w14:paraId="000001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Purpose</w:t>
            </w:r>
          </w:p>
        </w:tc>
        <w:tc>
          <w:tcPr>
            <w:tcW w:w="0" w:type="auto"/>
            <w:tcBorders/>
          </w:tcPr>
          <w:p w14:paraId="000001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Capture approval-specific information beyond what’s already on the enterprise/project record</w:t>
            </w:r>
          </w:p>
        </w:tc>
      </w:tr>
      <w:tr w14:paraId="E09802C1">
        <w:tblPrEx/>
        <w:trPr>
          <w:cantSplit w:val="false"/>
          <w:tblHeader w:val="false"/>
          <w:jc w:val="left"/>
        </w:trPr>
        <w:tc>
          <w:tcPr>
            <w:tcW w:w="0" w:type="auto"/>
            <w:tcBorders/>
          </w:tcPr>
          <w:p w14:paraId="000001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Sections</w:t>
            </w:r>
          </w:p>
        </w:tc>
        <w:tc>
          <w:tcPr>
            <w:tcW w:w="0" w:type="auto"/>
            <w:tcBorders/>
          </w:tcPr>
          <w:p w14:paraId="000001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 Reference Information (read-only, pre-filled) 2. Approval-Specific Details 3. Required Documents 4. Declaration</w:t>
            </w:r>
          </w:p>
        </w:tc>
      </w:tr>
      <w:tr w14:paraId="C187DD20">
        <w:tblPrEx/>
        <w:trPr>
          <w:cantSplit w:val="false"/>
          <w:tblHeader w:val="false"/>
          <w:jc w:val="left"/>
        </w:trPr>
        <w:tc>
          <w:tcPr>
            <w:tcW w:w="0" w:type="auto"/>
            <w:tcBorders/>
          </w:tcPr>
          <w:p w14:paraId="000001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Field types used</w:t>
            </w:r>
          </w:p>
        </w:tc>
        <w:tc>
          <w:tcPr>
            <w:tcW w:w="0" w:type="auto"/>
            <w:tcBorders/>
          </w:tcPr>
          <w:p w14:paraId="000001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Text, number, date, single-select, multi-select, file upload, conditional sub-fields</w:t>
            </w:r>
          </w:p>
        </w:tc>
      </w:tr>
      <w:tr w14:paraId="A075D03B">
        <w:tblPrEx/>
        <w:trPr>
          <w:cantSplit w:val="false"/>
          <w:tblHeader w:val="false"/>
          <w:jc w:val="left"/>
        </w:trPr>
        <w:tc>
          <w:tcPr>
            <w:tcW w:w="0" w:type="auto"/>
            <w:tcBorders/>
          </w:tcPr>
          <w:p w14:paraId="000001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Required vs Optional</w:t>
            </w:r>
          </w:p>
        </w:tc>
        <w:tc>
          <w:tcPr>
            <w:tcW w:w="0" w:type="auto"/>
            <w:tcBorders/>
          </w:tcPr>
          <w:p w14:paraId="000001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Marked with a red asterisk + “(Optional)” suffix on optional fields — never ambiguous</w:t>
            </w:r>
          </w:p>
        </w:tc>
      </w:tr>
      <w:tr w14:paraId="185E69AC">
        <w:tblPrEx/>
        <w:trPr>
          <w:cantSplit w:val="false"/>
          <w:tblHeader w:val="false"/>
          <w:jc w:val="left"/>
        </w:trPr>
        <w:tc>
          <w:tcPr>
            <w:tcW w:w="0" w:type="auto"/>
            <w:tcBorders/>
          </w:tcPr>
          <w:p w14:paraId="000001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Conditional fields</w:t>
            </w:r>
          </w:p>
        </w:tc>
        <w:tc>
          <w:tcPr>
            <w:tcW w:w="0" w:type="auto"/>
            <w:tcBorders/>
          </w:tcPr>
          <w:p w14:paraId="000001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Shown/hidden based on prior answers (e.g., a “Hazardous Materials List” field only appears if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hazardous_flag = Yes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r>
      <w:tr w14:paraId="0068233F">
        <w:tblPrEx/>
        <w:trPr>
          <w:cantSplit w:val="false"/>
          <w:tblHeader w:val="false"/>
          <w:jc w:val="left"/>
        </w:trPr>
        <w:tc>
          <w:tcPr>
            <w:tcW w:w="0" w:type="auto"/>
            <w:tcBorders/>
          </w:tcPr>
          <w:p w14:paraId="000001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Help text</w:t>
            </w:r>
          </w:p>
        </w:tc>
        <w:tc>
          <w:tcPr>
            <w:tcW w:w="0" w:type="auto"/>
            <w:tcBorders/>
          </w:tcPr>
          <w:p w14:paraId="000001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field has an info icon with a one-line plain-language explanation; complex fields link to the Help &amp; Guidance article (Section 32)</w:t>
            </w:r>
          </w:p>
        </w:tc>
      </w:tr>
      <w:tr w14:paraId="404EF99A">
        <w:tblPrEx/>
        <w:trPr>
          <w:cantSplit w:val="false"/>
          <w:tblHeader w:val="false"/>
          <w:jc w:val="left"/>
        </w:trPr>
        <w:tc>
          <w:tcPr>
            <w:tcW w:w="0" w:type="auto"/>
            <w:tcBorders/>
          </w:tcPr>
          <w:p w14:paraId="000001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Error handling</w:t>
            </w:r>
          </w:p>
        </w:tc>
        <w:tc>
          <w:tcPr>
            <w:tcW w:w="0" w:type="auto"/>
            <w:tcBorders/>
          </w:tcPr>
          <w:p w14:paraId="000001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Inline error under the field on blur; a consolidated error summary at the top of the page on submit attempt, each linking to the offending field</w:t>
            </w:r>
          </w:p>
        </w:tc>
      </w:tr>
      <w:tr w14:paraId="358CA22D">
        <w:tblPrEx/>
        <w:trPr>
          <w:cantSplit w:val="false"/>
          <w:tblHeader w:val="false"/>
          <w:jc w:val="left"/>
        </w:trPr>
        <w:tc>
          <w:tcPr>
            <w:tcW w:w="0" w:type="auto"/>
            <w:tcBorders/>
          </w:tcPr>
          <w:p w14:paraId="000001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Save Draft</w:t>
            </w:r>
          </w:p>
        </w:tc>
        <w:tc>
          <w:tcPr>
            <w:tcW w:w="0" w:type="auto"/>
            <w:tcBorders/>
          </w:tcPr>
          <w:p w14:paraId="000001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Always available, does not require passing validation</w:t>
            </w:r>
          </w:p>
        </w:tc>
      </w:tr>
      <w:tr w14:paraId="44A8C671">
        <w:tblPrEx/>
        <w:trPr>
          <w:cantSplit w:val="false"/>
          <w:tblHeader w:val="false"/>
          <w:jc w:val="left"/>
        </w:trPr>
        <w:tc>
          <w:tcPr>
            <w:tcW w:w="0" w:type="auto"/>
            <w:tcBorders/>
          </w:tcPr>
          <w:p w14:paraId="000001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Preview</w:t>
            </w:r>
          </w:p>
        </w:tc>
        <w:tc>
          <w:tcPr>
            <w:tcW w:w="0" w:type="auto"/>
            <w:tcBorders/>
          </w:tcPr>
          <w:p w14:paraId="000001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read-only, print-style preview screen shown before final Submit</w:t>
            </w:r>
          </w:p>
        </w:tc>
      </w:tr>
      <w:tr w14:paraId="5FBE8C34">
        <w:tblPrEx/>
        <w:trPr>
          <w:cantSplit w:val="false"/>
          <w:tblHeader w:val="false"/>
          <w:jc w:val="left"/>
        </w:trPr>
        <w:tc>
          <w:tcPr>
            <w:tcW w:w="0" w:type="auto"/>
            <w:tcBorders/>
          </w:tcPr>
          <w:p w14:paraId="000001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Declaration</w:t>
            </w:r>
          </w:p>
        </w:tc>
        <w:tc>
          <w:tcPr>
            <w:tcW w:w="0" w:type="auto"/>
            <w:tcBorders/>
          </w:tcPr>
          <w:p w14:paraId="000001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mandatory checkbox affirming the accuracy of information, with the declaration text shown in full (not hidden behind a link)</w:t>
            </w:r>
          </w:p>
        </w:tc>
      </w:tr>
      <w:tr w14:paraId="2392F370">
        <w:tblPrEx/>
        <w:trPr>
          <w:cantSplit w:val="false"/>
          <w:tblHeader w:val="false"/>
          <w:jc w:val="left"/>
        </w:trPr>
        <w:tc>
          <w:tcPr>
            <w:tcW w:w="0" w:type="auto"/>
            <w:tcBorders/>
          </w:tcPr>
          <w:p w14:paraId="000001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Submit</w:t>
            </w:r>
          </w:p>
        </w:tc>
        <w:tc>
          <w:tcPr>
            <w:tcW w:w="0" w:type="auto"/>
            <w:tcBorders/>
          </w:tcPr>
          <w:p w14:paraId="000001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Enabled only after Pre-Submission Validation (Section 16) shows no blocking errors</w:t>
            </w:r>
          </w:p>
        </w:tc>
      </w:tr>
      <w:tr w14:paraId="1495E67F">
        <w:tblPrEx/>
        <w:trPr>
          <w:cantSplit w:val="false"/>
          <w:tblHeader w:val="false"/>
          <w:jc w:val="left"/>
        </w:trPr>
        <w:tc>
          <w:tcPr>
            <w:tcW w:w="0" w:type="auto"/>
            <w:tcBorders/>
          </w:tcPr>
          <w:p w14:paraId="000001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Confirmation</w:t>
            </w:r>
          </w:p>
        </w:tc>
        <w:tc>
          <w:tcPr>
            <w:tcW w:w="0" w:type="auto"/>
            <w:tcBorders/>
          </w:tcPr>
          <w:p w14:paraId="000001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Post-submit acknowledgement screen (Section 17)</w:t>
            </w:r>
          </w:p>
        </w:tc>
      </w:tr>
    </w:tbl>
    <w:p w14:paraId="0000016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This same specification pattern (Purpose/Sections/Fields/Validation/Conditional/Help/Error/Draft/Submit/Preview/Declaration/Confirmation) is the template applied to every other form in the platform (Grievance form, Scheme Application form, Query Response form, etc.) rather than repeating full detail for each.</w:t>
      </w:r>
    </w:p>
    <w:p w14:paraId="00000161">
      <w:pPr>
        <w:pStyle w:val="style0"/>
        <w:rPr/>
      </w:pPr>
      <w:r>
        <w:rPr/>
        <w:pict>
          <v:rect id="1038" fillcolor="#a0a0a0" stroked="f" style="margin-left:0.0pt;margin-top:0.0pt;width:0.0pt;height:1.5pt;mso-wrap-distance-left:0.0pt;mso-wrap-distance-right:0.0pt;visibility:visible;" o:hr="t" o:hralign="center" o:hrstd="t">
            <v:stroke on="f"/>
            <v:fill/>
          </v:rect>
        </w:pict>
      </w:r>
    </w:p>
    <w:bookmarkStart w:id="46" w:name="f5psyjxlrw0y" w:colFirst="0" w:colLast="0"/>
    <w:bookmarkEnd w:id="46"/>
    <w:p w14:paraId="00000162">
      <w:pPr>
        <w:pStyle w:val="style2"/>
        <w:rPr/>
      </w:pPr>
      <w:r>
        <w:rPr/>
        <w:t>14. Document Upload</w:t>
      </w:r>
    </w:p>
    <w:p w14:paraId="0000016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3)</w:t>
      </w:r>
    </w:p>
    <w:tbl>
      <w:tblPr>
        <w:tblStyle w:val="style4103"/>
        <w:tblW w:w="7920" w:type="dxa"/>
        <w:jc w:val="left"/>
        <w:tblInd w:w="-108" w:type="dxa"/>
        <w:tblLayout w:type="fixed"/>
        <w:tblLook w:val="0020" w:firstRow="1" w:lastRow="0" w:firstColumn="0" w:lastColumn="0" w:noHBand="0" w:noVBand="0"/>
      </w:tblPr>
      <w:tblGrid>
        <w:gridCol w:w="3960"/>
        <w:gridCol w:w="3960"/>
      </w:tblGrid>
      <w:tr w14:paraId="743E402E">
        <w:trPr>
          <w:cantSplit w:val="false"/>
          <w:tblHeader/>
          <w:jc w:val="left"/>
        </w:trPr>
        <w:tc>
          <w:tcPr>
            <w:tcW w:w="0" w:type="auto"/>
            <w:tcBorders/>
          </w:tcPr>
          <w:p w14:paraId="000001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Attribute</w:t>
            </w:r>
          </w:p>
        </w:tc>
        <w:tc>
          <w:tcPr>
            <w:tcW w:w="0" w:type="auto"/>
            <w:tcBorders/>
          </w:tcPr>
          <w:p w14:paraId="000001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Specification</w:t>
            </w:r>
          </w:p>
        </w:tc>
      </w:tr>
      <w:tr w14:paraId="8E9ACB5A">
        <w:tblPrEx/>
        <w:trPr>
          <w:cantSplit w:val="false"/>
          <w:tblHeader w:val="false"/>
          <w:jc w:val="left"/>
        </w:trPr>
        <w:tc>
          <w:tcPr>
            <w:tcW w:w="0" w:type="auto"/>
            <w:tcBorders/>
          </w:tcPr>
          <w:p w14:paraId="000001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Accepted file types</w:t>
            </w:r>
          </w:p>
        </w:tc>
        <w:tc>
          <w:tcPr>
            <w:tcW w:w="0" w:type="auto"/>
            <w:tcBorders/>
          </w:tcPr>
          <w:p w14:paraId="000001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PDF, JPG, PNG (typical) —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against actual portal standards</w:t>
            </w:r>
          </w:p>
        </w:tc>
      </w:tr>
      <w:tr w14:paraId="94C5E98C">
        <w:tblPrEx/>
        <w:trPr>
          <w:cantSplit w:val="false"/>
          <w:tblHeader w:val="false"/>
          <w:jc w:val="left"/>
        </w:trPr>
        <w:tc>
          <w:tcPr>
            <w:tcW w:w="0" w:type="auto"/>
            <w:tcBorders/>
          </w:tcPr>
          <w:p w14:paraId="000001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Maximum size</w:t>
            </w:r>
          </w:p>
        </w:tc>
        <w:tc>
          <w:tcPr>
            <w:tcW w:w="0" w:type="auto"/>
            <w:tcBorders/>
          </w:tcPr>
          <w:p w14:paraId="000001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configurable per-document-type limit (e.g., 10MB default) — </w:t>
            </w:r>
            <w:r>
              <w:rPr>
                <w:rFonts w:ascii="Cambria" w:cs="Cambria" w:eastAsia="Cambria" w:hAnsi="Cambria"/>
                <w:b/>
                <w:bCs/>
                <w:i w:val="false"/>
                <w:iCs w:val="false"/>
                <w:smallCaps w:val="false"/>
                <w:color w:val="000000"/>
                <w:sz w:val="24"/>
                <w:szCs w:val="24"/>
                <w:u w:val="none"/>
                <w:shd w:val="clear" w:color="auto" w:fill="auto"/>
                <w:vertAlign w:val="baseline"/>
              </w:rPr>
              <w:t>TO BE VALIDATED</w:t>
            </w:r>
          </w:p>
        </w:tc>
      </w:tr>
      <w:tr w14:paraId="DAB8416E">
        <w:tblPrEx/>
        <w:trPr>
          <w:cantSplit w:val="false"/>
          <w:tblHeader w:val="false"/>
          <w:jc w:val="left"/>
        </w:trPr>
        <w:tc>
          <w:tcPr>
            <w:tcW w:w="0" w:type="auto"/>
            <w:tcBorders/>
          </w:tcPr>
          <w:p w14:paraId="000001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Required / Optional / Conditional</w:t>
            </w:r>
          </w:p>
        </w:tc>
        <w:tc>
          <w:tcPr>
            <w:tcW w:w="0" w:type="auto"/>
            <w:tcBorders/>
          </w:tcPr>
          <w:p w14:paraId="000001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Clearly labelled per the checklist’s DocumentRequirement (companion TRD Section 6)</w:t>
            </w:r>
          </w:p>
        </w:tc>
      </w:tr>
      <w:tr w14:paraId="C24FA8EE">
        <w:tblPrEx/>
        <w:trPr>
          <w:cantSplit w:val="false"/>
          <w:tblHeader w:val="false"/>
          <w:jc w:val="left"/>
        </w:trPr>
        <w:tc>
          <w:tcPr>
            <w:tcW w:w="0" w:type="auto"/>
            <w:tcBorders/>
          </w:tcPr>
          <w:p w14:paraId="000001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 naming</w:t>
            </w:r>
          </w:p>
        </w:tc>
        <w:tc>
          <w:tcPr>
            <w:tcW w:w="0" w:type="auto"/>
            <w:tcBorders/>
          </w:tcPr>
          <w:p w14:paraId="000001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auto-generates an internal reference name; applicant sees their own original filename in the UI</w:t>
            </w:r>
          </w:p>
        </w:tc>
      </w:tr>
      <w:tr w14:paraId="ACC4698B">
        <w:tblPrEx/>
        <w:trPr>
          <w:cantSplit w:val="false"/>
          <w:tblHeader w:val="false"/>
          <w:jc w:val="left"/>
        </w:trPr>
        <w:tc>
          <w:tcPr>
            <w:tcW w:w="0" w:type="auto"/>
            <w:tcBorders/>
          </w:tcPr>
          <w:p w14:paraId="000001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Malware/virus checking</w:t>
            </w:r>
          </w:p>
        </w:tc>
        <w:tc>
          <w:tcPr>
            <w:tcW w:w="0" w:type="auto"/>
            <w:tcBorders/>
          </w:tcPr>
          <w:p w14:paraId="000001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file scanned before it is accepted into the vault; a failed scan shows a clear rejection message, not a silent failure</w:t>
            </w:r>
          </w:p>
        </w:tc>
      </w:tr>
      <w:tr w14:paraId="B6485F35">
        <w:tblPrEx/>
        <w:trPr>
          <w:cantSplit w:val="false"/>
          <w:tblHeader w:val="false"/>
          <w:jc w:val="left"/>
        </w:trPr>
        <w:tc>
          <w:tcPr>
            <w:tcW w:w="0" w:type="auto"/>
            <w:tcBorders/>
          </w:tcPr>
          <w:p w14:paraId="000001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Preview</w:t>
            </w:r>
          </w:p>
        </w:tc>
        <w:tc>
          <w:tcPr>
            <w:tcW w:w="0" w:type="auto"/>
            <w:tcBorders/>
          </w:tcPr>
          <w:p w14:paraId="000001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In-browser preview for PDF/image types where feasible; download-only fallback otherwise</w:t>
            </w:r>
          </w:p>
        </w:tc>
      </w:tr>
      <w:tr w14:paraId="2046A3C4">
        <w:tblPrEx/>
        <w:trPr>
          <w:cantSplit w:val="false"/>
          <w:tblHeader w:val="false"/>
          <w:jc w:val="left"/>
        </w:trPr>
        <w:tc>
          <w:tcPr>
            <w:tcW w:w="0" w:type="auto"/>
            <w:tcBorders/>
          </w:tcPr>
          <w:p w14:paraId="000001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 progress</w:t>
            </w:r>
          </w:p>
        </w:tc>
        <w:tc>
          <w:tcPr>
            <w:tcW w:w="0" w:type="auto"/>
            <w:tcBorders/>
          </w:tcPr>
          <w:p w14:paraId="000001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Visible progress bar; resumable/retryable on network failure</w:t>
            </w:r>
          </w:p>
        </w:tc>
      </w:tr>
      <w:tr w14:paraId="C760B024">
        <w:tblPrEx/>
        <w:trPr>
          <w:cantSplit w:val="false"/>
          <w:tblHeader w:val="false"/>
          <w:jc w:val="left"/>
        </w:trPr>
        <w:tc>
          <w:tcPr>
            <w:tcW w:w="0" w:type="auto"/>
            <w:tcBorders/>
          </w:tcPr>
          <w:p w14:paraId="000001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Replace document</w:t>
            </w:r>
          </w:p>
        </w:tc>
        <w:tc>
          <w:tcPr>
            <w:tcW w:w="0" w:type="auto"/>
            <w:tcBorders/>
          </w:tcPr>
          <w:p w14:paraId="000001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can replace a rejected or expired document; the prior version is retained (not deleted) for audit purposes</w:t>
            </w:r>
          </w:p>
        </w:tc>
      </w:tr>
      <w:tr w14:paraId="A6F3E807">
        <w:tblPrEx/>
        <w:trPr>
          <w:cantSplit w:val="false"/>
          <w:tblHeader w:val="false"/>
          <w:jc w:val="left"/>
        </w:trPr>
        <w:tc>
          <w:tcPr>
            <w:tcW w:w="0" w:type="auto"/>
            <w:tcBorders/>
          </w:tcPr>
          <w:p w14:paraId="000001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Versioning</w:t>
            </w:r>
          </w:p>
        </w:tc>
        <w:tc>
          <w:tcPr>
            <w:tcW w:w="0" w:type="auto"/>
            <w:tcBorders/>
          </w:tcPr>
          <w:p w14:paraId="000001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replacement creates a new version; the applicant always sees which version is current</w:t>
            </w:r>
          </w:p>
        </w:tc>
      </w:tr>
      <w:tr w14:paraId="16039ABD">
        <w:tblPrEx/>
        <w:trPr>
          <w:cantSplit w:val="false"/>
          <w:tblHeader w:val="false"/>
          <w:jc w:val="left"/>
        </w:trPr>
        <w:tc>
          <w:tcPr>
            <w:tcW w:w="0" w:type="auto"/>
            <w:tcBorders/>
          </w:tcPr>
          <w:p w14:paraId="000001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Expiry date</w:t>
            </w:r>
          </w:p>
        </w:tc>
        <w:tc>
          <w:tcPr>
            <w:tcW w:w="0" w:type="auto"/>
            <w:tcBorders/>
          </w:tcPr>
          <w:p w14:paraId="000001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Captured at upload (where applicable) or extracted via assisted OCR with applicant confirmation; the system never silently guesses an expiry date without applicant/officer confirmation</w:t>
            </w:r>
          </w:p>
        </w:tc>
      </w:tr>
      <w:tr w14:paraId="283EE567">
        <w:tblPrEx/>
        <w:trPr>
          <w:cantSplit w:val="false"/>
          <w:tblHeader w:val="false"/>
          <w:jc w:val="left"/>
        </w:trPr>
        <w:tc>
          <w:tcPr>
            <w:tcW w:w="0" w:type="auto"/>
            <w:tcBorders/>
          </w:tcPr>
          <w:p w14:paraId="000001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status</w:t>
            </w:r>
          </w:p>
        </w:tc>
        <w:tc>
          <w:tcPr>
            <w:tcW w:w="0" w:type="auto"/>
            <w:tcBorders/>
          </w:tcPr>
          <w:p w14:paraId="000001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Uploaded → Validation Pending → 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the success path;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Rejected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Expired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as terminal/reset states requiring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Replacement Required</w:t>
            </w:r>
          </w:p>
        </w:tc>
      </w:tr>
    </w:tbl>
    <w:p w14:paraId="0000017C">
      <w:pPr>
        <w:pStyle w:val="style0"/>
        <w:rPr/>
      </w:pPr>
      <w:r>
        <w:rPr/>
        <w:pict>
          <v:rect id="1039" fillcolor="#a0a0a0" stroked="f" style="margin-left:0.0pt;margin-top:0.0pt;width:0.0pt;height:1.5pt;mso-wrap-distance-left:0.0pt;mso-wrap-distance-right:0.0pt;visibility:visible;" o:hr="t" o:hralign="center" o:hrstd="t">
            <v:stroke on="f"/>
            <v:fill/>
          </v:rect>
        </w:pict>
      </w:r>
    </w:p>
    <w:bookmarkStart w:id="47" w:name="3pn0fv2x8jrb" w:colFirst="0" w:colLast="0"/>
    <w:bookmarkEnd w:id="47"/>
    <w:p w14:paraId="0000017D">
      <w:pPr>
        <w:pStyle w:val="style2"/>
        <w:rPr/>
      </w:pPr>
      <w:r>
        <w:rPr/>
        <w:t>15. Document Reuse</w:t>
      </w:r>
    </w:p>
    <w:p w14:paraId="0000017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5 — a headline requirement of the problem statement)</w:t>
      </w:r>
    </w:p>
    <w:bookmarkStart w:id="48" w:name="7s70ddbzdaqb" w:colFirst="0" w:colLast="0"/>
    <w:bookmarkEnd w:id="48"/>
    <w:p w14:paraId="0000017F">
      <w:pPr>
        <w:pStyle w:val="style3"/>
        <w:rPr/>
      </w:pPr>
      <w:r>
        <w:rPr/>
        <w:t>15.1 Functional Behaviour</w:t>
      </w:r>
    </w:p>
    <w:p w14:paraId="0000018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When starting a new application, if the applicant already has a </w:t>
      </w:r>
      <w:r>
        <w:rPr>
          <w:rFonts w:ascii="Cambria" w:cs="Cambria" w:eastAsia="Cambria" w:hAnsi="Cambria"/>
          <w:b/>
          <w:bCs/>
          <w:i w:val="false"/>
          <w:iCs w:val="false"/>
          <w:smallCaps w:val="false"/>
          <w:color w:val="000000"/>
          <w:sz w:val="24"/>
          <w:szCs w:val="24"/>
          <w:u w:val="none"/>
          <w:shd w:val="clear" w:color="auto" w:fill="auto"/>
          <w:vertAlign w:val="baseline"/>
        </w:rPr>
        <w:t>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of the required type on file (from any prior enterprise/project application) and it has not expired, the system offers:</w:t>
      </w:r>
    </w:p>
    <w:p w14:paraId="00000181">
      <w:pPr>
        <w:pStyle w:val="style0"/>
        <w:keepNext w:val="false"/>
        <w:keepLines w:val="false"/>
        <w:pageBreakBefore w:val="false"/>
        <w:widowControl/>
        <w:pBdr>
          <w:left w:val="nil"/>
          <w:right w:val="nil"/>
          <w:top w:val="nil"/>
          <w:bottom w:val="nil"/>
          <w:between w:val="nil"/>
        </w:pBdr>
        <w:shd w:val="clear" w:color="auto" w:fill="auto"/>
        <w:spacing w:before="100" w:after="100" w:lineRule="auto" w:line="240"/>
        <w:ind w:left="480" w:right="48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“Use Existing Verified Document”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[Document name] · Verified by [Department/Authority] on [date] · Valid until [expiry date, or “No expiry on file”]</w:t>
      </w:r>
    </w:p>
    <w:p w14:paraId="0000018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applicant explicitly clicks to reuse it (never auto-applied silently), and can instead choose “Upload a New Document” if circumstances require a fresh copy.</w:t>
      </w:r>
    </w:p>
    <w:bookmarkStart w:id="49" w:name="r8dxbi48me1z" w:colFirst="0" w:colLast="0"/>
    <w:bookmarkEnd w:id="49"/>
    <w:p w14:paraId="00000183">
      <w:pPr>
        <w:pStyle w:val="style3"/>
        <w:rPr/>
      </w:pPr>
      <w:r>
        <w:rPr/>
        <w:t>15.2 What the Applicant Is Always Told</w:t>
      </w:r>
    </w:p>
    <w:p w14:paraId="0000018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Which document is being reused; which authority verified it; the verification date; whether it is still within validity. If any of this information is not available (e.g., a document uploaded but never formally verified by an officer), it is </w:t>
      </w:r>
      <w:r>
        <w:rPr>
          <w:rFonts w:ascii="Cambria" w:cs="Cambria" w:eastAsia="Cambria" w:hAnsi="Cambria"/>
          <w:b/>
          <w:bCs/>
          <w:i w:val="false"/>
          <w:iCs w:val="false"/>
          <w:smallCaps w:val="false"/>
          <w:color w:val="000000"/>
          <w:sz w:val="24"/>
          <w:szCs w:val="24"/>
          <w:u w:val="none"/>
          <w:shd w:val="clear" w:color="auto" w:fill="auto"/>
          <w:vertAlign w:val="baseline"/>
        </w:rPr>
        <w:t>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offered for reuse — it appears instead as an ordinary “Uploaded, not yet verified” document.</w:t>
      </w:r>
    </w:p>
    <w:bookmarkStart w:id="50" w:name="q7yfsxopfco0" w:colFirst="0" w:colLast="0"/>
    <w:bookmarkEnd w:id="50"/>
    <w:p w14:paraId="00000185">
      <w:pPr>
        <w:pStyle w:val="style3"/>
        <w:rPr/>
      </w:pPr>
      <w:r>
        <w:rPr/>
        <w:t>15.3 Explicit Non-Assumption</w:t>
      </w:r>
    </w:p>
    <w:p w14:paraId="0000018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platform does </w:t>
      </w:r>
      <w:r>
        <w:rPr>
          <w:rFonts w:ascii="Cambria" w:cs="Cambria" w:eastAsia="Cambria" w:hAnsi="Cambria"/>
          <w:b/>
          <w:bCs/>
          <w:i w:val="false"/>
          <w:iCs w:val="false"/>
          <w:smallCaps w:val="false"/>
          <w:color w:val="000000"/>
          <w:sz w:val="24"/>
          <w:szCs w:val="24"/>
          <w:u w:val="none"/>
          <w:shd w:val="clear" w:color="auto" w:fill="auto"/>
          <w:vertAlign w:val="baseline"/>
        </w:rPr>
        <w:t>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assume every document type is reusable across every approval — reuse eligibility is a property configured per document type against each ApprovalType’s requirements (companion TRD Section 6.4), and is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a document-type-by-document-type basis before being enabled.</w:t>
      </w:r>
    </w:p>
    <w:p w14:paraId="00000187">
      <w:pPr>
        <w:pStyle w:val="style0"/>
        <w:rPr/>
      </w:pPr>
      <w:r>
        <w:rPr/>
        <w:pict>
          <v:rect id="1040" fillcolor="#a0a0a0" stroked="f" style="margin-left:0.0pt;margin-top:0.0pt;width:0.0pt;height:1.5pt;mso-wrap-distance-left:0.0pt;mso-wrap-distance-right:0.0pt;visibility:visible;" o:hr="t" o:hralign="center" o:hrstd="t">
            <v:stroke on="f"/>
            <v:fill/>
          </v:rect>
        </w:pict>
      </w:r>
    </w:p>
    <w:bookmarkStart w:id="51" w:name="abkcghkc857p" w:colFirst="0" w:colLast="0"/>
    <w:bookmarkEnd w:id="51"/>
    <w:p w14:paraId="00000188">
      <w:pPr>
        <w:pStyle w:val="style2"/>
        <w:rPr/>
      </w:pPr>
      <w:r>
        <w:rPr/>
        <w:t>16. Pre-Submission Validation</w:t>
      </w:r>
    </w:p>
    <w:p w14:paraId="0000018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4)</w:t>
      </w:r>
    </w:p>
    <w:bookmarkStart w:id="52" w:name="cyog138gigwy" w:colFirst="0" w:colLast="0"/>
    <w:bookmarkEnd w:id="52"/>
    <w:p w14:paraId="0000018A">
      <w:pPr>
        <w:pStyle w:val="style3"/>
        <w:rPr/>
      </w:pPr>
      <w:r>
        <w:rPr/>
        <w:t>16.1 Validation Summary Screen</w:t>
      </w:r>
    </w:p>
    <w:p w14:paraId="0000018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Shown immediately before Submit, grouped into four categories:</w:t>
      </w:r>
    </w:p>
    <w:tbl>
      <w:tblPr>
        <w:tblStyle w:val="style4104"/>
        <w:tblW w:w="7920" w:type="dxa"/>
        <w:jc w:val="left"/>
        <w:tblInd w:w="-108" w:type="dxa"/>
        <w:tblLayout w:type="fixed"/>
        <w:tblLook w:val="0020" w:firstRow="1" w:lastRow="0" w:firstColumn="0" w:lastColumn="0" w:noHBand="0" w:noVBand="0"/>
      </w:tblPr>
      <w:tblGrid>
        <w:gridCol w:w="2640"/>
        <w:gridCol w:w="2640"/>
        <w:gridCol w:w="2640"/>
      </w:tblGrid>
      <w:tr w14:paraId="9EE718AE">
        <w:trPr>
          <w:cantSplit w:val="false"/>
          <w:tblHeader/>
          <w:jc w:val="left"/>
        </w:trPr>
        <w:tc>
          <w:tcPr>
            <w:tcW w:w="0" w:type="auto"/>
            <w:tcBorders/>
          </w:tcPr>
          <w:p w14:paraId="000001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Category</w:t>
            </w:r>
          </w:p>
        </w:tc>
        <w:tc>
          <w:tcPr>
            <w:tcW w:w="0" w:type="auto"/>
            <w:tcBorders/>
          </w:tcPr>
          <w:p w14:paraId="000001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Meaning</w:t>
            </w:r>
          </w:p>
        </w:tc>
        <w:tc>
          <w:tcPr>
            <w:tcW w:w="0" w:type="auto"/>
            <w:tcBorders/>
          </w:tcPr>
          <w:p w14:paraId="000001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Blocks Submission?</w:t>
            </w:r>
          </w:p>
        </w:tc>
      </w:tr>
      <w:tr w14:paraId="180205A1">
        <w:tblPrEx/>
        <w:trPr>
          <w:cantSplit w:val="false"/>
          <w:tblHeader w:val="false"/>
          <w:jc w:val="left"/>
        </w:trPr>
        <w:tc>
          <w:tcPr>
            <w:tcW w:w="0" w:type="auto"/>
            <w:tcBorders/>
          </w:tcPr>
          <w:p w14:paraId="000001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Errors</w:t>
            </w:r>
          </w:p>
        </w:tc>
        <w:tc>
          <w:tcPr>
            <w:tcW w:w="0" w:type="auto"/>
            <w:tcBorders/>
          </w:tcPr>
          <w:p w14:paraId="000001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Missing mandatory field/document, invalid format, expired document</w:t>
            </w:r>
          </w:p>
        </w:tc>
        <w:tc>
          <w:tcPr>
            <w:tcW w:w="0" w:type="auto"/>
            <w:tcBorders/>
          </w:tcPr>
          <w:p w14:paraId="000001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Yes — must be corrected</w:t>
            </w:r>
          </w:p>
        </w:tc>
      </w:tr>
      <w:tr w14:paraId="6AE685EC">
        <w:tblPrEx/>
        <w:trPr>
          <w:cantSplit w:val="false"/>
          <w:tblHeader w:val="false"/>
          <w:jc w:val="left"/>
        </w:trPr>
        <w:tc>
          <w:tcPr>
            <w:tcW w:w="0" w:type="auto"/>
            <w:tcBorders/>
          </w:tcPr>
          <w:p w14:paraId="000001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Warnings</w:t>
            </w:r>
          </w:p>
        </w:tc>
        <w:tc>
          <w:tcPr>
            <w:tcW w:w="0" w:type="auto"/>
            <w:tcBorders/>
          </w:tcPr>
          <w:p w14:paraId="000001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Likely issue the system cannot be certain about (e.g., name spelling differs slightly from a linked document)</w:t>
            </w:r>
          </w:p>
        </w:tc>
        <w:tc>
          <w:tcPr>
            <w:tcW w:w="0" w:type="auto"/>
            <w:tcBorders/>
          </w:tcPr>
          <w:p w14:paraId="000001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 applicant may proceed after acknowledging</w:t>
            </w:r>
          </w:p>
        </w:tc>
      </w:tr>
      <w:tr w14:paraId="AF78661F">
        <w:tblPrEx/>
        <w:trPr>
          <w:cantSplit w:val="false"/>
          <w:tblHeader w:val="false"/>
          <w:jc w:val="left"/>
        </w:trPr>
        <w:tc>
          <w:tcPr>
            <w:tcW w:w="0" w:type="auto"/>
            <w:tcBorders/>
          </w:tcPr>
          <w:p w14:paraId="000001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Missing Documents</w:t>
            </w:r>
          </w:p>
        </w:tc>
        <w:tc>
          <w:tcPr>
            <w:tcW w:w="0" w:type="auto"/>
            <w:tcBorders/>
          </w:tcPr>
          <w:p w14:paraId="000001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Required document not yet uploaded</w:t>
            </w:r>
          </w:p>
        </w:tc>
        <w:tc>
          <w:tcPr>
            <w:tcW w:w="0" w:type="auto"/>
            <w:tcBorders/>
          </w:tcPr>
          <w:p w14:paraId="000001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Yes, if the document is mandatory</w:t>
            </w:r>
          </w:p>
        </w:tc>
      </w:tr>
      <w:tr w14:paraId="2C558238">
        <w:tblPrEx/>
        <w:trPr>
          <w:cantSplit w:val="false"/>
          <w:tblHeader w:val="false"/>
          <w:jc w:val="left"/>
        </w:trPr>
        <w:tc>
          <w:tcPr>
            <w:tcW w:w="0" w:type="auto"/>
            <w:tcBorders/>
          </w:tcPr>
          <w:p w14:paraId="000001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Ready for Submission</w:t>
            </w:r>
          </w:p>
        </w:tc>
        <w:tc>
          <w:tcPr>
            <w:tcW w:w="0" w:type="auto"/>
            <w:tcBorders/>
          </w:tcPr>
          <w:p w14:paraId="000001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platform-level checks passed</w:t>
            </w:r>
          </w:p>
        </w:tc>
        <w:tc>
          <w:tcPr>
            <w:tcW w:w="0" w:type="auto"/>
            <w:tcBorders/>
          </w:tcPr>
          <w:p w14:paraId="000001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Enables the Submit action</w:t>
            </w:r>
          </w:p>
        </w:tc>
      </w:tr>
      <w:bookmarkStart w:id="53" w:name="at4bykvvp9ns" w:colFirst="0" w:colLast="0"/>
      <w:bookmarkEnd w:id="53"/>
    </w:tbl>
    <w:p w14:paraId="0000019B">
      <w:pPr>
        <w:pStyle w:val="style3"/>
        <w:rPr/>
      </w:pPr>
      <w:r>
        <w:rPr/>
        <w:t>16.2 Explicit Disclaimer [mandatory language]</w:t>
      </w:r>
    </w:p>
    <w:p w14:paraId="0000019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validation summary screen always displays: </w:t>
      </w:r>
      <w:r>
        <w:rPr>
          <w:rFonts w:ascii="Cambria" w:cs="Cambria" w:eastAsia="Cambria" w:hAnsi="Cambria"/>
          <w:b w:val="false"/>
          <w:bCs w:val="false"/>
          <w:i/>
          <w:iCs/>
          <w:smallCaps w:val="false"/>
          <w:color w:val="000000"/>
          <w:sz w:val="24"/>
          <w:szCs w:val="24"/>
          <w:u w:val="none"/>
          <w:shd w:val="clear" w:color="auto" w:fill="auto"/>
          <w:vertAlign w:val="baseline"/>
        </w:rPr>
        <w:t>“Passing these checks confirms your application is complete for submission. It does not guarantee approval by the relevant department, which will conduct its own review.”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This exact distinction prevents the platform from ever implying it can predict or guarantee a government decision.</w:t>
      </w:r>
    </w:p>
    <w:p w14:paraId="0000019D">
      <w:pPr>
        <w:pStyle w:val="style0"/>
        <w:rPr/>
      </w:pPr>
      <w:r>
        <w:rPr/>
        <w:pict>
          <v:rect id="1041" fillcolor="#a0a0a0" stroked="f" style="margin-left:0.0pt;margin-top:0.0pt;width:0.0pt;height:1.5pt;mso-wrap-distance-left:0.0pt;mso-wrap-distance-right:0.0pt;visibility:visible;" o:hr="t" o:hralign="center" o:hrstd="t">
            <v:stroke on="f"/>
            <v:fill/>
          </v:rect>
        </w:pict>
      </w:r>
    </w:p>
    <w:bookmarkStart w:id="54" w:name="67791c2wqeme" w:colFirst="0" w:colLast="0"/>
    <w:bookmarkEnd w:id="54"/>
    <w:p w14:paraId="0000019E">
      <w:pPr>
        <w:pStyle w:val="style2"/>
        <w:rPr/>
      </w:pPr>
      <w:r>
        <w:rPr/>
        <w:t>17. Submission</w:t>
      </w:r>
    </w:p>
    <w:p w14:paraId="0000019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9, 16)</w:t>
      </w:r>
    </w:p>
    <w:bookmarkStart w:id="55" w:name="576xk2ytg2lo" w:colFirst="0" w:colLast="0"/>
    <w:bookmarkEnd w:id="55"/>
    <w:p w14:paraId="000001A0">
      <w:pPr>
        <w:pStyle w:val="style3"/>
        <w:rPr/>
      </w:pPr>
      <w:r>
        <w:rPr/>
        <w:t>17.1 Functional Steps</w:t>
      </w:r>
    </w:p>
    <w:p w14:paraId="000001A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Preview → Declaration → Applicant Confirmation → Authentication (OTP where configured) → Digital Signature/e-Sign (where required and supported) → Submission → Reference Number Generation → Acknowledgement/Receipt</w:t>
      </w:r>
    </w:p>
    <w:bookmarkStart w:id="56" w:name="g5dr1t1ku5u" w:colFirst="0" w:colLast="0"/>
    <w:bookmarkEnd w:id="56"/>
    <w:p w14:paraId="000001A2">
      <w:pPr>
        <w:pStyle w:val="style3"/>
        <w:rPr/>
      </w:pPr>
      <w:r>
        <w:rPr/>
        <w:t>17.2 Detail</w:t>
      </w:r>
    </w:p>
    <w:p w14:paraId="000001A3">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Preview: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clean, print-style rendering of the full application as it will be submitted.</w:t>
      </w:r>
    </w:p>
    <w:p w14:paraId="000001A4">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Declaration: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full text shown, mandatory checkbox.</w:t>
      </w:r>
    </w:p>
    <w:p w14:paraId="000001A5">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Confirmation: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final “Confirm and Submit” action distinct from earlier “Next” buttons, to prevent accidental submission.</w:t>
      </w:r>
    </w:p>
    <w:p w14:paraId="000001A6">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OTP/e-Sign: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invoked only where the specific approval type is configured to require it —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 approval type.</w:t>
      </w:r>
    </w:p>
    <w:p w14:paraId="000001A7">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Reference Number: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unique, permanent Application Reference Number is generated and shown prominently, along with the submission timestamp.</w:t>
      </w:r>
    </w:p>
    <w:p w14:paraId="000001A8">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Acknowledgement/Receipt: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downloadable PDF receipt is generated immediately, containing the reference number, submitted data summary, and timestamp — usable as offline proof of submission.</w:t>
      </w:r>
    </w:p>
    <w:bookmarkStart w:id="57" w:name="384d63c5zpqa" w:colFirst="0" w:colLast="0"/>
    <w:bookmarkEnd w:id="57"/>
    <w:p w14:paraId="000001A9">
      <w:pPr>
        <w:pStyle w:val="style3"/>
        <w:rPr/>
      </w:pPr>
      <w:r>
        <w:rPr/>
        <w:t>17.3 Post-Submission Editing Control</w:t>
      </w:r>
    </w:p>
    <w:p w14:paraId="000001A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Once submitted, the application form becomes </w:t>
      </w:r>
      <w:r>
        <w:rPr>
          <w:rFonts w:ascii="Cambria" w:cs="Cambria" w:eastAsia="Cambria" w:hAnsi="Cambria"/>
          <w:b/>
          <w:bCs/>
          <w:i w:val="false"/>
          <w:iCs w:val="false"/>
          <w:smallCaps w:val="false"/>
          <w:color w:val="000000"/>
          <w:sz w:val="24"/>
          <w:szCs w:val="24"/>
          <w:u w:val="none"/>
          <w:shd w:val="clear" w:color="auto" w:fill="auto"/>
          <w:vertAlign w:val="baseline"/>
        </w:rPr>
        <w:t>read-only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the applicant. Any further change to submitted data happens only through the controlled Query/Response mechanism (Section 19) or an explicit, officer-initiated “Request Correction” action — never through the applicant directly re-opening and editing the submitted form. This preserves the integrity of what was actually declared at submission time.</w:t>
      </w:r>
    </w:p>
    <w:p w14:paraId="000001AB">
      <w:pPr>
        <w:pStyle w:val="style0"/>
        <w:rPr/>
      </w:pPr>
      <w:r>
        <w:rPr/>
        <w:pict>
          <v:rect id="1042" fillcolor="#a0a0a0" stroked="f" style="margin-left:0.0pt;margin-top:0.0pt;width:0.0pt;height:1.5pt;mso-wrap-distance-left:0.0pt;mso-wrap-distance-right:0.0pt;visibility:visible;" o:hr="t" o:hralign="center" o:hrstd="t">
            <v:stroke on="f"/>
            <v:fill/>
          </v:rect>
        </w:pict>
      </w:r>
    </w:p>
    <w:bookmarkStart w:id="58" w:name="nnp4mg22nuvd" w:colFirst="0" w:colLast="0"/>
    <w:bookmarkEnd w:id="58"/>
    <w:p w14:paraId="000001AC">
      <w:pPr>
        <w:pStyle w:val="style2"/>
        <w:rPr/>
      </w:pPr>
      <w:r>
        <w:rPr/>
        <w:t>18. Application Tracking</w:t>
      </w:r>
    </w:p>
    <w:p w14:paraId="000001A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8, 16 — one of the platform’s most important screens)</w:t>
      </w:r>
    </w:p>
    <w:bookmarkStart w:id="59" w:name="fhikxo608urz" w:colFirst="0" w:colLast="0"/>
    <w:bookmarkEnd w:id="59"/>
    <w:p w14:paraId="000001AE">
      <w:pPr>
        <w:pStyle w:val="style3"/>
        <w:rPr/>
      </w:pPr>
      <w:r>
        <w:rPr/>
        <w:t>18.1 Per-Application Display</w:t>
      </w:r>
    </w:p>
    <w:p w14:paraId="000001A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number, approval name, department, submission date, current status, current stage, applicant action required (if any), SLA/timeline information (Section 25), query status, inspection status, last-updated timestamp, available documents (receipt, certificate once issued), and a full history/timeline view.</w:t>
      </w:r>
    </w:p>
    <w:bookmarkStart w:id="60" w:name="lvmpss4npi4s" w:colFirst="0" w:colLast="0"/>
    <w:bookmarkEnd w:id="60"/>
    <w:p w14:paraId="000001B0">
      <w:pPr>
        <w:pStyle w:val="style3"/>
        <w:rPr/>
      </w:pPr>
      <w:r>
        <w:rPr/>
        <w:t>18.2 Timeline Visualisation</w:t>
      </w:r>
    </w:p>
    <w:p w14:paraId="000001B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horizontal or vertical stepper showing only the stages </w:t>
      </w:r>
      <w:r>
        <w:rPr>
          <w:rFonts w:ascii="Cambria" w:cs="Cambria" w:eastAsia="Cambria" w:hAnsi="Cambria"/>
          <w:b/>
          <w:bCs/>
          <w:i w:val="false"/>
          <w:iCs w:val="false"/>
          <w:smallCaps w:val="false"/>
          <w:color w:val="000000"/>
          <w:sz w:val="24"/>
          <w:szCs w:val="24"/>
          <w:u w:val="none"/>
          <w:shd w:val="clear" w:color="auto" w:fill="auto"/>
          <w:vertAlign w:val="baseline"/>
        </w:rPr>
        <w:t>actually applicable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this specific application (no approval type shows an inspection step if inspection was never required for it):</w:t>
      </w:r>
    </w:p>
    <w:p w14:paraId="000001B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Submitted → Scrutiny → [Query → Applicant Response]* → [Inspection]† → Decision → Approved/Rejected</w:t>
      </w:r>
    </w:p>
    <w:p w14:paraId="000001B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repeats if multiple query cycles occur, each shown as its own entry in the history.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shown only if this approval type requires inspection.</w:t>
      </w:r>
    </w:p>
    <w:bookmarkStart w:id="61" w:name="4u10tclbuiqc" w:colFirst="0" w:colLast="0"/>
    <w:bookmarkEnd w:id="61"/>
    <w:p w14:paraId="000001B4">
      <w:pPr>
        <w:pStyle w:val="style3"/>
        <w:rPr/>
      </w:pPr>
      <w:r>
        <w:rPr/>
        <w:t>18.3 History Log</w:t>
      </w:r>
    </w:p>
    <w:p w14:paraId="000001B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state change is listed with a timestamp and a plain-language description (e.g., “14 Feb 2027 — Query raised by Scrutiny Officer, Department of Industries”), giving the applicant a complete, chronological, non-editable record of their own application — directly satisfying the transparency capability (16).</w:t>
      </w:r>
    </w:p>
    <w:p w14:paraId="000001B6">
      <w:pPr>
        <w:pStyle w:val="style0"/>
        <w:rPr/>
      </w:pPr>
      <w:r>
        <w:rPr/>
        <w:pict>
          <v:rect id="1043" fillcolor="#a0a0a0" stroked="f" style="margin-left:0.0pt;margin-top:0.0pt;width:0.0pt;height:1.5pt;mso-wrap-distance-left:0.0pt;mso-wrap-distance-right:0.0pt;visibility:visible;" o:hr="t" o:hralign="center" o:hrstd="t">
            <v:stroke on="f"/>
            <v:fill/>
          </v:rect>
        </w:pict>
      </w:r>
    </w:p>
    <w:bookmarkStart w:id="62" w:name="caigo5dh85o" w:colFirst="0" w:colLast="0"/>
    <w:bookmarkEnd w:id="62"/>
    <w:p w14:paraId="000001B7">
      <w:pPr>
        <w:pStyle w:val="style2"/>
        <w:rPr/>
      </w:pPr>
      <w:r>
        <w:rPr/>
        <w:t>19. Query / Clarification Management</w:t>
      </w:r>
    </w:p>
    <w:p w14:paraId="000001B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6, 9, 16)</w:t>
      </w:r>
    </w:p>
    <w:bookmarkStart w:id="63" w:name="tqjw842r7f27" w:colFirst="0" w:colLast="0"/>
    <w:bookmarkEnd w:id="63"/>
    <w:p w14:paraId="000001B9">
      <w:pPr>
        <w:pStyle w:val="style3"/>
        <w:rPr/>
      </w:pPr>
      <w:r>
        <w:rPr/>
        <w:t>19.1 What the Applicant Sees</w:t>
      </w:r>
    </w:p>
    <w:p w14:paraId="000001B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 number, department, officer/authority identity where the department’s policy permits disclosure (</w:t>
      </w:r>
      <w:r>
        <w:rPr>
          <w:rFonts w:ascii="Cambria" w:cs="Cambria" w:eastAsia="Cambria" w:hAnsi="Cambria"/>
          <w:b/>
          <w:bCs/>
          <w:i w:val="false"/>
          <w:iCs w:val="false"/>
          <w:smallCaps w:val="false"/>
          <w:color w:val="000000"/>
          <w:sz w:val="24"/>
          <w:szCs w:val="24"/>
          <w:u w:val="none"/>
          <w:shd w:val="clear" w:color="auto" w:fill="auto"/>
          <w:vertAlign w:val="baseline"/>
        </w:rPr>
        <w:t>TO BE VALIDATED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whether individual officer names are shown or only department/designation), query date, the specific question/request in plain language, any documents requested, the response deadline, a response text field, a document upload option, and a Submit Response action.</w:t>
      </w:r>
    </w:p>
    <w:bookmarkStart w:id="64" w:name="4f5cjkf07emn" w:colFirst="0" w:colLast="0"/>
    <w:bookmarkEnd w:id="64"/>
    <w:p w14:paraId="000001BB">
      <w:pPr>
        <w:pStyle w:val="style3"/>
        <w:rPr/>
      </w:pPr>
      <w:r>
        <w:rPr/>
        <w:t>19.2 What the System Records</w:t>
      </w:r>
    </w:p>
    <w:p w14:paraId="000001B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original query text and any attachments the officer included; the applicant’s response text and attachments; timestamps for both; and the subsequent action taken by the department (query closed, further query raised, application moved forward).</w:t>
      </w:r>
    </w:p>
    <w:bookmarkStart w:id="65" w:name="vtw7mckkhjh" w:colFirst="0" w:colLast="0"/>
    <w:bookmarkEnd w:id="65"/>
    <w:p w14:paraId="000001BD">
      <w:pPr>
        <w:pStyle w:val="style3"/>
        <w:rPr/>
      </w:pPr>
      <w:r>
        <w:rPr/>
        <w:t>19.3 Explicit Rule Against Ambiguity</w:t>
      </w:r>
    </w:p>
    <w:p w14:paraId="000001B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All communication about a specific application happens through this structured Query/Response record — never through unstructured channels. Once a query is answered, both the original query and the response remain permanently visible in the application’s history (Section 18.3), so neither party can dispute what was asked or said.</w:t>
      </w:r>
    </w:p>
    <w:p w14:paraId="000001BF">
      <w:pPr>
        <w:pStyle w:val="style0"/>
        <w:rPr/>
      </w:pPr>
      <w:r>
        <w:rPr/>
        <w:pict>
          <v:rect id="1044" fillcolor="#a0a0a0" stroked="f" style="margin-left:0.0pt;margin-top:0.0pt;width:0.0pt;height:1.5pt;mso-wrap-distance-left:0.0pt;mso-wrap-distance-right:0.0pt;visibility:visible;" o:hr="t" o:hralign="center" o:hrstd="t">
            <v:stroke on="f"/>
            <v:fill/>
          </v:rect>
        </w:pict>
      </w:r>
    </w:p>
    <w:bookmarkStart w:id="66" w:name="ym5qnx1422u" w:colFirst="0" w:colLast="0"/>
    <w:bookmarkEnd w:id="66"/>
    <w:p w14:paraId="000001C0">
      <w:pPr>
        <w:pStyle w:val="style2"/>
        <w:rPr/>
      </w:pPr>
      <w:r>
        <w:rPr/>
        <w:t>20. Applicant Representative / Consultant</w:t>
      </w:r>
    </w:p>
    <w:p w14:paraId="000001C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6, 16 — designed deliberately restrictively)</w:t>
      </w:r>
    </w:p>
    <w:bookmarkStart w:id="67" w:name="h2vpkp6quvg8" w:colFirst="0" w:colLast="0"/>
    <w:bookmarkEnd w:id="67"/>
    <w:p w14:paraId="000001C2">
      <w:pPr>
        <w:pStyle w:val="style3"/>
        <w:rPr/>
      </w:pPr>
      <w:r>
        <w:rPr/>
        <w:t>20.1 Default Position</w:t>
      </w:r>
    </w:p>
    <w:p w14:paraId="000001C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 representative/consultant has </w:t>
      </w:r>
      <w:r>
        <w:rPr>
          <w:rFonts w:ascii="Cambria" w:cs="Cambria" w:eastAsia="Cambria" w:hAnsi="Cambria"/>
          <w:b/>
          <w:bCs/>
          <w:i w:val="false"/>
          <w:iCs w:val="false"/>
          <w:smallCaps w:val="false"/>
          <w:color w:val="000000"/>
          <w:sz w:val="24"/>
          <w:szCs w:val="24"/>
          <w:u w:val="none"/>
          <w:shd w:val="clear" w:color="auto" w:fill="auto"/>
          <w:vertAlign w:val="baseline"/>
        </w:rPr>
        <w:t>zero access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any enterprise until explicitly authorised by that enterprise’s Applicant Admin. There is no “invite by email and get full access” shortcut that bypasses explicit authorisation.</w:t>
      </w:r>
    </w:p>
    <w:bookmarkStart w:id="68" w:name="dbm5u28xwuf2" w:colFirst="0" w:colLast="0"/>
    <w:bookmarkEnd w:id="68"/>
    <w:p w14:paraId="000001C4">
      <w:pPr>
        <w:pStyle w:val="style3"/>
        <w:rPr/>
      </w:pPr>
      <w:r>
        <w:rPr/>
        <w:t>20.2 Authorisation Flow</w:t>
      </w:r>
    </w:p>
    <w:p w14:paraId="000001C5">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entrepreneur (Applicant Admin) initiates an authorisation from </w:t>
      </w:r>
      <w:r>
        <w:rPr>
          <w:rFonts w:ascii="Cambria" w:cs="Cambria" w:eastAsia="Cambria" w:hAnsi="Cambria"/>
          <w:b/>
          <w:bCs/>
          <w:i w:val="false"/>
          <w:iCs w:val="false"/>
          <w:smallCaps w:val="false"/>
          <w:color w:val="000000"/>
          <w:sz w:val="24"/>
          <w:szCs w:val="24"/>
          <w:u w:val="none"/>
          <w:shd w:val="clear" w:color="auto" w:fill="auto"/>
          <w:vertAlign w:val="baseline"/>
        </w:rPr>
        <w:t>My Enterprises → Representatives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entering the representative’s registered mobile/email and selecting a </w:t>
      </w:r>
      <w:r>
        <w:rPr>
          <w:rFonts w:ascii="Cambria" w:cs="Cambria" w:eastAsia="Cambria" w:hAnsi="Cambria"/>
          <w:b/>
          <w:bCs/>
          <w:i w:val="false"/>
          <w:iCs w:val="false"/>
          <w:smallCaps w:val="false"/>
          <w:color w:val="000000"/>
          <w:sz w:val="24"/>
          <w:szCs w:val="24"/>
          <w:u w:val="none"/>
          <w:shd w:val="clear" w:color="auto" w:fill="auto"/>
          <w:vertAlign w:val="baseline"/>
        </w:rPr>
        <w:t>scope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C6">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representative receives a notification and must </w:t>
      </w:r>
      <w:r>
        <w:rPr>
          <w:rFonts w:ascii="Cambria" w:cs="Cambria" w:eastAsia="Cambria" w:hAnsi="Cambria"/>
          <w:b/>
          <w:bCs/>
          <w:i w:val="false"/>
          <w:iCs w:val="false"/>
          <w:smallCaps w:val="false"/>
          <w:color w:val="000000"/>
          <w:sz w:val="24"/>
          <w:szCs w:val="24"/>
          <w:u w:val="none"/>
          <w:shd w:val="clear" w:color="auto" w:fill="auto"/>
          <w:vertAlign w:val="baseline"/>
        </w:rPr>
        <w:t>accept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authorisation before any access is granted (two-sided consent, not one-sided grant).</w:t>
      </w:r>
    </w:p>
    <w:p w14:paraId="000001C7">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authorisation record shows: representative name, scope, enterprises/projects covered, start date, and expiry date (if time-bound).</w:t>
      </w:r>
    </w:p>
    <w:bookmarkStart w:id="69" w:name="ehnwrkkgilvo" w:colFirst="0" w:colLast="0"/>
    <w:bookmarkEnd w:id="69"/>
    <w:p w14:paraId="000001C8">
      <w:pPr>
        <w:pStyle w:val="style3"/>
        <w:rPr/>
      </w:pPr>
      <w:r>
        <w:rPr/>
        <w:t>20.3 Scope of Access (configurable, not all-or-nothing)</w:t>
      </w:r>
    </w:p>
    <w:tbl>
      <w:tblPr>
        <w:tblStyle w:val="style4105"/>
        <w:tblW w:w="7920" w:type="dxa"/>
        <w:jc w:val="left"/>
        <w:tblInd w:w="-108" w:type="dxa"/>
        <w:tblLayout w:type="fixed"/>
        <w:tblLook w:val="0020" w:firstRow="1" w:lastRow="0" w:firstColumn="0" w:lastColumn="0" w:noHBand="0" w:noVBand="0"/>
      </w:tblPr>
      <w:tblGrid>
        <w:gridCol w:w="3960"/>
        <w:gridCol w:w="3960"/>
      </w:tblGrid>
      <w:tr w14:paraId="8ACF33EE">
        <w:trPr>
          <w:cantSplit w:val="false"/>
          <w:tblHeader/>
          <w:jc w:val="left"/>
        </w:trPr>
        <w:tc>
          <w:tcPr>
            <w:tcW w:w="0" w:type="auto"/>
            <w:tcBorders/>
          </w:tcPr>
          <w:p w14:paraId="000001C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Scope Option</w:t>
            </w:r>
          </w:p>
        </w:tc>
        <w:tc>
          <w:tcPr>
            <w:tcW w:w="0" w:type="auto"/>
            <w:tcBorders/>
          </w:tcPr>
          <w:p w14:paraId="000001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What It Allows</w:t>
            </w:r>
          </w:p>
        </w:tc>
      </w:tr>
      <w:tr w14:paraId="7711A06A">
        <w:tblPrEx/>
        <w:trPr>
          <w:cantSplit w:val="false"/>
          <w:tblHeader w:val="false"/>
          <w:jc w:val="left"/>
        </w:trPr>
        <w:tc>
          <w:tcPr>
            <w:tcW w:w="0" w:type="auto"/>
            <w:tcBorders/>
          </w:tcPr>
          <w:p w14:paraId="000001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Only</w:t>
            </w:r>
          </w:p>
        </w:tc>
        <w:tc>
          <w:tcPr>
            <w:tcW w:w="0" w:type="auto"/>
            <w:tcBorders/>
          </w:tcPr>
          <w:p w14:paraId="000001C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applications/status/documents; cannot submit, respond, or upload</w:t>
            </w:r>
          </w:p>
        </w:tc>
      </w:tr>
      <w:tr w14:paraId="C3F456E8">
        <w:tblPrEx/>
        <w:trPr>
          <w:cantSplit w:val="false"/>
          <w:tblHeader w:val="false"/>
          <w:jc w:val="left"/>
        </w:trPr>
        <w:tc>
          <w:tcPr>
            <w:tcW w:w="0" w:type="auto"/>
            <w:tcBorders/>
          </w:tcPr>
          <w:p w14:paraId="000001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Prepare &amp; Submit</w:t>
            </w:r>
          </w:p>
        </w:tc>
        <w:tc>
          <w:tcPr>
            <w:tcW w:w="0" w:type="auto"/>
            <w:tcBorders/>
          </w:tcPr>
          <w:p w14:paraId="000001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Can fill, upload, and submit applications on the entrepreneur’s behalf</w:t>
            </w:r>
          </w:p>
        </w:tc>
      </w:tr>
      <w:tr w14:paraId="286FF178">
        <w:tblPrEx/>
        <w:trPr>
          <w:cantSplit w:val="false"/>
          <w:tblHeader w:val="false"/>
          <w:jc w:val="left"/>
        </w:trPr>
        <w:tc>
          <w:tcPr>
            <w:tcW w:w="0" w:type="auto"/>
            <w:tcBorders/>
          </w:tcPr>
          <w:p w14:paraId="000001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 Delegation (specific project/enterprise)</w:t>
            </w:r>
          </w:p>
        </w:tc>
        <w:tc>
          <w:tcPr>
            <w:tcW w:w="0" w:type="auto"/>
            <w:tcBorders/>
          </w:tcPr>
          <w:p w14:paraId="000001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Prepare, submit, respond to queries, view inspections/decisions — still cannot change the enterprise’s own profile or authorise further representatives</w:t>
            </w:r>
          </w:p>
        </w:tc>
      </w:tr>
    </w:tbl>
    <w:p w14:paraId="000001D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representative can never self-escalate their own scope, and can never authorise another representative — only the Applicant Admin can do either.</w:t>
      </w:r>
    </w:p>
    <w:bookmarkStart w:id="70" w:name="48hywuwuj9th" w:colFirst="0" w:colLast="0"/>
    <w:bookmarkEnd w:id="70"/>
    <w:p w14:paraId="000001D2">
      <w:pPr>
        <w:pStyle w:val="style3"/>
        <w:rPr/>
      </w:pPr>
      <w:r>
        <w:rPr/>
        <w:t>20.4 Revocation</w:t>
      </w:r>
    </w:p>
    <w:p w14:paraId="000001D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Applicant Admin can revoke an authorisation at any time from the same screen; revocation takes effect immediately (in-progress unsaved drafts by the representative are preserved but become read-only to them).</w:t>
      </w:r>
    </w:p>
    <w:bookmarkStart w:id="71" w:name="dlyp3wfj6q7b" w:colFirst="0" w:colLast="0"/>
    <w:bookmarkEnd w:id="71"/>
    <w:p w14:paraId="000001D4">
      <w:pPr>
        <w:pStyle w:val="style3"/>
        <w:rPr/>
      </w:pPr>
      <w:r>
        <w:rPr/>
        <w:t>20.5 Audit Trail</w:t>
      </w:r>
    </w:p>
    <w:p w14:paraId="000001D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action performed by a representative is logged with </w:t>
      </w:r>
      <w:r>
        <w:rPr>
          <w:rFonts w:ascii="Cambria" w:cs="Cambria" w:eastAsia="Cambria" w:hAnsi="Cambria"/>
          <w:b/>
          <w:bCs/>
          <w:i w:val="false"/>
          <w:iCs w:val="false"/>
          <w:smallCaps w:val="false"/>
          <w:color w:val="000000"/>
          <w:sz w:val="24"/>
          <w:szCs w:val="24"/>
          <w:u w:val="none"/>
          <w:shd w:val="clear" w:color="auto" w:fill="auto"/>
          <w:vertAlign w:val="baseline"/>
        </w:rPr>
        <w:t>both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representative’s identity and the entrepreneur/enterprise on whose behalf it was performed, and is visible to the entrepreneur in the application history (Section 18.3) exactly as if they had performed it themselves — full transparency, no hidden representative activity.</w:t>
      </w:r>
    </w:p>
    <w:p w14:paraId="000001D6">
      <w:pPr>
        <w:pStyle w:val="style0"/>
        <w:rPr/>
      </w:pPr>
      <w:r>
        <w:rPr/>
        <w:pict>
          <v:rect id="1045" fillcolor="#a0a0a0" stroked="f" style="margin-left:0.0pt;margin-top:0.0pt;width:0.0pt;height:1.5pt;mso-wrap-distance-left:0.0pt;mso-wrap-distance-right:0.0pt;visibility:visible;" o:hr="t" o:hralign="center" o:hrstd="t">
            <v:stroke on="f"/>
            <v:fill/>
          </v:rect>
        </w:pict>
      </w:r>
    </w:p>
    <w:bookmarkStart w:id="72" w:name="ts4niq55gdrs" w:colFirst="0" w:colLast="0"/>
    <w:bookmarkEnd w:id="72"/>
    <w:p w14:paraId="000001D7">
      <w:pPr>
        <w:pStyle w:val="style2"/>
        <w:rPr/>
      </w:pPr>
      <w:r>
        <w:rPr/>
        <w:t>21. Department Officer Workspace</w:t>
      </w:r>
    </w:p>
    <w:p w14:paraId="000001D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6, 8, 15)</w:t>
      </w:r>
    </w:p>
    <w:bookmarkStart w:id="73" w:name="rf02outlgah" w:colFirst="0" w:colLast="0"/>
    <w:bookmarkEnd w:id="73"/>
    <w:p w14:paraId="000001D9">
      <w:pPr>
        <w:pStyle w:val="style3"/>
        <w:rPr/>
      </w:pPr>
      <w:r>
        <w:rPr/>
        <w:t>21.1 Dashboard Content</w:t>
      </w:r>
    </w:p>
    <w:p w14:paraId="000001D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My assigned applications, pending scrutiny count, queries awaiting applicant response (visible so the officer knows what’s blocked on the applicant, not on them), applications nearing SLA breach, SLA-breached applications, today’s/upcoming inspections, applications awaiting the Approving Authority’s decision, and recently completed applications (for reference).</w:t>
      </w:r>
    </w:p>
    <w:bookmarkStart w:id="74" w:name="csbu41j3khrc" w:colFirst="0" w:colLast="0"/>
    <w:bookmarkEnd w:id="74"/>
    <w:p w14:paraId="000001DB">
      <w:pPr>
        <w:pStyle w:val="style3"/>
        <w:rPr/>
      </w:pPr>
      <w:r>
        <w:rPr/>
        <w:t>21.2 Sorting &amp; Filtering</w:t>
      </w:r>
    </w:p>
    <w:p w14:paraId="000001D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By application number, date received, status, priority/risk band, SLA status, sector, location/district, and assigned officer (for a Department Admin’s supervisory view).</w:t>
      </w:r>
    </w:p>
    <w:bookmarkStart w:id="75" w:name="ckynceouyu2c" w:colFirst="0" w:colLast="0"/>
    <w:bookmarkEnd w:id="75"/>
    <w:p w14:paraId="000001DD">
      <w:pPr>
        <w:pStyle w:val="style3"/>
        <w:rPr/>
      </w:pPr>
      <w:r>
        <w:rPr/>
        <w:t>21.3 Design Rule</w:t>
      </w:r>
    </w:p>
    <w:p w14:paraId="000001D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officer workspace intentionally mirrors a familiar inbox/queue metaphor already used in government office workflows (feasibility principle, Section 2) rather than introducing an unfamiliar interaction model — reducing training burden and resistance to adoption.</w:t>
      </w:r>
    </w:p>
    <w:p w14:paraId="000001DF">
      <w:pPr>
        <w:pStyle w:val="style0"/>
        <w:rPr/>
      </w:pPr>
      <w:r>
        <w:rPr/>
        <w:pict>
          <v:rect id="1046" fillcolor="#a0a0a0" stroked="f" style="margin-left:0.0pt;margin-top:0.0pt;width:0.0pt;height:1.5pt;mso-wrap-distance-left:0.0pt;mso-wrap-distance-right:0.0pt;visibility:visible;" o:hr="t" o:hralign="center" o:hrstd="t">
            <v:stroke on="f"/>
            <v:fill/>
          </v:rect>
        </w:pict>
      </w:r>
    </w:p>
    <w:bookmarkStart w:id="76" w:name="vsxt4wypmcn8" w:colFirst="0" w:colLast="0"/>
    <w:bookmarkEnd w:id="76"/>
    <w:p w14:paraId="000001E0">
      <w:pPr>
        <w:pStyle w:val="style2"/>
        <w:rPr/>
      </w:pPr>
      <w:r>
        <w:rPr/>
        <w:t>22. Application Scrutiny</w:t>
      </w:r>
    </w:p>
    <w:p w14:paraId="000001E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2, 4, 6, 9)</w:t>
      </w:r>
    </w:p>
    <w:bookmarkStart w:id="77" w:name="omtmq75m0pds" w:colFirst="0" w:colLast="0"/>
    <w:bookmarkEnd w:id="77"/>
    <w:p w14:paraId="000001E2">
      <w:pPr>
        <w:pStyle w:val="style3"/>
        <w:rPr/>
      </w:pPr>
      <w:r>
        <w:rPr/>
        <w:t>22.1 Officer Capabilities on an Open Application</w:t>
      </w:r>
    </w:p>
    <w:p w14:paraId="000001E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Open application; review submitted form data; view and open documents; mark a document Verified or Rejected (with reason); record scrutiny observations (internal, not applicant-visible unless converted into a formal query); raise a query (Section 19); mark a specific requirement/document as satisfied; request a correction; forward the application to the next authorised stage (e.g., to inspection assignment or to the Approving Authority); recommend approval or rejection with a recorded reason; the Approving Authority then performs the actual decision (Section 4.5) — scrutiny never itself finalises a statutory outcome.</w:t>
      </w:r>
    </w:p>
    <w:bookmarkStart w:id="78" w:name="1evl4q26xmmg" w:colFirst="0" w:colLast="0"/>
    <w:bookmarkEnd w:id="78"/>
    <w:p w14:paraId="000001E4">
      <w:pPr>
        <w:pStyle w:val="style3"/>
        <w:rPr/>
      </w:pPr>
      <w:r>
        <w:rPr/>
        <w:t>22.2 Logging Requirement [Explicit]</w:t>
      </w:r>
    </w:p>
    <w:p w14:paraId="000001E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one of the actions in 22.1 is individually logged with officer identity, timestamp, and — where the action changes application state — a before/after record, feeding the audit trail (companion TRD Section 29) without any additional officer effort.</w:t>
      </w:r>
    </w:p>
    <w:p w14:paraId="000001E6">
      <w:pPr>
        <w:pStyle w:val="style0"/>
        <w:rPr/>
      </w:pPr>
      <w:r>
        <w:rPr/>
        <w:pict>
          <v:rect id="1047" fillcolor="#a0a0a0" stroked="f" style="margin-left:0.0pt;margin-top:0.0pt;width:0.0pt;height:1.5pt;mso-wrap-distance-left:0.0pt;mso-wrap-distance-right:0.0pt;visibility:visible;" o:hr="t" o:hralign="center" o:hrstd="t">
            <v:stroke on="f"/>
            <v:fill/>
          </v:rect>
        </w:pict>
      </w:r>
    </w:p>
    <w:bookmarkStart w:id="79" w:name="7kugnkyjhsok" w:colFirst="0" w:colLast="0"/>
    <w:bookmarkEnd w:id="79"/>
    <w:p w14:paraId="000001E7">
      <w:pPr>
        <w:pStyle w:val="style2"/>
        <w:rPr/>
      </w:pPr>
      <w:r>
        <w:rPr/>
        <w:t>23. Parallel Department Workflow</w:t>
      </w:r>
    </w:p>
    <w:p w14:paraId="000001E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6)</w:t>
      </w:r>
    </w:p>
    <w:bookmarkStart w:id="80" w:name="oocxxzkqji1l" w:colFirst="0" w:colLast="0"/>
    <w:bookmarkEnd w:id="80"/>
    <w:p w14:paraId="000001E9">
      <w:pPr>
        <w:pStyle w:val="style3"/>
        <w:rPr/>
      </w:pPr>
      <w:r>
        <w:rPr/>
        <w:t>23.1 Functional Behaviour</w:t>
      </w:r>
    </w:p>
    <w:p w14:paraId="000001E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Where a project requires approvals from multiple departments that have no dependency on one another, each department’s application proceeds </w:t>
      </w:r>
      <w:r>
        <w:rPr>
          <w:rFonts w:ascii="Cambria" w:cs="Cambria" w:eastAsia="Cambria" w:hAnsi="Cambria"/>
          <w:b/>
          <w:bCs/>
          <w:i w:val="false"/>
          <w:iCs w:val="false"/>
          <w:smallCaps w:val="false"/>
          <w:color w:val="000000"/>
          <w:sz w:val="24"/>
          <w:szCs w:val="24"/>
          <w:u w:val="none"/>
          <w:shd w:val="clear" w:color="auto" w:fill="auto"/>
          <w:vertAlign w:val="baseline"/>
        </w:rPr>
        <w:t>independently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its own queue, SLA clock, and officer assignment.</w:t>
      </w:r>
    </w:p>
    <w:p w14:paraId="000001EB">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Department A Application → its own Submitted→Scrutiny→...→Decision timeline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Department B Application → its own independent timeline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Department C Application → its own independent timeline</w:t>
      </w:r>
    </w:p>
    <w:bookmarkStart w:id="81" w:name="1bbryim1rtos" w:colFirst="0" w:colLast="0"/>
    <w:bookmarkEnd w:id="81"/>
    <w:p w14:paraId="000001EC">
      <w:pPr>
        <w:pStyle w:val="style3"/>
        <w:rPr/>
      </w:pPr>
      <w:r>
        <w:rPr/>
        <w:t>23.2 Applicant-Facing Consolidation</w:t>
      </w:r>
    </w:p>
    <w:p w14:paraId="000001E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entrepreneur sees a single </w:t>
      </w:r>
      <w:r>
        <w:rPr>
          <w:rFonts w:ascii="Cambria" w:cs="Cambria" w:eastAsia="Cambria" w:hAnsi="Cambria"/>
          <w:b/>
          <w:bCs/>
          <w:i w:val="false"/>
          <w:iCs w:val="false"/>
          <w:smallCaps w:val="false"/>
          <w:color w:val="000000"/>
          <w:sz w:val="24"/>
          <w:szCs w:val="24"/>
          <w:u w:val="none"/>
          <w:shd w:val="clear" w:color="auto" w:fill="auto"/>
          <w:vertAlign w:val="baseline"/>
        </w:rPr>
        <w:t>consolidated Applications view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listing all approvals for the project side by side with their independent statuses — a convenience aggregation for visibility only. The system never merges or implies a combined statutory outcome (e.g., it never shows a single “Project Approved” status derived from partial departmental approvals) — each department’s decision remains its own, clearly attributed.</w:t>
      </w:r>
    </w:p>
    <w:bookmarkStart w:id="82" w:name="bo0kobgibrqq" w:colFirst="0" w:colLast="0"/>
    <w:bookmarkEnd w:id="82"/>
    <w:p w14:paraId="000001EE">
      <w:pPr>
        <w:pStyle w:val="style3"/>
        <w:rPr/>
      </w:pPr>
      <w:r>
        <w:rPr/>
        <w:t>23.3 Dependency Handling</w:t>
      </w:r>
    </w:p>
    <w:p w14:paraId="000001E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Where one approval genuinely depends on another (identified during discovery, Section 10.2), the dependent application is shown as “Waiting on Dependency” and cannot be submitted until the prerequisite reaches its configured minimum state — this is the one case where sequencing, not parallelism, applies.</w:t>
      </w:r>
    </w:p>
    <w:p w14:paraId="000001F0">
      <w:pPr>
        <w:pStyle w:val="style0"/>
        <w:rPr/>
      </w:pPr>
      <w:r>
        <w:rPr/>
        <w:pict>
          <v:rect id="1048" fillcolor="#a0a0a0" stroked="f" style="margin-left:0.0pt;margin-top:0.0pt;width:0.0pt;height:1.5pt;mso-wrap-distance-left:0.0pt;mso-wrap-distance-right:0.0pt;visibility:visible;" o:hr="t" o:hralign="center" o:hrstd="t">
            <v:stroke on="f"/>
            <v:fill/>
          </v:rect>
        </w:pict>
      </w:r>
    </w:p>
    <w:bookmarkStart w:id="83" w:name="dzwf7tkgm0bs" w:colFirst="0" w:colLast="0"/>
    <w:bookmarkEnd w:id="83"/>
    <w:p w14:paraId="000001F1">
      <w:pPr>
        <w:pStyle w:val="style2"/>
        <w:rPr/>
      </w:pPr>
      <w:r>
        <w:rPr/>
        <w:t>24. Inspection Module</w:t>
      </w:r>
    </w:p>
    <w:p w14:paraId="000001F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7)</w:t>
      </w:r>
    </w:p>
    <w:bookmarkStart w:id="84" w:name="f8qbdiafr4m7" w:colFirst="0" w:colLast="0"/>
    <w:bookmarkEnd w:id="84"/>
    <w:p w14:paraId="000001F3">
      <w:pPr>
        <w:pStyle w:val="style3"/>
        <w:rPr/>
      </w:pPr>
      <w:r>
        <w:rPr/>
        <w:t>24.1 Applicant Experience</w:t>
      </w:r>
    </w:p>
    <w:p w14:paraId="000001F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 that an inspection is required; a proposed schedule (date/time window); ability to confirm or request rescheduling where the department’s policy permits; inspector information where the department allows disclosure (</w:t>
      </w:r>
      <w:r>
        <w:rPr>
          <w:rFonts w:ascii="Cambria" w:cs="Cambria" w:eastAsia="Cambria" w:hAnsi="Cambria"/>
          <w:b/>
          <w:bCs/>
          <w:i w:val="false"/>
          <w:iCs w:val="false"/>
          <w:smallCaps w:val="false"/>
          <w:color w:val="000000"/>
          <w:sz w:val="24"/>
          <w:szCs w:val="24"/>
          <w:u w:val="none"/>
          <w:shd w:val="clear" w:color="auto" w:fill="auto"/>
          <w:vertAlign w:val="baseline"/>
        </w:rPr>
        <w:t>TO BE VALIDATED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pre-visit instructions and any documents to keep ready; live inspection status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 Pending → Scheduled → Completed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and the result/outcome once recorded.</w:t>
      </w:r>
    </w:p>
    <w:bookmarkStart w:id="85" w:name="sea7fxj3kc16" w:colFirst="0" w:colLast="0"/>
    <w:bookmarkEnd w:id="85"/>
    <w:p w14:paraId="000001F5">
      <w:pPr>
        <w:pStyle w:val="style3"/>
        <w:rPr/>
      </w:pPr>
      <w:r>
        <w:rPr/>
        <w:t>24.2 Inspector Experience</w:t>
      </w:r>
    </w:p>
    <w:p w14:paraId="000001F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List of assigned inspections; the minimum project/site information needed to conduct the visit; a structured checklist specific to the approval type; fields to record observations; evidence upload (photos/documents, with metadata such as capture time); a findings summary (compliant / non-compliant / conditional); a corrective-action recommendation field where findings are non-compliant; and a Submit Report action that feeds directly into the application’s scrutiny record (Section 22).</w:t>
      </w:r>
    </w:p>
    <w:bookmarkStart w:id="86" w:name="m2kp49vrb0nb" w:colFirst="0" w:colLast="0"/>
    <w:bookmarkEnd w:id="86"/>
    <w:p w14:paraId="000001F7">
      <w:pPr>
        <w:pStyle w:val="style3"/>
        <w:rPr/>
      </w:pPr>
      <w:r>
        <w:rPr/>
        <w:t>24.3 Common Inspection Awareness [Feasibility-scoped]</w:t>
      </w:r>
    </w:p>
    <w:p w14:paraId="000001F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Where two departments have independently scheduled inspections for the same project/site in an overlapping window, the applicant and both inspectors see a visible notice (“Another inspection is scheduled for this site on [date]”) to prompt coordination. The platform </w:t>
      </w:r>
      <w:r>
        <w:rPr>
          <w:rFonts w:ascii="Cambria" w:cs="Cambria" w:eastAsia="Cambria" w:hAnsi="Cambria"/>
          <w:b/>
          <w:bCs/>
          <w:i w:val="false"/>
          <w:iCs w:val="false"/>
          <w:smallCaps w:val="false"/>
          <w:color w:val="000000"/>
          <w:sz w:val="24"/>
          <w:szCs w:val="24"/>
          <w:u w:val="none"/>
          <w:shd w:val="clear" w:color="auto" w:fill="auto"/>
          <w:vertAlign w:val="baseline"/>
        </w:rPr>
        <w:t>suggests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rather than </w:t>
      </w:r>
      <w:r>
        <w:rPr>
          <w:rFonts w:ascii="Cambria" w:cs="Cambria" w:eastAsia="Cambria" w:hAnsi="Cambria"/>
          <w:b/>
          <w:bCs/>
          <w:i w:val="false"/>
          <w:iCs w:val="false"/>
          <w:smallCaps w:val="false"/>
          <w:color w:val="000000"/>
          <w:sz w:val="24"/>
          <w:szCs w:val="24"/>
          <w:u w:val="none"/>
          <w:shd w:val="clear" w:color="auto" w:fill="auto"/>
          <w:vertAlign w:val="baseline"/>
        </w:rPr>
        <w:t>forces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combined visit, since whether one physical visit can legally satisfy multiple departments’ requirements is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F9">
      <w:pPr>
        <w:pStyle w:val="style0"/>
        <w:rPr/>
      </w:pPr>
      <w:r>
        <w:rPr/>
        <w:pict>
          <v:rect id="1049" fillcolor="#a0a0a0" stroked="f" style="margin-left:0.0pt;margin-top:0.0pt;width:0.0pt;height:1.5pt;mso-wrap-distance-left:0.0pt;mso-wrap-distance-right:0.0pt;visibility:visible;" o:hr="t" o:hralign="center" o:hrstd="t">
            <v:stroke on="f"/>
            <v:fill/>
          </v:rect>
        </w:pict>
      </w:r>
    </w:p>
    <w:bookmarkStart w:id="87" w:name="9m1gd5b152sz" w:colFirst="0" w:colLast="0"/>
    <w:bookmarkEnd w:id="87"/>
    <w:p w14:paraId="000001FA">
      <w:pPr>
        <w:pStyle w:val="style2"/>
        <w:rPr/>
      </w:pPr>
      <w:r>
        <w:rPr/>
        <w:t>25. SLA Management (Functional View)</w:t>
      </w:r>
    </w:p>
    <w:p w14:paraId="000001F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8, 15, 16)</w:t>
      </w:r>
    </w:p>
    <w:bookmarkStart w:id="88" w:name="nwm4i7jr3r91" w:colFirst="0" w:colLast="0"/>
    <w:bookmarkEnd w:id="88"/>
    <w:p w14:paraId="000001FC">
      <w:pPr>
        <w:pStyle w:val="style3"/>
        <w:rPr/>
      </w:pPr>
      <w:r>
        <w:rPr/>
        <w:t>25.1 Applicant-Facing SLA Information</w:t>
      </w:r>
    </w:p>
    <w:p w14:paraId="000001F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Submission date, current stage, expected timeline </w:t>
      </w:r>
      <w:r>
        <w:rPr>
          <w:rFonts w:ascii="Cambria" w:cs="Cambria" w:eastAsia="Cambria" w:hAnsi="Cambria"/>
          <w:b/>
          <w:bCs/>
          <w:i w:val="false"/>
          <w:iCs w:val="false"/>
          <w:smallCaps w:val="false"/>
          <w:color w:val="000000"/>
          <w:sz w:val="24"/>
          <w:szCs w:val="24"/>
          <w:u w:val="none"/>
          <w:shd w:val="clear" w:color="auto" w:fill="auto"/>
          <w:vertAlign w:val="baseline"/>
        </w:rPr>
        <w:t>only where a department has officially configured a statutory SLA for that approval 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(otherwise the field simply shows “Timeline not yet configured” rather than a guess), elapsed time since submission, any applicant-side response deadline (during a query), and current status.</w:t>
      </w:r>
    </w:p>
    <w:bookmarkStart w:id="89" w:name="k1ihc8vad2s1" w:colFirst="0" w:colLast="0"/>
    <w:bookmarkEnd w:id="89"/>
    <w:p w14:paraId="000001FE">
      <w:pPr>
        <w:pStyle w:val="style3"/>
        <w:rPr/>
      </w:pPr>
      <w:r>
        <w:rPr/>
        <w:t>25.2 Officer-Facing SLA Information</w:t>
      </w:r>
    </w:p>
    <w:p w14:paraId="000001F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countdown/status per application in their queue, how long an item has been pending at the current stage, upcoming-breach warnings, and a clearly flagged “Breached” indicator for anything past its configured timeline.</w:t>
      </w:r>
    </w:p>
    <w:bookmarkStart w:id="90" w:name="j7e7dcxq1b43" w:colFirst="0" w:colLast="0"/>
    <w:bookmarkEnd w:id="90"/>
    <w:p w14:paraId="00000200">
      <w:pPr>
        <w:pStyle w:val="style3"/>
        <w:rPr/>
      </w:pPr>
      <w:r>
        <w:rPr/>
        <w:t>25.3 Explicit Rule [mandatory]</w:t>
      </w:r>
    </w:p>
    <w:p w14:paraId="0000020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platform </w:t>
      </w:r>
      <w:r>
        <w:rPr>
          <w:rFonts w:ascii="Cambria" w:cs="Cambria" w:eastAsia="Cambria" w:hAnsi="Cambria"/>
          <w:b/>
          <w:bCs/>
          <w:i w:val="false"/>
          <w:iCs w:val="false"/>
          <w:smallCaps w:val="false"/>
          <w:color w:val="000000"/>
          <w:sz w:val="24"/>
          <w:szCs w:val="24"/>
          <w:u w:val="none"/>
          <w:shd w:val="clear" w:color="auto" w:fill="auto"/>
          <w:vertAlign w:val="baseline"/>
        </w:rPr>
        <w:t>never promises or predicts an approval date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unless that timeline has been officially configured by the owning department as a statutory SLA. Where no such configuration exists, every relevant screen shows “Timeline not yet configured — TO BE VALIDATED WITH GOVERNMENT DEPARTMENT” rather than an estimate that could be mistaken for an official commitment.</w:t>
      </w:r>
    </w:p>
    <w:p w14:paraId="00000202">
      <w:pPr>
        <w:pStyle w:val="style0"/>
        <w:rPr/>
      </w:pPr>
      <w:r>
        <w:rPr/>
        <w:pict>
          <v:rect id="1050" fillcolor="#a0a0a0" stroked="f" style="margin-left:0.0pt;margin-top:0.0pt;width:0.0pt;height:1.5pt;mso-wrap-distance-left:0.0pt;mso-wrap-distance-right:0.0pt;visibility:visible;" o:hr="t" o:hralign="center" o:hrstd="t">
            <v:stroke on="f"/>
            <v:fill/>
          </v:rect>
        </w:pict>
      </w:r>
    </w:p>
    <w:bookmarkStart w:id="91" w:name="rzfa2xuudyvu" w:colFirst="0" w:colLast="0"/>
    <w:bookmarkEnd w:id="91"/>
    <w:p w14:paraId="00000203">
      <w:pPr>
        <w:pStyle w:val="style2"/>
        <w:rPr/>
      </w:pPr>
      <w:r>
        <w:rPr/>
        <w:t>26. Notifications</w:t>
      </w:r>
    </w:p>
    <w:p w14:paraId="0000020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9)</w:t>
      </w:r>
    </w:p>
    <w:bookmarkStart w:id="92" w:name="o2p89rrd8bdg" w:colFirst="0" w:colLast="0"/>
    <w:bookmarkEnd w:id="92"/>
    <w:p w14:paraId="00000205">
      <w:pPr>
        <w:pStyle w:val="style3"/>
        <w:rPr/>
      </w:pPr>
      <w:r>
        <w:rPr/>
        <w:t>26.1 Event Catalogue</w:t>
      </w:r>
    </w:p>
    <w:p w14:paraId="0000020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Registration completed, application saved (draft), application submitted, application received (department acknowledgement), query raised, query deadline approaching, query responded, inspection scheduled, inspection rescheduled, approval issued, application rejected, renewal approaching, compliance deadline approaching, grievance status update, scheme application status update, SLA escalation (officer-facing).</w:t>
      </w:r>
    </w:p>
    <w:bookmarkStart w:id="93" w:name="r702ccnsxmbj" w:colFirst="0" w:colLast="0"/>
    <w:bookmarkEnd w:id="93"/>
    <w:p w14:paraId="00000207">
      <w:pPr>
        <w:pStyle w:val="style3"/>
        <w:rPr/>
      </w:pPr>
      <w:r>
        <w:rPr/>
        <w:t>26.2 Per-Notification Structure</w:t>
      </w:r>
    </w:p>
    <w:p w14:paraId="0000020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notification record captures: the triggering event, the recipient, the delivery channel(s) used, the message content, the timestamp, and the delivery status (sent/delivered/failed/read).</w:t>
      </w:r>
    </w:p>
    <w:bookmarkStart w:id="94" w:name="24cm976inrm4" w:colFirst="0" w:colLast="0"/>
    <w:bookmarkEnd w:id="94"/>
    <w:p w14:paraId="00000209">
      <w:pPr>
        <w:pStyle w:val="style3"/>
        <w:rPr/>
      </w:pPr>
      <w:r>
        <w:rPr/>
        <w:t>26.3 Applicant Controls</w:t>
      </w:r>
    </w:p>
    <w:p w14:paraId="0000020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Notification Preferences screen lets the applicant choose channel (in-app/email/SMS) per event category; legally significant notices (rejection, decision issuance) are always delivered in-app regardless of channel preference, to guarantee the applicant has a permanent, unmissable record.</w:t>
      </w:r>
    </w:p>
    <w:p w14:paraId="0000020B">
      <w:pPr>
        <w:pStyle w:val="style0"/>
        <w:rPr/>
      </w:pPr>
      <w:r>
        <w:rPr/>
        <w:pict>
          <v:rect id="1051" fillcolor="#a0a0a0" stroked="f" style="margin-left:0.0pt;margin-top:0.0pt;width:0.0pt;height:1.5pt;mso-wrap-distance-left:0.0pt;mso-wrap-distance-right:0.0pt;visibility:visible;" o:hr="t" o:hralign="center" o:hrstd="t">
            <v:stroke on="f"/>
            <v:fill/>
          </v:rect>
        </w:pict>
      </w:r>
    </w:p>
    <w:bookmarkStart w:id="95" w:name="82hwma41me8i" w:colFirst="0" w:colLast="0"/>
    <w:bookmarkEnd w:id="95"/>
    <w:p w14:paraId="0000020C">
      <w:pPr>
        <w:pStyle w:val="style2"/>
        <w:rPr/>
      </w:pPr>
      <w:r>
        <w:rPr/>
        <w:t>27. Compliance Module</w:t>
      </w:r>
    </w:p>
    <w:p w14:paraId="0000020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10)</w:t>
      </w:r>
    </w:p>
    <w:bookmarkStart w:id="96" w:name="r9ka5b39blfw" w:colFirst="0" w:colLast="0"/>
    <w:bookmarkEnd w:id="96"/>
    <w:p w14:paraId="0000020E">
      <w:pPr>
        <w:pStyle w:val="style3"/>
        <w:rPr/>
      </w:pPr>
      <w:r>
        <w:rPr/>
        <w:t>27.1 Per-Obligation Display</w:t>
      </w:r>
    </w:p>
    <w:p w14:paraId="0000020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Requirement (plain-language description), responsible entity (the enterprise itself, or a specific officer role), frequency (one-time/periodic), due date, current status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Upcoming → Due → Overdue → Fulfilled</w:t>
      </w:r>
      <w:r>
        <w:rPr>
          <w:rFonts w:ascii="Cambria" w:cs="Cambria" w:eastAsia="Cambria" w:hAnsi="Cambria"/>
          <w:b w:val="false"/>
          <w:bCs w:val="false"/>
          <w:i w:val="false"/>
          <w:iCs w:val="false"/>
          <w:smallCaps w:val="false"/>
          <w:color w:val="000000"/>
          <w:sz w:val="24"/>
          <w:szCs w:val="24"/>
          <w:u w:val="none"/>
          <w:shd w:val="clear" w:color="auto" w:fill="auto"/>
          <w:vertAlign w:val="baseline"/>
        </w:rPr>
        <w:t>), supporting document (if any is required to evidence fulfilment), the action the applicant must take, and its relationship to any renewal (Section 28).</w:t>
      </w:r>
    </w:p>
    <w:bookmarkStart w:id="97" w:name="80agkymj0u4u" w:colFirst="0" w:colLast="0"/>
    <w:bookmarkEnd w:id="97"/>
    <w:p w14:paraId="00000210">
      <w:pPr>
        <w:pStyle w:val="style3"/>
        <w:rPr/>
      </w:pPr>
      <w:r>
        <w:rPr/>
        <w:t>27.2 Explicit Non-Invention Rule</w:t>
      </w:r>
    </w:p>
    <w:p w14:paraId="0000021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Compliance Module </w:t>
      </w:r>
      <w:r>
        <w:rPr>
          <w:rFonts w:ascii="Cambria" w:cs="Cambria" w:eastAsia="Cambria" w:hAnsi="Cambria"/>
          <w:b/>
          <w:bCs/>
          <w:i w:val="false"/>
          <w:iCs w:val="false"/>
          <w:smallCaps w:val="false"/>
          <w:color w:val="000000"/>
          <w:sz w:val="24"/>
          <w:szCs w:val="24"/>
          <w:u w:val="none"/>
          <w:shd w:val="clear" w:color="auto" w:fill="auto"/>
          <w:vertAlign w:val="baseline"/>
        </w:rPr>
        <w:t>only ever displays obligations that a government department has explicitly configured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against an approval type (companion TRD Section 14). The platform never infers or invents a compliance requirement from general knowledge of “typical” industrial regulation — an approval with no configured obligations simply shows none, with a note that obligations will appear here once confirmed by the issuing department.</w:t>
      </w:r>
    </w:p>
    <w:p w14:paraId="00000212">
      <w:pPr>
        <w:pStyle w:val="style0"/>
        <w:rPr/>
      </w:pPr>
      <w:r>
        <w:rPr/>
        <w:pict>
          <v:rect id="1052" fillcolor="#a0a0a0" stroked="f" style="margin-left:0.0pt;margin-top:0.0pt;width:0.0pt;height:1.5pt;mso-wrap-distance-left:0.0pt;mso-wrap-distance-right:0.0pt;visibility:visible;" o:hr="t" o:hralign="center" o:hrstd="t">
            <v:stroke on="f"/>
            <v:fill/>
          </v:rect>
        </w:pict>
      </w:r>
    </w:p>
    <w:bookmarkStart w:id="98" w:name="igcujhzale3z" w:colFirst="0" w:colLast="0"/>
    <w:bookmarkEnd w:id="98"/>
    <w:p w14:paraId="00000213">
      <w:pPr>
        <w:pStyle w:val="style2"/>
        <w:rPr/>
      </w:pPr>
      <w:r>
        <w:rPr/>
        <w:t>28. Renewal Module</w:t>
      </w:r>
    </w:p>
    <w:p w14:paraId="0000021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11)</w:t>
      </w:r>
    </w:p>
    <w:bookmarkStart w:id="99" w:name="6psmkb6pfja4" w:colFirst="0" w:colLast="0"/>
    <w:bookmarkEnd w:id="99"/>
    <w:p w14:paraId="00000215">
      <w:pPr>
        <w:pStyle w:val="style3"/>
        <w:rPr/>
      </w:pPr>
      <w:r>
        <w:rPr/>
        <w:t>28.1 Functional Requirements</w:t>
      </w:r>
    </w:p>
    <w:p w14:paraId="0000021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Upcoming Renewals list (with days-remaining indicator), renewal date, documents required for renewal (typically a subset of the original, reusing verified data per Section 15 wherever the department’s rule allows), a renewal application flow that reuses the original approval’s data as its starting point rather than requiring a fresh application from scratch, status tracking identical in structure to a new application (Section 18), configurable reminder notifications at multiple intervals before expiry (e.g., 90/60/30/7 days — exact cadence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and the final approval/result once processed.</w:t>
      </w:r>
    </w:p>
    <w:bookmarkStart w:id="100" w:name="88oihz1z6em3" w:colFirst="0" w:colLast="0"/>
    <w:bookmarkEnd w:id="100"/>
    <w:p w14:paraId="00000217">
      <w:pPr>
        <w:pStyle w:val="style3"/>
        <w:rPr/>
      </w:pPr>
      <w:r>
        <w:rPr/>
        <w:t>28.2 Continuity Principle</w:t>
      </w:r>
    </w:p>
    <w:p w14:paraId="0000021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renewal is visually and functionally linked to its original approval in the applicant’s history — never presented as an unrelated new application — so the entrepreneur can see the full lineage of a licence across renewal cycles.</w:t>
      </w:r>
    </w:p>
    <w:p w14:paraId="00000219">
      <w:pPr>
        <w:pStyle w:val="style0"/>
        <w:rPr/>
      </w:pPr>
      <w:r>
        <w:rPr/>
        <w:pict>
          <v:rect id="1053" fillcolor="#a0a0a0" stroked="f" style="margin-left:0.0pt;margin-top:0.0pt;width:0.0pt;height:1.5pt;mso-wrap-distance-left:0.0pt;mso-wrap-distance-right:0.0pt;visibility:visible;" o:hr="t" o:hralign="center" o:hrstd="t">
            <v:stroke on="f"/>
            <v:fill/>
          </v:rect>
        </w:pict>
      </w:r>
    </w:p>
    <w:bookmarkStart w:id="101" w:name="nnlf7trj0y5" w:colFirst="0" w:colLast="0"/>
    <w:bookmarkEnd w:id="101"/>
    <w:p w14:paraId="0000021A">
      <w:pPr>
        <w:pStyle w:val="style2"/>
        <w:rPr/>
      </w:pPr>
      <w:r>
        <w:rPr/>
        <w:t>29. Schemes and Incentives</w:t>
      </w:r>
    </w:p>
    <w:p w14:paraId="0000021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12)</w:t>
      </w:r>
    </w:p>
    <w:bookmarkStart w:id="102" w:name="jtzaxoo68m7e" w:colFirst="0" w:colLast="0"/>
    <w:bookmarkEnd w:id="102"/>
    <w:p w14:paraId="0000021C">
      <w:pPr>
        <w:pStyle w:val="style3"/>
        <w:rPr/>
      </w:pPr>
      <w:r>
        <w:rPr/>
        <w:t>29.1 Discovery Experience</w:t>
      </w:r>
    </w:p>
    <w:p w14:paraId="0000021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Entrepreneurs can browse the full scheme catalogue, search by keyword, and filter by sector, location/district, enterprise size, and benefit type — available both publicly (Section 6) and within the logged-in portal.</w:t>
      </w:r>
    </w:p>
    <w:bookmarkStart w:id="103" w:name="4hspcl3woz50" w:colFirst="0" w:colLast="0"/>
    <w:bookmarkEnd w:id="103"/>
    <w:p w14:paraId="0000021E">
      <w:pPr>
        <w:pStyle w:val="style3"/>
        <w:rPr/>
      </w:pPr>
      <w:r>
        <w:rPr/>
        <w:t>29.2 Per-Scheme Display</w:t>
      </w:r>
    </w:p>
    <w:p w14:paraId="0000021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name, administering department, eligibility criteria (plain language), benefits offered, applicable sectors/locations/investment thresholds, required documents, application deadline (if any), and a Start Application action.</w:t>
      </w:r>
    </w:p>
    <w:bookmarkStart w:id="104" w:name="cpsx9gqe4zi0" w:colFirst="0" w:colLast="0"/>
    <w:bookmarkEnd w:id="104"/>
    <w:p w14:paraId="00000220">
      <w:pPr>
        <w:pStyle w:val="style3"/>
        <w:rPr/>
      </w:pPr>
      <w:r>
        <w:rPr/>
        <w:t>29.3 “Potentially Relevant Schemes” Panel</w:t>
      </w:r>
    </w:p>
    <w:p w14:paraId="0000022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Using the applicant’s already-verified enterprise/project data, the platform surfaces a short, ranked list of schemes the applicant </w:t>
      </w:r>
      <w:r>
        <w:rPr>
          <w:rFonts w:ascii="Cambria" w:cs="Cambria" w:eastAsia="Cambria" w:hAnsi="Cambria"/>
          <w:b/>
          <w:bCs/>
          <w:i w:val="false"/>
          <w:iCs w:val="false"/>
          <w:smallCaps w:val="false"/>
          <w:color w:val="000000"/>
          <w:sz w:val="24"/>
          <w:szCs w:val="24"/>
          <w:u w:val="none"/>
          <w:shd w:val="clear" w:color="auto" w:fill="auto"/>
          <w:vertAlign w:val="baseline"/>
        </w:rPr>
        <w:t>may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be eligible for on their Dashboard (Section 8) and within Schemes &amp; Incentives.</w:t>
      </w:r>
    </w:p>
    <w:bookmarkStart w:id="105" w:name="5mct58x7n81" w:colFirst="0" w:colLast="0"/>
    <w:bookmarkEnd w:id="105"/>
    <w:p w14:paraId="00000222">
      <w:pPr>
        <w:pStyle w:val="style3"/>
        <w:rPr/>
      </w:pPr>
      <w:r>
        <w:rPr/>
        <w:t>29.4 Mandatory Distinction [Explicit requirement]</w:t>
      </w:r>
    </w:p>
    <w:p w14:paraId="0000022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recommended scheme is labelled: </w:t>
      </w:r>
      <w:r>
        <w:rPr>
          <w:rFonts w:ascii="Cambria" w:cs="Cambria" w:eastAsia="Cambria" w:hAnsi="Cambria"/>
          <w:b w:val="false"/>
          <w:bCs w:val="false"/>
          <w:i/>
          <w:iCs/>
          <w:smallCaps w:val="false"/>
          <w:color w:val="000000"/>
          <w:sz w:val="24"/>
          <w:szCs w:val="24"/>
          <w:u w:val="none"/>
          <w:shd w:val="clear" w:color="auto" w:fill="auto"/>
          <w:vertAlign w:val="baseline"/>
        </w:rPr>
        <w:t>“You may be eligible for this scheme based on your project details. This is not an official eligibility determination — apply to receive a decision from the administering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recommendation and the formal application/decision are always two visually and functionally distinct steps; the platform never states or implies that a recommendation equals approval.</w:t>
      </w:r>
    </w:p>
    <w:bookmarkStart w:id="106" w:name="7uicrvyt60u0" w:colFirst="0" w:colLast="0"/>
    <w:bookmarkEnd w:id="106"/>
    <w:p w14:paraId="00000224">
      <w:pPr>
        <w:pStyle w:val="style3"/>
        <w:rPr/>
      </w:pPr>
      <w:r>
        <w:rPr/>
        <w:t>29.5 Application Tracking</w:t>
      </w:r>
    </w:p>
    <w:p w14:paraId="0000022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Once applied, a scheme application follows the same tracking pattern as an approval application (Section 18): reference number, status, timeline, and decision, handled by the Scheme/Incentive Officer role (Section 34).</w:t>
      </w:r>
    </w:p>
    <w:p w14:paraId="00000226">
      <w:pPr>
        <w:pStyle w:val="style0"/>
        <w:rPr/>
      </w:pPr>
      <w:r>
        <w:rPr/>
        <w:pict>
          <v:rect id="1054" fillcolor="#a0a0a0" stroked="f" style="margin-left:0.0pt;margin-top:0.0pt;width:0.0pt;height:1.5pt;mso-wrap-distance-left:0.0pt;mso-wrap-distance-right:0.0pt;visibility:visible;" o:hr="t" o:hralign="center" o:hrstd="t">
            <v:stroke on="f"/>
            <v:fill/>
          </v:rect>
        </w:pict>
      </w:r>
    </w:p>
    <w:bookmarkStart w:id="107" w:name="bjzj2f6s3x" w:colFirst="0" w:colLast="0"/>
    <w:bookmarkEnd w:id="107"/>
    <w:p w14:paraId="00000227">
      <w:pPr>
        <w:pStyle w:val="style2"/>
        <w:rPr/>
      </w:pPr>
      <w:r>
        <w:rPr/>
        <w:t>30. Grievance Function</w:t>
      </w:r>
    </w:p>
    <w:p w14:paraId="0000022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13)</w:t>
      </w:r>
    </w:p>
    <w:bookmarkStart w:id="108" w:name="hp50f4w1zg4b" w:colFirst="0" w:colLast="0"/>
    <w:bookmarkEnd w:id="108"/>
    <w:p w14:paraId="00000229">
      <w:pPr>
        <w:pStyle w:val="style3"/>
        <w:rPr/>
      </w:pPr>
      <w:r>
        <w:rPr/>
        <w:t>30.1 Applicant-Facing Flow</w:t>
      </w:r>
    </w:p>
    <w:p w14:paraId="0000022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Raise Grievance → Select Category (e.g., delay, officer conduct, technical issue, incorrect information) → Describe Issue (free text) → Upload Evidence (optional) → Submit → Grievance Reference Number Generated → Track Status → View Department Response → Provide Feedback on Resolution → (Reopen if unsatisfied, within a configurable window) → Closure.</w:t>
      </w:r>
    </w:p>
    <w:bookmarkStart w:id="109" w:name="p8e0z2me9ccb" w:colFirst="0" w:colLast="0"/>
    <w:bookmarkEnd w:id="109"/>
    <w:p w14:paraId="0000022B">
      <w:pPr>
        <w:pStyle w:val="style3"/>
        <w:rPr/>
      </w:pPr>
      <w:r>
        <w:rPr/>
        <w:t>30.2 Linkage</w:t>
      </w:r>
    </w:p>
    <w:p w14:paraId="0000022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grievance can optionally be linked to a specific Application Reference Number for context, but can also be filed independently (e.g., a general portal usability complaint) — the category selection determines routing either way (companion TRD Section 16).</w:t>
      </w:r>
    </w:p>
    <w:bookmarkStart w:id="110" w:name="rchsi3hrgqx8" w:colFirst="0" w:colLast="0"/>
    <w:bookmarkEnd w:id="110"/>
    <w:p w14:paraId="0000022D">
      <w:pPr>
        <w:pStyle w:val="style3"/>
        <w:rPr/>
      </w:pPr>
      <w:r>
        <w:rPr/>
        <w:t>30.3 Escalation Visibility</w:t>
      </w:r>
    </w:p>
    <w:p w14:paraId="0000022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If a grievance is escalated (e.g., unresolved within the department’s configured window), the applicant sees an “Escalated” status and the escalation date, without necessarily seeing internal escalation-chain details (Section 5 visibility principle).</w:t>
      </w:r>
    </w:p>
    <w:p w14:paraId="0000022F">
      <w:pPr>
        <w:pStyle w:val="style0"/>
        <w:rPr/>
      </w:pPr>
      <w:r>
        <w:rPr/>
        <w:pict>
          <v:rect id="1055" fillcolor="#a0a0a0" stroked="f" style="margin-left:0.0pt;margin-top:0.0pt;width:0.0pt;height:1.5pt;mso-wrap-distance-left:0.0pt;mso-wrap-distance-right:0.0pt;visibility:visible;" o:hr="t" o:hralign="center" o:hrstd="t">
            <v:stroke on="f"/>
            <v:fill/>
          </v:rect>
        </w:pict>
      </w:r>
    </w:p>
    <w:bookmarkStart w:id="111" w:name="xrrx2gjz2alp" w:colFirst="0" w:colLast="0"/>
    <w:bookmarkEnd w:id="111"/>
    <w:p w14:paraId="00000230">
      <w:pPr>
        <w:pStyle w:val="style2"/>
        <w:rPr/>
      </w:pPr>
      <w:r>
        <w:rPr/>
        <w:t>31. Search</w:t>
      </w:r>
    </w:p>
    <w:p w14:paraId="0000023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14, 16)</w:t>
      </w:r>
    </w:p>
    <w:bookmarkStart w:id="112" w:name="badwzexd8ks0" w:colFirst="0" w:colLast="0"/>
    <w:bookmarkEnd w:id="112"/>
    <w:p w14:paraId="00000232">
      <w:pPr>
        <w:pStyle w:val="style3"/>
        <w:rPr/>
      </w:pPr>
      <w:r>
        <w:rPr/>
        <w:t>31.1 Scope</w:t>
      </w:r>
    </w:p>
    <w:p w14:paraId="0000023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single global search available in both the public site and the logged-in portal, covering: approval/licence/registration/NOC names, schemes, the applicant’s own applications (by reference number or approval name), FAQs, regulatory information/notices, and department names/contacts.</w:t>
      </w:r>
    </w:p>
    <w:bookmarkStart w:id="113" w:name="g7ai5makoisn" w:colFirst="0" w:colLast="0"/>
    <w:bookmarkEnd w:id="113"/>
    <w:p w14:paraId="00000234">
      <w:pPr>
        <w:pStyle w:val="style3"/>
        <w:rPr/>
      </w:pPr>
      <w:r>
        <w:rPr/>
        <w:t>31.2 Result Presentation Rule [Explicit requirement]</w:t>
      </w:r>
    </w:p>
    <w:p w14:paraId="0000023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Search results are always visually grouped and labelled by type — </w:t>
      </w:r>
      <w:r>
        <w:rPr>
          <w:rFonts w:ascii="Cambria" w:cs="Cambria" w:eastAsia="Cambria" w:hAnsi="Cambria"/>
          <w:b/>
          <w:bCs/>
          <w:i w:val="false"/>
          <w:iCs w:val="false"/>
          <w:smallCaps w:val="false"/>
          <w:color w:val="000000"/>
          <w:sz w:val="24"/>
          <w:szCs w:val="24"/>
          <w:u w:val="none"/>
          <w:shd w:val="clear" w:color="auto" w:fill="auto"/>
          <w:vertAlign w:val="baseline"/>
        </w:rPr>
        <w:t>“Official Information”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(approval catalogue, regulatory notices, FAQs — public, government-authored content) versus </w:t>
      </w:r>
      <w:r>
        <w:rPr>
          <w:rFonts w:ascii="Cambria" w:cs="Cambria" w:eastAsia="Cambria" w:hAnsi="Cambria"/>
          <w:b/>
          <w:bCs/>
          <w:i w:val="false"/>
          <w:iCs w:val="false"/>
          <w:smallCaps w:val="false"/>
          <w:color w:val="000000"/>
          <w:sz w:val="24"/>
          <w:szCs w:val="24"/>
          <w:u w:val="none"/>
          <w:shd w:val="clear" w:color="auto" w:fill="auto"/>
          <w:vertAlign w:val="baseline"/>
        </w:rPr>
        <w:t>“Your 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(personal, application-specific results) — so a user can never mistake a generic informational result for something specific to their own case, or vice versa.</w:t>
      </w:r>
    </w:p>
    <w:p w14:paraId="00000236">
      <w:pPr>
        <w:pStyle w:val="style0"/>
        <w:rPr/>
      </w:pPr>
      <w:r>
        <w:rPr/>
        <w:pict>
          <v:rect id="1056" fillcolor="#a0a0a0" stroked="f" style="margin-left:0.0pt;margin-top:0.0pt;width:0.0pt;height:1.5pt;mso-wrap-distance-left:0.0pt;mso-wrap-distance-right:0.0pt;visibility:visible;" o:hr="t" o:hralign="center" o:hrstd="t">
            <v:stroke on="f"/>
            <v:fill/>
          </v:rect>
        </w:pict>
      </w:r>
    </w:p>
    <w:bookmarkStart w:id="114" w:name="ydna1oo3bxmv" w:colFirst="0" w:colLast="0"/>
    <w:bookmarkEnd w:id="114"/>
    <w:p w14:paraId="00000237">
      <w:pPr>
        <w:pStyle w:val="style2"/>
        <w:rPr/>
      </w:pPr>
      <w:r>
        <w:rPr/>
        <w:t>32. Help and Guidance</w:t>
      </w:r>
    </w:p>
    <w:p w14:paraId="0000023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16)</w:t>
      </w:r>
    </w:p>
    <w:bookmarkStart w:id="115" w:name="vfklrr7keg9b" w:colFirst="0" w:colLast="0"/>
    <w:bookmarkEnd w:id="115"/>
    <w:p w14:paraId="00000239">
      <w:pPr>
        <w:pStyle w:val="style3"/>
        <w:rPr/>
      </w:pPr>
      <w:r>
        <w:rPr/>
        <w:t>32.1 Components</w:t>
      </w:r>
    </w:p>
    <w:p w14:paraId="0000023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FAQs (organised by topic: registration, approvals, documents, payments, inspections, schemes, grievances); step-by-step user guides for each major flow; application-specific instructions embedded contextually within forms (not only in a separate help section); document guidance (what a valid copy of a given document type looks like, common rejection reasons); helpdesk contact details per department; escalation information (what to do if a query/grievance goes unanswered); and a “Common Errors” reference page addressing the most frequent applicant mistakes.</w:t>
      </w:r>
    </w:p>
    <w:bookmarkStart w:id="116" w:name="lul8027f9xae" w:colFirst="0" w:colLast="0"/>
    <w:bookmarkEnd w:id="116"/>
    <w:p w14:paraId="0000023B">
      <w:pPr>
        <w:pStyle w:val="style3"/>
        <w:rPr/>
      </w:pPr>
      <w:r>
        <w:rPr/>
        <w:t>32.2 Optional AI Assistant [Explicit constraint]</w:t>
      </w:r>
    </w:p>
    <w:p w14:paraId="0000023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If an AI assistant (the Regulatory Knowledge RAG assistant described in the companion TRD) is included, it is positioned as </w:t>
      </w:r>
      <w:r>
        <w:rPr>
          <w:rFonts w:ascii="Cambria" w:cs="Cambria" w:eastAsia="Cambria" w:hAnsi="Cambria"/>
          <w:b/>
          <w:bCs/>
          <w:i w:val="false"/>
          <w:iCs w:val="false"/>
          <w:smallCaps w:val="false"/>
          <w:color w:val="000000"/>
          <w:sz w:val="24"/>
          <w:szCs w:val="24"/>
          <w:u w:val="none"/>
          <w:shd w:val="clear" w:color="auto" w:fill="auto"/>
          <w:vertAlign w:val="baseline"/>
        </w:rPr>
        <w:t>one optional support channel among several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never the primary or only way to get help, and never a source of official decisions. Every AI-generated answer carries a visible “This is general guidance, not an official decision” label and, where relevant, a citation back to the specific regulatory source. The platform’s core help content (FAQs, guides) remains fully usable without ever invoking the assistant.</w:t>
      </w:r>
    </w:p>
    <w:p w14:paraId="0000023D">
      <w:pPr>
        <w:pStyle w:val="style0"/>
        <w:rPr/>
      </w:pPr>
      <w:r>
        <w:rPr/>
        <w:pict>
          <v:rect id="1057" fillcolor="#a0a0a0" stroked="f" style="margin-left:0.0pt;margin-top:0.0pt;width:0.0pt;height:1.5pt;mso-wrap-distance-left:0.0pt;mso-wrap-distance-right:0.0pt;visibility:visible;" o:hr="t" o:hralign="center" o:hrstd="t">
            <v:stroke on="f"/>
            <v:fill/>
          </v:rect>
        </w:pict>
      </w:r>
    </w:p>
    <w:bookmarkStart w:id="117" w:name="5878639m350i" w:colFirst="0" w:colLast="0"/>
    <w:bookmarkEnd w:id="117"/>
    <w:p w14:paraId="0000023E">
      <w:pPr>
        <w:pStyle w:val="style2"/>
        <w:rPr/>
      </w:pPr>
      <w:r>
        <w:rPr/>
        <w:t>33. Department Administrator Functions</w:t>
      </w:r>
    </w:p>
    <w:p w14:paraId="0000023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capabilities 6, 8, 15)</w:t>
      </w:r>
    </w:p>
    <w:p w14:paraId="0000024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Manage user accounts within their own department (create, deactivate, reassign role); assign officers to workflow queues; configure department-scoped SLA parameters and workflow steps </w:t>
      </w:r>
      <w:r>
        <w:rPr>
          <w:rFonts w:ascii="Cambria" w:cs="Cambria" w:eastAsia="Cambria" w:hAnsi="Cambria"/>
          <w:b/>
          <w:bCs/>
          <w:i w:val="false"/>
          <w:iCs w:val="false"/>
          <w:smallCaps w:val="false"/>
          <w:color w:val="000000"/>
          <w:sz w:val="24"/>
          <w:szCs w:val="24"/>
          <w:u w:val="none"/>
          <w:shd w:val="clear" w:color="auto" w:fill="auto"/>
          <w:vertAlign w:val="baseline"/>
        </w:rPr>
        <w:t>where the platform’s governance model authorises department-level configuration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(vs parameters that are centrally set by MSInS/Super Admin — this split is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 parameter); monitor department workload, backlog, and officer performance at an aggregate level (not individual surveillance framing); view department-level analytics (Section 36’s data, scoped to their own department); maintain department-authorised master data (e.g., inspector pool, holiday calendar overrides). A Department Administrator </w:t>
      </w:r>
      <w:r>
        <w:rPr>
          <w:rFonts w:ascii="Cambria" w:cs="Cambria" w:eastAsia="Cambria" w:hAnsi="Cambria"/>
          <w:b/>
          <w:bCs/>
          <w:i w:val="false"/>
          <w:iCs w:val="false"/>
          <w:smallCaps w:val="false"/>
          <w:color w:val="000000"/>
          <w:sz w:val="24"/>
          <w:szCs w:val="24"/>
          <w:u w:val="none"/>
          <w:shd w:val="clear" w:color="auto" w:fill="auto"/>
          <w:vertAlign w:val="baseline"/>
        </w:rPr>
        <w:t>cannot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approve/reject any application, edit a scrutiny finding, or view another department’s internal notes.</w:t>
      </w:r>
    </w:p>
    <w:p w14:paraId="00000241">
      <w:pPr>
        <w:pStyle w:val="style0"/>
        <w:rPr/>
      </w:pPr>
      <w:r>
        <w:rPr/>
        <w:pict>
          <v:rect id="1058" fillcolor="#a0a0a0" stroked="f" style="margin-left:0.0pt;margin-top:0.0pt;width:0.0pt;height:1.5pt;mso-wrap-distance-left:0.0pt;mso-wrap-distance-right:0.0pt;visibility:visible;" o:hr="t" o:hralign="center" o:hrstd="t">
            <v:stroke on="f"/>
            <v:fill/>
          </v:rect>
        </w:pict>
      </w:r>
    </w:p>
    <w:bookmarkStart w:id="118" w:name="u573f0kpfoz4" w:colFirst="0" w:colLast="0"/>
    <w:bookmarkEnd w:id="118"/>
    <w:p w14:paraId="00000242">
      <w:pPr>
        <w:pStyle w:val="style2"/>
        <w:rPr/>
      </w:pPr>
      <w:r>
        <w:rPr/>
        <w:t>34. Scheme/Incentive Officer Functions</w:t>
      </w:r>
    </w:p>
    <w:p w14:paraId="0000024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12)</w:t>
      </w:r>
    </w:p>
    <w:p w14:paraId="0000024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Maintain scheme catalogue entries (draft state) subject to a publish/approval step (</w:t>
      </w:r>
      <w:r>
        <w:rPr>
          <w:rFonts w:ascii="Cambria" w:cs="Cambria" w:eastAsia="Cambria" w:hAnsi="Cambria"/>
          <w:b/>
          <w:bCs/>
          <w:i w:val="false"/>
          <w:iCs w:val="false"/>
          <w:smallCaps w:val="false"/>
          <w:color w:val="000000"/>
          <w:sz w:val="24"/>
          <w:szCs w:val="24"/>
          <w:u w:val="none"/>
          <w:shd w:val="clear" w:color="auto" w:fill="auto"/>
          <w:vertAlign w:val="baseline"/>
        </w:rPr>
        <w:t>TO BE VALIDATED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whether Department Admin or a separate Legal/Compliance role publishes); review incoming incentive applications; verify supporting documents; raise queries to applicants (via the same Query/Response mechanism as Section 19); update application status through a scheme-specific workflow; record final decisions with a reason, feeding the applicant’s Schemes &amp; Incentives tracking view (Section 29.5).</w:t>
      </w:r>
    </w:p>
    <w:p w14:paraId="00000245">
      <w:pPr>
        <w:pStyle w:val="style0"/>
        <w:rPr/>
      </w:pPr>
      <w:r>
        <w:rPr/>
        <w:pict>
          <v:rect id="1059" fillcolor="#a0a0a0" stroked="f" style="margin-left:0.0pt;margin-top:0.0pt;width:0.0pt;height:1.5pt;mso-wrap-distance-left:0.0pt;mso-wrap-distance-right:0.0pt;visibility:visible;" o:hr="t" o:hralign="center" o:hrstd="t">
            <v:stroke on="f"/>
            <v:fill/>
          </v:rect>
        </w:pict>
      </w:r>
    </w:p>
    <w:bookmarkStart w:id="119" w:name="ltr2nmfv4n87" w:colFirst="0" w:colLast="0"/>
    <w:bookmarkEnd w:id="119"/>
    <w:p w14:paraId="00000246">
      <w:pPr>
        <w:pStyle w:val="style2"/>
        <w:rPr/>
      </w:pPr>
      <w:r>
        <w:rPr/>
        <w:t>35. System Administrator Functions (Technical vs Statutory Separation)</w:t>
      </w:r>
    </w:p>
    <w:p w14:paraId="0000024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(Cross-cutting governance requirement, explicit in the problem statement’s safeguards)</w:t>
      </w:r>
    </w:p>
    <w:bookmarkStart w:id="120" w:name="cv7v9ct2iqvx" w:colFirst="0" w:colLast="0"/>
    <w:bookmarkEnd w:id="120"/>
    <w:p w14:paraId="00000248">
      <w:pPr>
        <w:pStyle w:val="style3"/>
        <w:rPr/>
      </w:pPr>
      <w:r>
        <w:rPr/>
        <w:t>35.1 Technical Administration (System Administrator role)</w:t>
      </w:r>
    </w:p>
    <w:p w14:paraId="00000249">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 account provisioning and deactivation across the platform; technical master data (e.g., districts, industry codes as reference lists — not their legal applicability rules, which belong to Regulatory Knowledge governance); system health/uptime monitoring; integration credential and connection management; technical support ticket handling.</w:t>
      </w:r>
    </w:p>
    <w:bookmarkStart w:id="121" w:name="wa6y86y3p522" w:colFirst="0" w:colLast="0"/>
    <w:bookmarkEnd w:id="121"/>
    <w:p w14:paraId="0000024A">
      <w:pPr>
        <w:pStyle w:val="style3"/>
        <w:rPr/>
      </w:pPr>
      <w:r>
        <w:rPr/>
        <w:t>35.2 Business/Statutory Authority (never held by System Administrator)</w:t>
      </w:r>
    </w:p>
    <w:p w14:paraId="0000024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Approving or rejecting any application; editing or overriding an officer’s scrutiny finding or an inspector’s report; publishing or amending a regulatory rule; changing a statutory SLA value; deciding a grievance’s resolution; approving a scheme eligibility rule.</w:t>
      </w:r>
    </w:p>
    <w:bookmarkStart w:id="122" w:name="8u2spemn2jzf" w:colFirst="0" w:colLast="0"/>
    <w:bookmarkEnd w:id="122"/>
    <w:p w14:paraId="0000024C">
      <w:pPr>
        <w:pStyle w:val="style3"/>
        <w:rPr/>
      </w:pPr>
      <w:r>
        <w:rPr/>
        <w:t>35.3 Explicit Separation Rule</w:t>
      </w:r>
    </w:p>
    <w:p w14:paraId="0000024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These two categories are enforced as </w:t>
      </w:r>
      <w:r>
        <w:rPr>
          <w:rFonts w:ascii="Cambria" w:cs="Cambria" w:eastAsia="Cambria" w:hAnsi="Cambria"/>
          <w:b/>
          <w:bCs/>
          <w:i w:val="false"/>
          <w:iCs w:val="false"/>
          <w:smallCaps w:val="false"/>
          <w:color w:val="000000"/>
          <w:sz w:val="24"/>
          <w:szCs w:val="24"/>
          <w:u w:val="none"/>
          <w:shd w:val="clear" w:color="auto" w:fill="auto"/>
          <w:vertAlign w:val="baseline"/>
        </w:rPr>
        <w:t>structurally distinct role families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 the permission model, not merely a documentation convention — a System Administrator account cannot be granted Business/Statutory permissions without also being separately assigned one of the named statutory roles (Sections 4.3–4.7), and doing so is itself an audit-logged, high-visibility action.</w:t>
      </w:r>
    </w:p>
    <w:p w14:paraId="0000024E">
      <w:pPr>
        <w:pStyle w:val="style0"/>
        <w:rPr/>
      </w:pPr>
      <w:r>
        <w:rPr/>
        <w:pict>
          <v:rect id="1060" fillcolor="#a0a0a0" stroked="f" style="margin-left:0.0pt;margin-top:0.0pt;width:0.0pt;height:1.5pt;mso-wrap-distance-left:0.0pt;mso-wrap-distance-right:0.0pt;visibility:visible;" o:hr="t" o:hralign="center" o:hrstd="t">
            <v:stroke on="f"/>
            <v:fill/>
          </v:rect>
        </w:pict>
      </w:r>
    </w:p>
    <w:bookmarkStart w:id="123" w:name="t9nyb79g0vx5" w:colFirst="0" w:colLast="0"/>
    <w:bookmarkEnd w:id="123"/>
    <w:p w14:paraId="0000024F">
      <w:pPr>
        <w:pStyle w:val="style2"/>
        <w:rPr/>
      </w:pPr>
      <w:r>
        <w:rPr/>
        <w:t>36. Government Leadership Dashboard</w:t>
      </w:r>
    </w:p>
    <w:p w14:paraId="0000025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(Maps to capability 15)</w:t>
      </w:r>
    </w:p>
    <w:bookmarkStart w:id="124" w:name="ufqx6asczupo" w:colFirst="0" w:colLast="0"/>
    <w:bookmarkEnd w:id="124"/>
    <w:p w14:paraId="00000251">
      <w:pPr>
        <w:pStyle w:val="style3"/>
        <w:rPr/>
      </w:pPr>
      <w:r>
        <w:rPr/>
        <w:t>36.1 Content</w:t>
      </w:r>
    </w:p>
    <w:p w14:paraId="0000025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State-wide/cross-department KPIs: application volumes, approval turnaround (average/median), SLA compliance percentage, department-vs-department comparison, district/sector trend comparison, systemic bottleneck identification (which stage, department, or approval type most often causes delay), scheme utilisation rates, grievance volume and resolution trends, and a composite Ease-of-Doing-Business style indicator.</w:t>
      </w:r>
    </w:p>
    <w:bookmarkStart w:id="125" w:name="gjwiri6678tw" w:colFirst="0" w:colLast="0"/>
    <w:bookmarkEnd w:id="125"/>
    <w:p w14:paraId="00000253">
      <w:pPr>
        <w:pStyle w:val="style3"/>
        <w:rPr/>
      </w:pPr>
      <w:r>
        <w:rPr/>
        <w:t>36.2 Visibility Constraint</w:t>
      </w:r>
    </w:p>
    <w:p w14:paraId="00000254">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This dashboard is </w:t>
      </w:r>
      <w:r>
        <w:rPr>
          <w:rFonts w:ascii="Cambria" w:cs="Cambria" w:eastAsia="Cambria" w:hAnsi="Cambria"/>
          <w:b/>
          <w:bCs/>
          <w:i w:val="false"/>
          <w:iCs w:val="false"/>
          <w:smallCaps w:val="false"/>
          <w:color w:val="000000"/>
          <w:sz w:val="24"/>
          <w:szCs w:val="24"/>
          <w:u w:val="none"/>
          <w:shd w:val="clear" w:color="auto" w:fill="auto"/>
          <w:vertAlign w:val="baseline"/>
        </w:rPr>
        <w:t>read-only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shows only </w:t>
      </w:r>
      <w:r>
        <w:rPr>
          <w:rFonts w:ascii="Cambria" w:cs="Cambria" w:eastAsia="Cambria" w:hAnsi="Cambria"/>
          <w:b/>
          <w:bCs/>
          <w:i w:val="false"/>
          <w:iCs w:val="false"/>
          <w:smallCaps w:val="false"/>
          <w:color w:val="000000"/>
          <w:sz w:val="24"/>
          <w:szCs w:val="24"/>
          <w:u w:val="none"/>
          <w:shd w:val="clear" w:color="auto" w:fill="auto"/>
          <w:vertAlign w:val="baseline"/>
        </w:rPr>
        <w:t>aggregate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data — leadership does not see an individual applicant’s personal details or an individual officer’s name-level performance ranking through this view (aggregate department/team-level performance only), consistent with the Information Visibility Matrix (Section 5).</w:t>
      </w:r>
    </w:p>
    <w:p w14:paraId="00000255">
      <w:pPr>
        <w:pStyle w:val="style0"/>
        <w:rPr/>
      </w:pPr>
      <w:r>
        <w:rPr/>
        <w:pict>
          <v:rect id="1061" fillcolor="#a0a0a0" stroked="f" style="margin-left:0.0pt;margin-top:0.0pt;width:0.0pt;height:1.5pt;mso-wrap-distance-left:0.0pt;mso-wrap-distance-right:0.0pt;visibility:visible;" o:hr="t" o:hralign="center" o:hrstd="t">
            <v:stroke on="f"/>
            <v:fill/>
          </v:rect>
        </w:pict>
      </w:r>
    </w:p>
    <w:bookmarkStart w:id="126" w:name="lxn0mqclhwhl" w:colFirst="0" w:colLast="0"/>
    <w:bookmarkEnd w:id="126"/>
    <w:p w14:paraId="00000256">
      <w:pPr>
        <w:pStyle w:val="style2"/>
        <w:rPr/>
      </w:pPr>
      <w:r>
        <w:rPr/>
        <w:t>37. Consolidated “To Be Validated with Government Department” Register</w:t>
      </w:r>
    </w:p>
    <w:tbl>
      <w:tblPr>
        <w:tblStyle w:val="style4106"/>
        <w:tblW w:w="7920" w:type="dxa"/>
        <w:jc w:val="left"/>
        <w:tblInd w:w="-108" w:type="dxa"/>
        <w:tblLayout w:type="fixed"/>
        <w:tblLook w:val="0020" w:firstRow="1" w:lastRow="0" w:firstColumn="0" w:lastColumn="0" w:noHBand="0" w:noVBand="0"/>
      </w:tblPr>
      <w:tblGrid>
        <w:gridCol w:w="2640"/>
        <w:gridCol w:w="2640"/>
        <w:gridCol w:w="2640"/>
      </w:tblGrid>
      <w:tr w14:paraId="410F3611">
        <w:trPr>
          <w:cantSplit w:val="false"/>
          <w:tblHeader/>
          <w:jc w:val="left"/>
        </w:trPr>
        <w:tc>
          <w:tcPr>
            <w:tcW w:w="0" w:type="auto"/>
            <w:tcBorders/>
          </w:tcPr>
          <w:p w14:paraId="000002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tc>
        <w:tc>
          <w:tcPr>
            <w:tcW w:w="0" w:type="auto"/>
            <w:tcBorders/>
          </w:tcPr>
          <w:p w14:paraId="000002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Item</w:t>
            </w:r>
          </w:p>
        </w:tc>
        <w:tc>
          <w:tcPr>
            <w:tcW w:w="0" w:type="auto"/>
            <w:tcBorders/>
          </w:tcPr>
          <w:p w14:paraId="000002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Section</w:t>
            </w:r>
          </w:p>
        </w:tc>
      </w:tr>
      <w:tr w14:paraId="A85F11CC">
        <w:tblPrEx/>
        <w:trPr>
          <w:cantSplit w:val="false"/>
          <w:tblHeader w:val="false"/>
          <w:jc w:val="left"/>
        </w:trPr>
        <w:tc>
          <w:tcPr>
            <w:tcW w:w="0" w:type="auto"/>
            <w:tcBorders/>
          </w:tcPr>
          <w:p w14:paraId="000002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w:t>
            </w:r>
          </w:p>
        </w:tc>
        <w:tc>
          <w:tcPr>
            <w:tcW w:w="0" w:type="auto"/>
            <w:tcBorders/>
          </w:tcPr>
          <w:p w14:paraId="000002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Preferred authentication standard (password vs OTP-only) for applicant accounts</w:t>
            </w:r>
          </w:p>
        </w:tc>
        <w:tc>
          <w:tcPr>
            <w:tcW w:w="0" w:type="auto"/>
            <w:tcBorders/>
          </w:tcPr>
          <w:p w14:paraId="000002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9.2</w:t>
            </w:r>
          </w:p>
        </w:tc>
      </w:tr>
      <w:tr w14:paraId="3C5E6A9B">
        <w:tblPrEx/>
        <w:trPr>
          <w:cantSplit w:val="false"/>
          <w:tblHeader w:val="false"/>
          <w:jc w:val="left"/>
        </w:trPr>
        <w:tc>
          <w:tcPr>
            <w:tcW w:w="0" w:type="auto"/>
            <w:tcBorders/>
          </w:tcPr>
          <w:p w14:paraId="000002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w:t>
            </w:r>
          </w:p>
        </w:tc>
        <w:tc>
          <w:tcPr>
            <w:tcW w:w="0" w:type="auto"/>
            <w:tcBorders/>
          </w:tcPr>
          <w:p w14:paraId="000002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Exact enterprise registration number format required (Udyam/CIN/other)</w:t>
            </w:r>
          </w:p>
        </w:tc>
        <w:tc>
          <w:tcPr>
            <w:tcW w:w="0" w:type="auto"/>
            <w:tcBorders/>
          </w:tcPr>
          <w:p w14:paraId="000002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9.2</w:t>
            </w:r>
          </w:p>
        </w:tc>
      </w:tr>
      <w:tr w14:paraId="A65DC2BA">
        <w:tblPrEx/>
        <w:trPr>
          <w:cantSplit w:val="false"/>
          <w:tblHeader w:val="false"/>
          <w:jc w:val="left"/>
        </w:trPr>
        <w:tc>
          <w:tcPr>
            <w:tcW w:w="0" w:type="auto"/>
            <w:tcBorders/>
          </w:tcPr>
          <w:p w14:paraId="000002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w:t>
            </w:r>
          </w:p>
        </w:tc>
        <w:tc>
          <w:tcPr>
            <w:tcW w:w="0" w:type="auto"/>
            <w:tcBorders/>
          </w:tcPr>
          <w:p w14:paraId="000002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Accepted document file types and maximum size per document type</w:t>
            </w:r>
          </w:p>
        </w:tc>
        <w:tc>
          <w:tcPr>
            <w:tcW w:w="0" w:type="auto"/>
            <w:tcBorders/>
          </w:tcPr>
          <w:p w14:paraId="000002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14</w:t>
            </w:r>
          </w:p>
        </w:tc>
      </w:tr>
      <w:tr w14:paraId="63EE6539">
        <w:tblPrEx/>
        <w:trPr>
          <w:cantSplit w:val="false"/>
          <w:tblHeader w:val="false"/>
          <w:jc w:val="left"/>
        </w:trPr>
        <w:tc>
          <w:tcPr>
            <w:tcW w:w="0" w:type="auto"/>
            <w:tcBorders/>
          </w:tcPr>
          <w:p w14:paraId="000002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4</w:t>
            </w:r>
          </w:p>
        </w:tc>
        <w:tc>
          <w:tcPr>
            <w:tcW w:w="0" w:type="auto"/>
            <w:tcBorders/>
          </w:tcPr>
          <w:p w14:paraId="000002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Which document types are genuinely reusable across which approval types</w:t>
            </w:r>
          </w:p>
        </w:tc>
        <w:tc>
          <w:tcPr>
            <w:tcW w:w="0" w:type="auto"/>
            <w:tcBorders/>
          </w:tcPr>
          <w:p w14:paraId="000002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15.3</w:t>
            </w:r>
          </w:p>
        </w:tc>
      </w:tr>
      <w:tr w14:paraId="18BECA5C">
        <w:tblPrEx/>
        <w:trPr>
          <w:cantSplit w:val="false"/>
          <w:tblHeader w:val="false"/>
          <w:jc w:val="left"/>
        </w:trPr>
        <w:tc>
          <w:tcPr>
            <w:tcW w:w="0" w:type="auto"/>
            <w:tcBorders/>
          </w:tcPr>
          <w:p w14:paraId="000002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5</w:t>
            </w:r>
          </w:p>
        </w:tc>
        <w:tc>
          <w:tcPr>
            <w:tcW w:w="0" w:type="auto"/>
            <w:tcBorders/>
          </w:tcPr>
          <w:p w14:paraId="000002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Which approval types require OTP/e-Sign at submission</w:t>
            </w:r>
          </w:p>
        </w:tc>
        <w:tc>
          <w:tcPr>
            <w:tcW w:w="0" w:type="auto"/>
            <w:tcBorders/>
          </w:tcPr>
          <w:p w14:paraId="000002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17.2</w:t>
            </w:r>
          </w:p>
        </w:tc>
      </w:tr>
      <w:tr w14:paraId="58E48949">
        <w:tblPrEx/>
        <w:trPr>
          <w:cantSplit w:val="false"/>
          <w:tblHeader w:val="false"/>
          <w:jc w:val="left"/>
        </w:trPr>
        <w:tc>
          <w:tcPr>
            <w:tcW w:w="0" w:type="auto"/>
            <w:tcBorders/>
          </w:tcPr>
          <w:p w14:paraId="000002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6</w:t>
            </w:r>
          </w:p>
        </w:tc>
        <w:tc>
          <w:tcPr>
            <w:tcW w:w="0" w:type="auto"/>
            <w:tcBorders/>
          </w:tcPr>
          <w:p w14:paraId="000002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Whether individual officer identity is disclosed to applicants, or only department/designation</w:t>
            </w:r>
          </w:p>
        </w:tc>
        <w:tc>
          <w:tcPr>
            <w:tcW w:w="0" w:type="auto"/>
            <w:tcBorders/>
          </w:tcPr>
          <w:p w14:paraId="000002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19.1, 24.1</w:t>
            </w:r>
          </w:p>
        </w:tc>
      </w:tr>
      <w:tr w14:paraId="1EDA0120">
        <w:tblPrEx/>
        <w:trPr>
          <w:cantSplit w:val="false"/>
          <w:tblHeader w:val="false"/>
          <w:jc w:val="left"/>
        </w:trPr>
        <w:tc>
          <w:tcPr>
            <w:tcW w:w="0" w:type="auto"/>
            <w:tcBorders/>
          </w:tcPr>
          <w:p w14:paraId="000002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7</w:t>
            </w:r>
          </w:p>
        </w:tc>
        <w:tc>
          <w:tcPr>
            <w:tcW w:w="0" w:type="auto"/>
            <w:tcBorders/>
          </w:tcPr>
          <w:p w14:paraId="000002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Whether a single joint inspection visit can legally satisfy multiple departments</w:t>
            </w:r>
          </w:p>
        </w:tc>
        <w:tc>
          <w:tcPr>
            <w:tcW w:w="0" w:type="auto"/>
            <w:tcBorders/>
          </w:tcPr>
          <w:p w14:paraId="000002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24.3</w:t>
            </w:r>
          </w:p>
        </w:tc>
      </w:tr>
      <w:tr w14:paraId="D8F30E44">
        <w:tblPrEx/>
        <w:trPr>
          <w:cantSplit w:val="false"/>
          <w:tblHeader w:val="false"/>
          <w:jc w:val="left"/>
        </w:trPr>
        <w:tc>
          <w:tcPr>
            <w:tcW w:w="0" w:type="auto"/>
            <w:tcBorders/>
          </w:tcPr>
          <w:p w14:paraId="000002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8</w:t>
            </w:r>
          </w:p>
        </w:tc>
        <w:tc>
          <w:tcPr>
            <w:tcW w:w="0" w:type="auto"/>
            <w:tcBorders/>
          </w:tcPr>
          <w:p w14:paraId="000002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Actual statutory SLA/timeline values per approval type</w:t>
            </w:r>
          </w:p>
        </w:tc>
        <w:tc>
          <w:tcPr>
            <w:tcW w:w="0" w:type="auto"/>
            <w:tcBorders/>
          </w:tcPr>
          <w:p w14:paraId="000002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25.1, 25.3</w:t>
            </w:r>
          </w:p>
        </w:tc>
      </w:tr>
      <w:tr w14:paraId="0D4F88C3">
        <w:tblPrEx/>
        <w:trPr>
          <w:cantSplit w:val="false"/>
          <w:tblHeader w:val="false"/>
          <w:jc w:val="left"/>
        </w:trPr>
        <w:tc>
          <w:tcPr>
            <w:tcW w:w="0" w:type="auto"/>
            <w:tcBorders/>
          </w:tcPr>
          <w:p w14:paraId="000002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9</w:t>
            </w:r>
          </w:p>
        </w:tc>
        <w:tc>
          <w:tcPr>
            <w:tcW w:w="0" w:type="auto"/>
            <w:tcBorders/>
          </w:tcPr>
          <w:p w14:paraId="000002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reminder cadence (days before expiry)</w:t>
            </w:r>
          </w:p>
        </w:tc>
        <w:tc>
          <w:tcPr>
            <w:tcW w:w="0" w:type="auto"/>
            <w:tcBorders/>
          </w:tcPr>
          <w:p w14:paraId="000002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28.1</w:t>
            </w:r>
          </w:p>
        </w:tc>
      </w:tr>
      <w:tr w14:paraId="887CE140">
        <w:tblPrEx/>
        <w:trPr>
          <w:cantSplit w:val="false"/>
          <w:tblHeader w:val="false"/>
          <w:jc w:val="left"/>
        </w:trPr>
        <w:tc>
          <w:tcPr>
            <w:tcW w:w="0" w:type="auto"/>
            <w:tcBorders/>
          </w:tcPr>
          <w:p w14:paraId="000002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w:t>
            </w:r>
          </w:p>
        </w:tc>
        <w:tc>
          <w:tcPr>
            <w:tcW w:w="0" w:type="auto"/>
            <w:tcBorders/>
          </w:tcPr>
          <w:p w14:paraId="000002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catalogue publish/approval ownership (Dept Admin vs Legal/Compliance)</w:t>
            </w:r>
          </w:p>
        </w:tc>
        <w:tc>
          <w:tcPr>
            <w:tcW w:w="0" w:type="auto"/>
            <w:tcBorders/>
          </w:tcPr>
          <w:p w14:paraId="000002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34</w:t>
            </w:r>
          </w:p>
        </w:tc>
      </w:tr>
      <w:tr w14:paraId="120A3A2C">
        <w:tblPrEx/>
        <w:trPr>
          <w:cantSplit w:val="false"/>
          <w:tblHeader w:val="false"/>
          <w:jc w:val="left"/>
        </w:trPr>
        <w:tc>
          <w:tcPr>
            <w:tcW w:w="0" w:type="auto"/>
            <w:tcBorders/>
          </w:tcPr>
          <w:p w14:paraId="000002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11</w:t>
            </w:r>
          </w:p>
        </w:tc>
        <w:tc>
          <w:tcPr>
            <w:tcW w:w="0" w:type="auto"/>
            <w:tcBorders/>
          </w:tcPr>
          <w:p w14:paraId="000002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Exact split of which SLA/workflow parameters are centrally set (MSInS) vs department-configurable</w:t>
            </w:r>
          </w:p>
        </w:tc>
        <w:tc>
          <w:tcPr>
            <w:tcW w:w="0" w:type="auto"/>
            <w:tcBorders/>
          </w:tcPr>
          <w:p w14:paraId="000002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33</w:t>
            </w:r>
          </w:p>
        </w:tc>
      </w:tr>
    </w:tbl>
    <w:p w14:paraId="0000027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item above has been designed around with a safe, non-committal default (manual/assisted workflow, explicit “not yet configured” messaging, or human-in-the-loop confirmation) so that the platform functions correctly and honestly </w:t>
      </w:r>
      <w:r>
        <w:rPr>
          <w:rFonts w:ascii="Cambria" w:cs="Cambria" w:eastAsia="Cambria" w:hAnsi="Cambria"/>
          <w:b/>
          <w:bCs/>
          <w:i w:val="false"/>
          <w:iCs w:val="false"/>
          <w:smallCaps w:val="false"/>
          <w:color w:val="000000"/>
          <w:sz w:val="24"/>
          <w:szCs w:val="24"/>
          <w:u w:val="none"/>
          <w:shd w:val="clear" w:color="auto" w:fill="auto"/>
          <w:vertAlign w:val="baseline"/>
        </w:rPr>
        <w:t>before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these items are confirmed, and simply becomes more automated/precise once they are.</w:t>
      </w:r>
    </w:p>
    <w:p w14:paraId="0000027C">
      <w:pPr>
        <w:pStyle w:val="style0"/>
        <w:rPr/>
      </w:pPr>
      <w:r>
        <w:rPr/>
        <w:pict>
          <v:rect id="1062" fillcolor="#a0a0a0" stroked="f" style="margin-left:0.0pt;margin-top:0.0pt;width:0.0pt;height:1.5pt;mso-wrap-distance-left:0.0pt;mso-wrap-distance-right:0.0pt;visibility:visible;" o:hr="t" o:hralign="center" o:hrstd="t">
            <v:stroke on="f"/>
            <v:fill/>
          </v:rect>
        </w:pict>
      </w:r>
    </w:p>
    <w:p w14:paraId="0000027D">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End of Functional Requirement Document — MahaUdyam One (PS 26130), v1.0</w:t>
      </w:r>
    </w:p>
    <w:sectPr>
      <w:pgSz w:w="12240" w:h="15840" w:orient="portrait"/>
      <w:pgMar w:top="1440" w:right="1440" w:bottom="1440" w:left="1440" w:header="360" w:footer="36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nsid w:val="0000000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nsid w:val="00000002"/>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3">
    <w:nsid w:val="00000003"/>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4">
    <w:nsid w:val="00000004"/>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5">
    <w:nsid w:val="00000005"/>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rPr>
    </w:rPrDefault>
    <w:pPrDefault>
      <w:pPr>
        <w:spacing w:after="200"/>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4f81bd"/>
      <w:sz w:val="32"/>
      <w:szCs w:val="32"/>
    </w:rPr>
  </w:style>
  <w:style w:type="paragraph" w:styleId="style2">
    <w:name w:val="heading 2"/>
    <w:basedOn w:val="style4098"/>
    <w:next w:val="style4098"/>
    <w:pPr>
      <w:keepNext/>
      <w:keepLines/>
      <w:spacing w:before="200" w:after="0"/>
    </w:pPr>
    <w:rPr>
      <w:rFonts w:ascii="Calibri" w:cs="Calibri" w:eastAsia="Calibri" w:hAnsi="Calibri"/>
      <w:b/>
      <w:bCs/>
      <w:color w:val="4f81bd"/>
      <w:sz w:val="28"/>
      <w:szCs w:val="28"/>
    </w:rPr>
  </w:style>
  <w:style w:type="paragraph" w:styleId="style3">
    <w:name w:val="heading 3"/>
    <w:basedOn w:val="style4098"/>
    <w:next w:val="style4098"/>
    <w:pPr>
      <w:keepNext/>
      <w:keepLines/>
      <w:spacing w:before="200" w:after="0"/>
    </w:pPr>
    <w:rPr>
      <w:rFonts w:ascii="Calibri" w:cs="Calibri" w:eastAsia="Calibri" w:hAnsi="Calibri"/>
      <w:b/>
      <w:bCs/>
      <w:color w:val="4f81bd"/>
      <w:sz w:val="24"/>
      <w:szCs w:val="24"/>
    </w:rPr>
  </w:style>
  <w:style w:type="paragraph" w:styleId="style4">
    <w:name w:val="heading 4"/>
    <w:basedOn w:val="style4098"/>
    <w:next w:val="style4098"/>
    <w:pPr>
      <w:keepNext/>
      <w:keepLines/>
      <w:spacing w:before="200" w:after="0"/>
    </w:pPr>
    <w:rPr>
      <w:rFonts w:ascii="Calibri" w:cs="Calibri" w:eastAsia="Calibri" w:hAnsi="Calibri"/>
      <w:i/>
      <w:iCs/>
      <w:color w:val="4f81bd"/>
      <w:sz w:val="24"/>
      <w:szCs w:val="24"/>
    </w:rPr>
  </w:style>
  <w:style w:type="paragraph" w:styleId="style5">
    <w:name w:val="heading 5"/>
    <w:basedOn w:val="style4098"/>
    <w:next w:val="style4098"/>
    <w:pPr>
      <w:keepNext/>
      <w:keepLines/>
      <w:spacing w:before="200" w:after="0"/>
    </w:pPr>
    <w:rPr>
      <w:rFonts w:ascii="Calibri" w:cs="Calibri" w:eastAsia="Calibri" w:hAnsi="Calibri"/>
      <w:color w:val="4f81bd"/>
      <w:sz w:val="24"/>
      <w:szCs w:val="24"/>
    </w:rPr>
  </w:style>
  <w:style w:type="paragraph" w:styleId="style6">
    <w:name w:val="heading 6"/>
    <w:basedOn w:val="style4098"/>
    <w:next w:val="style4098"/>
    <w:pPr>
      <w:keepNext/>
      <w:keepLines/>
      <w:spacing w:before="200" w:after="0"/>
    </w:pPr>
    <w:rPr>
      <w:rFonts w:ascii="Calibri" w:cs="Calibri" w:eastAsia="Calibri" w:hAnsi="Calibri"/>
      <w:color w:val="4f81bd"/>
      <w:sz w:val="24"/>
      <w:szCs w:val="24"/>
    </w:rPr>
  </w:style>
  <w:style w:type="paragraph" w:styleId="style62">
    <w:name w:val="Title"/>
    <w:basedOn w:val="style4098"/>
    <w:next w:val="style4098"/>
    <w:pPr>
      <w:keepNext/>
      <w:keepLines/>
      <w:spacing w:before="480" w:after="240"/>
      <w:jc w:val="center"/>
    </w:pPr>
    <w:rPr>
      <w:rFonts w:ascii="Calibri" w:cs="Calibri" w:eastAsia="Calibri" w:hAnsi="Calibri"/>
      <w:b/>
      <w:bCs/>
      <w:color w:val="335b8a"/>
      <w:sz w:val="36"/>
      <w:szCs w:val="36"/>
    </w:rPr>
  </w:style>
  <w:style w:type="paragraph" w:styleId="style74">
    <w:name w:val="Subtitle"/>
    <w:basedOn w:val="style4098"/>
    <w:next w:val="style4098"/>
    <w:pPr>
      <w:keepNext/>
      <w:keepLines/>
      <w:spacing w:before="240" w:after="240"/>
      <w:jc w:val="center"/>
    </w:pPr>
    <w:rPr>
      <w:rFonts w:ascii="Calibri" w:cs="Calibri" w:eastAsia="Calibri" w:hAnsi="Calibri"/>
      <w:b/>
      <w:bCs/>
      <w:color w:val="335b8a"/>
      <w:sz w:val="30"/>
      <w:szCs w:val="30"/>
    </w:rPr>
  </w:style>
  <w:style w:type="table" w:customStyle="1" w:styleId="style4099">
    <w:basedOn w:val="style4097"/>
    <w:next w:val="style409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0">
    <w:basedOn w:val="style4097"/>
    <w:next w:val="style410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1">
    <w:basedOn w:val="style4097"/>
    <w:next w:val="style410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2">
    <w:basedOn w:val="style4097"/>
    <w:next w:val="style410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3">
    <w:basedOn w:val="style4097"/>
    <w:next w:val="style410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4">
    <w:basedOn w:val="style4097"/>
    <w:next w:val="style4104"/>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5">
    <w:basedOn w:val="style4097"/>
    <w:next w:val="style4105"/>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6">
    <w:basedOn w:val="style4097"/>
    <w:next w:val="style4106"/>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7326</Words>
  <Characters>46000</Characters>
  <Application>WPS Office</Application>
  <Paragraphs>718</Paragraphs>
  <CharactersWithSpaces>52694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2026-09-17T15:40:48Z</dcterms:created>
  <dc:creator>WPS Office</dc:creator>
  <lastModifiedBy>CPH2467</lastModifiedBy>
  <dcterms:modified xsi:type="dcterms:W3CDTF">2026-09-17T15:40:48Z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856c7af5411141bbaec3e492f5f21bbc_23</vt:lpwstr>
  </property>
</Properties>
</file>