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62"/>
        <w:rPr/>
      </w:pPr>
      <w:r>
        <w:rPr/>
        <w:t>MahaUdyam One</w:t>
      </w:r>
    </w:p>
    <w:p w14:paraId="00000002">
      <w:pPr>
        <w:pStyle w:val="style74"/>
        <w:rPr/>
      </w:pPr>
      <w:r>
        <w:rPr/>
        <w:t>Technical Requirement Document — Unified Industrial Approvals, Compliance &amp; Government Support Platform (Problem Statement 26130)</w:t>
      </w:r>
    </w:p>
    <w:p w14:paraId="0000000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Prepared for: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Government of Maharashtra — Maharashtra State Innovation Society (MSInS), Department of Skills, Employment, Entrepreneurship and Innovation </w:t>
      </w:r>
      <w:r>
        <w:rPr>
          <w:rFonts w:ascii="Cambria" w:cs="Cambria" w:eastAsia="Cambria" w:hAnsi="Cambria"/>
          <w:b/>
          <w:bCs/>
          <w:i w:val="false"/>
          <w:iCs w:val="false"/>
          <w:smallCaps w:val="false"/>
          <w:color w:val="000000"/>
          <w:sz w:val="24"/>
          <w:szCs w:val="24"/>
          <w:u w:val="none"/>
          <w:shd w:val="clear" w:color="auto" w:fill="auto"/>
          <w:vertAlign w:val="baseline"/>
        </w:rPr>
        <w:t>Problem Statement: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26130 — Efficiency in streamlining industrial approvals, compliance processes, and access to government support services </w:t>
      </w:r>
      <w:r>
        <w:rPr>
          <w:rFonts w:ascii="Cambria" w:cs="Cambria" w:eastAsia="Cambria" w:hAnsi="Cambria"/>
          <w:b/>
          <w:bCs/>
          <w:i w:val="false"/>
          <w:iCs w:val="false"/>
          <w:smallCaps w:val="false"/>
          <w:color w:val="000000"/>
          <w:sz w:val="24"/>
          <w:szCs w:val="24"/>
          <w:u w:val="none"/>
          <w:shd w:val="clear" w:color="auto" w:fill="auto"/>
          <w:vertAlign w:val="baseline"/>
        </w:rPr>
        <w:t>Document Type: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Implementation-Ready Technical Requirement Document (TRD) </w:t>
      </w:r>
      <w:r>
        <w:rPr>
          <w:rFonts w:ascii="Cambria" w:cs="Cambria" w:eastAsia="Cambria" w:hAnsi="Cambria"/>
          <w:b/>
          <w:bCs/>
          <w:i w:val="false"/>
          <w:iCs w:val="false"/>
          <w:smallCaps w:val="false"/>
          <w:color w:val="000000"/>
          <w:sz w:val="24"/>
          <w:szCs w:val="24"/>
          <w:u w:val="none"/>
          <w:shd w:val="clear" w:color="auto" w:fill="auto"/>
          <w:vertAlign w:val="baseline"/>
        </w:rPr>
        <w:t>Version: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1.0 (Draft for Hackathon Submission)</w:t>
      </w:r>
    </w:p>
    <w:p w14:paraId="00000004">
      <w:pPr>
        <w:pStyle w:val="style0"/>
        <w:rPr/>
      </w:pPr>
      <w:r>
        <w:rPr/>
        <w:pict>
          <v:rect id="1026" fillcolor="#a0a0a0" stroked="f" style="margin-left:0.0pt;margin-top:0.0pt;width:0.0pt;height:1.5pt;mso-wrap-distance-left:0.0pt;mso-wrap-distance-right:0.0pt;visibility:visible;" o:hr="t" o:hralign="center" o:hrstd="t">
            <v:stroke on="f"/>
            <v:fill/>
          </v:rect>
        </w:pict>
      </w:r>
    </w:p>
    <w:bookmarkStart w:id="0" w:name="j88qtjz3g568" w:colFirst="0" w:colLast="0"/>
    <w:bookmarkEnd w:id="0"/>
    <w:p w14:paraId="00000005">
      <w:pPr>
        <w:pStyle w:val="style2"/>
        <w:rPr/>
      </w:pPr>
      <w:r>
        <w:rPr/>
        <w:t>Contents</w:t>
      </w:r>
    </w:p>
    <w:p w14:paraId="0000000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How to Read This Document</w:t>
      </w:r>
    </w:p>
    <w:p w14:paraId="0000000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Problem Restatement &amp; Scope</w:t>
      </w:r>
    </w:p>
    <w:p w14:paraId="0000000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Stakeholder Analysis</w:t>
      </w:r>
    </w:p>
    <w:p w14:paraId="0000000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End-to-End User Journey &amp; State Model</w:t>
      </w:r>
    </w:p>
    <w:p w14:paraId="0000000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 Discovery Engine</w:t>
      </w:r>
    </w:p>
    <w:p w14:paraId="0000000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Regulatory Knowledge Engine</w:t>
      </w:r>
    </w:p>
    <w:p w14:paraId="0000000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Management</w:t>
      </w:r>
    </w:p>
    <w:p w14:paraId="0000000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Pre-Validation Engine</w:t>
      </w:r>
    </w:p>
    <w:p w14:paraId="0000000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Workflow Engine</w:t>
      </w:r>
    </w:p>
    <w:p w14:paraId="0000000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Departmental Workflow</w:t>
      </w:r>
    </w:p>
    <w:p w14:paraId="0000001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Inspection Management</w:t>
      </w:r>
    </w:p>
    <w:p w14:paraId="0000001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Risk-Based Scrutiny</w:t>
      </w:r>
    </w:p>
    <w:p w14:paraId="0000001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 and Timeline Management</w:t>
      </w:r>
    </w:p>
    <w:p w14:paraId="0000001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Notification System</w:t>
      </w:r>
    </w:p>
    <w:p w14:paraId="0000001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Renewal and Compliance Management</w:t>
      </w:r>
    </w:p>
    <w:p w14:paraId="0000001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Government Schemes and Incentives</w:t>
      </w:r>
    </w:p>
    <w:p w14:paraId="0000001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 Management</w:t>
      </w:r>
    </w:p>
    <w:p w14:paraId="0000001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Dashboards</w:t>
      </w:r>
    </w:p>
    <w:p w14:paraId="0000001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Analytics and Reporting</w:t>
      </w:r>
    </w:p>
    <w:p w14:paraId="0000001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AI/ML Components</w:t>
      </w:r>
    </w:p>
    <w:p w14:paraId="0000001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Architecture</w:t>
      </w:r>
    </w:p>
    <w:p w14:paraId="0000001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Frontend Architecture</w:t>
      </w:r>
    </w:p>
    <w:p w14:paraId="0000001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Backend Architecture</w:t>
      </w:r>
    </w:p>
    <w:p w14:paraId="0000001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Database Design</w:t>
      </w:r>
    </w:p>
    <w:p w14:paraId="0000001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API Design</w:t>
      </w:r>
    </w:p>
    <w:p w14:paraId="0000001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Government Integrations</w:t>
      </w:r>
    </w:p>
    <w:p w14:paraId="0000002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Security Architecture</w:t>
      </w:r>
    </w:p>
    <w:p w14:paraId="0000002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Privacy and Data Governance</w:t>
      </w:r>
    </w:p>
    <w:p w14:paraId="0000002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Access Control Matrix</w:t>
      </w:r>
    </w:p>
    <w:p w14:paraId="0000002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Auditability</w:t>
      </w:r>
    </w:p>
    <w:p w14:paraId="0000002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Non-Functional Requirements</w:t>
      </w:r>
    </w:p>
    <w:p w14:paraId="0000002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Implementation Phasing</w:t>
      </w:r>
    </w:p>
    <w:p w14:paraId="0000002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Consolidated Assumptions Register</w:t>
      </w:r>
    </w:p>
    <w:p w14:paraId="0000002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Glossary</w:t>
      </w:r>
    </w:p>
    <w:p w14:paraId="0000002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(Use Word’s Navigation Pane — View &gt; Navigation Pane — to jump directly to any section by heading.)</w:t>
      </w:r>
    </w:p>
    <w:p w14:paraId="00000029">
      <w:pPr>
        <w:pStyle w:val="style0"/>
        <w:rPr/>
      </w:pPr>
      <w:r>
        <w:rPr/>
        <w:pict>
          <v:rect id="1027" fillcolor="#a0a0a0" stroked="f" style="margin-left:0.0pt;margin-top:0.0pt;width:0.0pt;height:1.5pt;mso-wrap-distance-left:0.0pt;mso-wrap-distance-right:0.0pt;visibility:visible;" o:hr="t" o:hralign="center" o:hrstd="t">
            <v:stroke on="f"/>
            <v:fill/>
          </v:rect>
        </w:pict>
      </w:r>
    </w:p>
    <w:bookmarkStart w:id="1" w:name="i382l6m229bz" w:colFirst="0" w:colLast="0"/>
    <w:bookmarkEnd w:id="1"/>
    <w:p w14:paraId="0000002A">
      <w:pPr>
        <w:pStyle w:val="style1"/>
        <w:rPr/>
      </w:pPr>
      <w:r>
        <w:rPr/>
        <w:t>How to Read This Document</w:t>
      </w:r>
    </w:p>
    <w:p w14:paraId="0000002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requirement below is tagged so the reader knows its status. This tagging is used consistently through the whole document instead of once at the top, because different teams will jump directly to their own section.</w:t>
      </w:r>
    </w:p>
    <w:tbl>
      <w:tblPr>
        <w:tblStyle w:val="style4099"/>
        <w:tblW w:w="7920" w:type="dxa"/>
        <w:jc w:val="left"/>
        <w:tblInd w:w="-108" w:type="dxa"/>
        <w:tblLayout w:type="fixed"/>
        <w:tblLook w:val="0020" w:firstRow="1" w:lastRow="0" w:firstColumn="0" w:lastColumn="0" w:noHBand="0" w:noVBand="0"/>
      </w:tblPr>
      <w:tblGrid>
        <w:gridCol w:w="3960"/>
        <w:gridCol w:w="3960"/>
      </w:tblGrid>
      <w:tr w14:paraId="B2CCFA87">
        <w:trPr>
          <w:cantSplit w:val="false"/>
          <w:tblHeader/>
          <w:jc w:val="left"/>
        </w:trPr>
        <w:tc>
          <w:tcPr>
            <w:tcW w:w="0" w:type="auto"/>
            <w:tcBorders/>
          </w:tcPr>
          <w:p w14:paraId="0000002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Tag</w:t>
            </w:r>
          </w:p>
        </w:tc>
        <w:tc>
          <w:tcPr>
            <w:tcW w:w="0" w:type="auto"/>
            <w:tcBorders/>
          </w:tcPr>
          <w:p w14:paraId="0000002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Meaning</w:t>
            </w:r>
          </w:p>
        </w:tc>
      </w:tr>
      <w:tr w14:paraId="B843CEF1">
        <w:tblPrEx/>
        <w:trPr>
          <w:cantSplit w:val="false"/>
          <w:tblHeader w:val="false"/>
          <w:jc w:val="left"/>
        </w:trPr>
        <w:tc>
          <w:tcPr>
            <w:tcW w:w="0" w:type="auto"/>
            <w:tcBorders/>
          </w:tcPr>
          <w:p w14:paraId="0000002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[EXPLICIT]</w:t>
            </w:r>
          </w:p>
        </w:tc>
        <w:tc>
          <w:tcPr>
            <w:tcW w:w="0" w:type="auto"/>
            <w:tcBorders/>
          </w:tcPr>
          <w:p w14:paraId="0000002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Stated directly in Problem Statement 26130</w:t>
            </w:r>
          </w:p>
        </w:tc>
      </w:tr>
      <w:tr w14:paraId="FD0DBBEE">
        <w:tblPrEx/>
        <w:trPr>
          <w:cantSplit w:val="false"/>
          <w:tblHeader w:val="false"/>
          <w:jc w:val="left"/>
        </w:trPr>
        <w:tc>
          <w:tcPr>
            <w:tcW w:w="0" w:type="auto"/>
            <w:tcBorders/>
          </w:tcPr>
          <w:p w14:paraId="0000003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[INFERRED]</w:t>
            </w:r>
          </w:p>
        </w:tc>
        <w:tc>
          <w:tcPr>
            <w:tcW w:w="0" w:type="auto"/>
            <w:tcBorders/>
          </w:tcPr>
          <w:p w14:paraId="0000003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Logically implied by the problem statement’s stated outcomes, even though not spelled out</w:t>
            </w:r>
          </w:p>
        </w:tc>
      </w:tr>
      <w:tr w14:paraId="1AAAC79B">
        <w:tblPrEx/>
        <w:trPr>
          <w:cantSplit w:val="false"/>
          <w:tblHeader w:val="false"/>
          <w:jc w:val="left"/>
        </w:trPr>
        <w:tc>
          <w:tcPr>
            <w:tcW w:w="0" w:type="auto"/>
            <w:tcBorders/>
          </w:tcPr>
          <w:p w14:paraId="0000003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[RECOMMENDED]</w:t>
            </w:r>
          </w:p>
        </w:tc>
        <w:tc>
          <w:tcPr>
            <w:tcW w:w="0" w:type="auto"/>
            <w:tcBorders/>
          </w:tcPr>
          <w:p w14:paraId="0000003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Good-practice addition the solution team proposes to strengthen the outcome</w:t>
            </w:r>
          </w:p>
        </w:tc>
      </w:tr>
      <w:tr w14:paraId="8C0B060C">
        <w:tblPrEx/>
        <w:trPr>
          <w:cantSplit w:val="false"/>
          <w:tblHeader w:val="false"/>
          <w:jc w:val="left"/>
        </w:trPr>
        <w:tc>
          <w:tcPr>
            <w:tcW w:w="0" w:type="auto"/>
            <w:tcBorders/>
          </w:tcPr>
          <w:p w14:paraId="0000003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[OPTIONAL/FUTURE]</w:t>
            </w:r>
          </w:p>
        </w:tc>
        <w:tc>
          <w:tcPr>
            <w:tcW w:w="0" w:type="auto"/>
            <w:tcBorders/>
          </w:tcPr>
          <w:p w14:paraId="0000003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Valuable but out of scope for an initial build; sequenced for a later phase</w:t>
            </w:r>
          </w:p>
        </w:tc>
      </w:tr>
      <w:tr w14:paraId="3989840A">
        <w:tblPrEx/>
        <w:trPr>
          <w:cantSplit w:val="false"/>
          <w:tblHeader w:val="false"/>
          <w:jc w:val="left"/>
        </w:trPr>
        <w:tc>
          <w:tcPr>
            <w:tcW w:w="0" w:type="auto"/>
            <w:tcBorders/>
          </w:tcPr>
          <w:p w14:paraId="0000003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[ASSUMPTION – TBV]</w:t>
            </w:r>
          </w:p>
        </w:tc>
        <w:tc>
          <w:tcPr>
            <w:tcW w:w="0" w:type="auto"/>
            <w:tcBorders/>
          </w:tcPr>
          <w:p w14:paraId="0000003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An assumption made to make the design concrete. Must be validated with the concerned department before build. Every such item also states </w:t>
            </w:r>
            <w:r>
              <w:rPr>
                <w:rFonts w:ascii="Cambria" w:cs="Cambria" w:eastAsia="Cambria" w:hAnsi="Cambria"/>
                <w:b w:val="false"/>
                <w:bCs w:val="false"/>
                <w:i/>
                <w:iCs/>
                <w:smallCaps w:val="false"/>
                <w:color w:val="000000"/>
                <w:sz w:val="24"/>
                <w:szCs w:val="24"/>
                <w:u w:val="none"/>
                <w:shd w:val="clear" w:color="auto" w:fill="auto"/>
                <w:vertAlign w:val="baseline"/>
              </w:rPr>
              <w:t>why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it was needed and </w:t>
            </w:r>
            <w:r>
              <w:rPr>
                <w:rFonts w:ascii="Cambria" w:cs="Cambria" w:eastAsia="Cambria" w:hAnsi="Cambria"/>
                <w:b w:val="false"/>
                <w:bCs w:val="false"/>
                <w:i/>
                <w:iCs/>
                <w:smallCaps w:val="false"/>
                <w:color w:val="000000"/>
                <w:sz w:val="24"/>
                <w:szCs w:val="24"/>
                <w:u w:val="none"/>
                <w:shd w:val="clear" w:color="auto" w:fill="auto"/>
                <w:vertAlign w:val="baseline"/>
              </w:rPr>
              <w:t>how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to validate it.</w:t>
            </w:r>
          </w:p>
        </w:tc>
      </w:tr>
    </w:tbl>
    <w:p w14:paraId="0000003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No specific Maharashtra department name, API, statutory timeline, form number, fee amount, or legal citation is invented anywhere in this document. Wherever such a fact would normally appear, it is written as </w:t>
      </w:r>
      <w:r>
        <w:rPr>
          <w:rFonts w:ascii="Cambria" w:cs="Cambria" w:eastAsia="Cambria" w:hAnsi="Cambria"/>
          <w:b/>
          <w:bCs/>
          <w:i w:val="false"/>
          <w:iCs w:val="false"/>
          <w:smallCaps w:val="false"/>
          <w:color w:val="000000"/>
          <w:sz w:val="24"/>
          <w:szCs w:val="24"/>
          <w:u w:val="none"/>
          <w:shd w:val="clear" w:color="auto" w:fill="auto"/>
          <w:vertAlign w:val="baseline"/>
        </w:rPr>
        <w:t>“To Be Validated with Government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This is a deliberate design choice: a hackathon prototype that fabricates a plausible-looking government rule is worse than one that visibly flags the gap, because the fabricated version is the one that gets copied into a real deployment.</w:t>
      </w:r>
    </w:p>
    <w:p w14:paraId="00000039">
      <w:pPr>
        <w:pStyle w:val="style0"/>
        <w:rPr/>
      </w:pPr>
      <w:r>
        <w:rPr/>
        <w:pict>
          <v:rect id="1028" fillcolor="#a0a0a0" stroked="f" style="margin-left:0.0pt;margin-top:0.0pt;width:0.0pt;height:1.5pt;mso-wrap-distance-left:0.0pt;mso-wrap-distance-right:0.0pt;visibility:visible;" o:hr="t" o:hralign="center" o:hrstd="t">
            <v:stroke on="f"/>
            <v:fill/>
          </v:rect>
        </w:pict>
      </w:r>
    </w:p>
    <w:bookmarkStart w:id="2" w:name="8w9mf8480dl7" w:colFirst="0" w:colLast="0"/>
    <w:bookmarkEnd w:id="2"/>
    <w:p w14:paraId="0000003A">
      <w:pPr>
        <w:pStyle w:val="style1"/>
        <w:rPr/>
      </w:pPr>
      <w:r>
        <w:rPr/>
        <w:t>1. Problem Restatement &amp; Scope</w:t>
      </w:r>
    </w:p>
    <w:bookmarkStart w:id="3" w:name="n7s5uz4o14wy" w:colFirst="0" w:colLast="0"/>
    <w:bookmarkEnd w:id="3"/>
    <w:p w14:paraId="0000003B">
      <w:pPr>
        <w:pStyle w:val="style2"/>
        <w:rPr/>
      </w:pPr>
      <w:r>
        <w:rPr/>
        <w:t>1.1 Restated Problem [EXPLICIT]</w:t>
      </w:r>
    </w:p>
    <w:p w14:paraId="0000003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Setting up or running an industrial unit in Maharashtra requires interacting with multiple, independently-run approval systems (registrations, licences, NOCs, inspections, renewals), each with its own rules that vary by sector, location, project size, enterprise stage, and enterprise type. Applicants struggle to know what applies to them, departments struggle to process applications efficiently and consistently, and neither side has good visibility into where time is being lost.</w:t>
      </w:r>
    </w:p>
    <w:bookmarkStart w:id="4" w:name="va6dbi1385e1" w:colFirst="0" w:colLast="0"/>
    <w:bookmarkEnd w:id="4"/>
    <w:p w14:paraId="0000003D">
      <w:pPr>
        <w:pStyle w:val="style2"/>
        <w:rPr/>
      </w:pPr>
      <w:r>
        <w:rPr/>
        <w:t>1.2 In-Scope Outcomes [EXPLICIT]</w:t>
      </w:r>
    </w:p>
    <w:p w14:paraId="0000003E">
      <w:pPr>
        <w:pStyle w:val="style0"/>
        <w:keepNext w:val="false"/>
        <w:keepLines w:val="false"/>
        <w:pageBreakBefore w:val="false"/>
        <w:widowControl/>
        <w:numPr>
          <w:ilvl w:val="0"/>
          <w:numId w:val="2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Auto-generated, applicant-specific approval checklist</w:t>
      </w:r>
    </w:p>
    <w:p w14:paraId="0000003F">
      <w:pPr>
        <w:pStyle w:val="style0"/>
        <w:keepNext w:val="false"/>
        <w:keepLines w:val="false"/>
        <w:pageBreakBefore w:val="false"/>
        <w:widowControl/>
        <w:numPr>
          <w:ilvl w:val="0"/>
          <w:numId w:val="2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Guided documentation and pre-submission validation</w:t>
      </w:r>
    </w:p>
    <w:p w14:paraId="00000040">
      <w:pPr>
        <w:pStyle w:val="style0"/>
        <w:keepNext w:val="false"/>
        <w:keepLines w:val="false"/>
        <w:pageBreakBefore w:val="false"/>
        <w:widowControl/>
        <w:numPr>
          <w:ilvl w:val="0"/>
          <w:numId w:val="2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Reuse of previously verified applicant/document data</w:t>
      </w:r>
    </w:p>
    <w:p w14:paraId="00000041">
      <w:pPr>
        <w:pStyle w:val="style0"/>
        <w:keepNext w:val="false"/>
        <w:keepLines w:val="false"/>
        <w:pageBreakBefore w:val="false"/>
        <w:widowControl/>
        <w:numPr>
          <w:ilvl w:val="0"/>
          <w:numId w:val="2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Coordinated (parallelized where legally possible) departmental workflows</w:t>
      </w:r>
    </w:p>
    <w:p w14:paraId="00000042">
      <w:pPr>
        <w:pStyle w:val="style0"/>
        <w:keepNext w:val="false"/>
        <w:keepLines w:val="false"/>
        <w:pageBreakBefore w:val="false"/>
        <w:widowControl/>
        <w:numPr>
          <w:ilvl w:val="0"/>
          <w:numId w:val="2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Inspection scheduling</w:t>
      </w:r>
    </w:p>
    <w:p w14:paraId="00000043">
      <w:pPr>
        <w:pStyle w:val="style0"/>
        <w:keepNext w:val="false"/>
        <w:keepLines w:val="false"/>
        <w:pageBreakBefore w:val="false"/>
        <w:widowControl/>
        <w:numPr>
          <w:ilvl w:val="0"/>
          <w:numId w:val="2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SLA/timeline tracking with alerting</w:t>
      </w:r>
    </w:p>
    <w:p w14:paraId="00000044">
      <w:pPr>
        <w:pStyle w:val="style0"/>
        <w:keepNext w:val="false"/>
        <w:keepLines w:val="false"/>
        <w:pageBreakBefore w:val="false"/>
        <w:widowControl/>
        <w:numPr>
          <w:ilvl w:val="0"/>
          <w:numId w:val="2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Single dashboard spanning applications, approvals, renewals, and incentives</w:t>
      </w:r>
    </w:p>
    <w:p w14:paraId="00000045">
      <w:pPr>
        <w:pStyle w:val="style0"/>
        <w:keepNext w:val="false"/>
        <w:keepLines w:val="false"/>
        <w:pageBreakBefore w:val="false"/>
        <w:widowControl/>
        <w:numPr>
          <w:ilvl w:val="0"/>
          <w:numId w:val="2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Supporting capabilities: regulatory knowledge engine, risk-based scrutiny, common inspection planning, grievance escalation, delay analytics</w:t>
      </w:r>
    </w:p>
    <w:bookmarkStart w:id="5" w:name="7m2kysy2qdno" w:colFirst="0" w:colLast="0"/>
    <w:bookmarkEnd w:id="5"/>
    <w:p w14:paraId="00000046">
      <w:pPr>
        <w:pStyle w:val="style2"/>
        <w:rPr/>
      </w:pPr>
      <w:r>
        <w:rPr/>
        <w:t>1.3 Explicitly Out of Scope for v1 [INFERRED]</w:t>
      </w:r>
    </w:p>
    <w:p w14:paraId="00000047">
      <w:pPr>
        <w:pStyle w:val="style0"/>
        <w:keepNext w:val="false"/>
        <w:keepLines w:val="false"/>
        <w:pageBreakBefore w:val="false"/>
        <w:widowControl/>
        <w:numPr>
          <w:ilvl w:val="0"/>
          <w:numId w:val="2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Replacing or absorbing existing statutory departmental systems — MahaUdyam One is an </w:t>
      </w:r>
      <w:r>
        <w:rPr>
          <w:rFonts w:ascii="Cambria" w:cs="Cambria" w:eastAsia="Cambria" w:hAnsi="Cambria"/>
          <w:b/>
          <w:bCs/>
          <w:i w:val="false"/>
          <w:iCs w:val="false"/>
          <w:smallCaps w:val="false"/>
          <w:color w:val="000000"/>
          <w:sz w:val="24"/>
          <w:szCs w:val="24"/>
          <w:u w:val="none"/>
          <w:shd w:val="clear" w:color="auto" w:fill="auto"/>
          <w:vertAlign w:val="baseline"/>
        </w:rPr>
        <w:t>orchestration and applicant-experience layer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not a system of record replacement, unless a department explicitly hands over that function. </w:t>
      </w:r>
      <w:r>
        <w:rPr>
          <w:rFonts w:ascii="Cambria" w:cs="Cambria" w:eastAsia="Cambria" w:hAnsi="Cambria"/>
          <w:b/>
          <w:bCs/>
          <w:i w:val="false"/>
          <w:iCs w:val="false"/>
          <w:smallCaps w:val="false"/>
          <w:color w:val="000000"/>
          <w:sz w:val="24"/>
          <w:szCs w:val="24"/>
          <w:u w:val="none"/>
          <w:shd w:val="clear" w:color="auto" w:fill="auto"/>
          <w:vertAlign w:val="baseline"/>
        </w:rPr>
        <w:t>[ASSUMPTION – TBV: validate per-department whether MahaUdyam One is a front-end/orchestrator over existing systems, or a replacement system of record. This changes the entire integration architecture and must be confirmed department-by-department, not assumed uniformly.]</w:t>
      </w:r>
    </w:p>
    <w:p w14:paraId="00000048">
      <w:pPr>
        <w:pStyle w:val="style0"/>
        <w:keepNext w:val="false"/>
        <w:keepLines w:val="false"/>
        <w:pageBreakBefore w:val="false"/>
        <w:widowControl/>
        <w:numPr>
          <w:ilvl w:val="0"/>
          <w:numId w:val="2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Making final statutory approval/rejection decisions autonomously (AI or rules engine may recommend; a human officer with statutory authority decides — see §13, §21).</w:t>
      </w:r>
    </w:p>
    <w:p w14:paraId="00000049">
      <w:pPr>
        <w:pStyle w:val="style0"/>
        <w:keepNext w:val="false"/>
        <w:keepLines w:val="false"/>
        <w:pageBreakBefore w:val="false"/>
        <w:widowControl/>
        <w:numPr>
          <w:ilvl w:val="0"/>
          <w:numId w:val="2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Legal interpretation of any Act/Rule; the platform surfaces sourced regulatory content, it does not issue legal opinions.</w:t>
      </w:r>
    </w:p>
    <w:bookmarkStart w:id="6" w:name="iq8y7767xm90" w:colFirst="0" w:colLast="0"/>
    <w:bookmarkEnd w:id="6"/>
    <w:p w14:paraId="0000004A">
      <w:pPr>
        <w:pStyle w:val="style2"/>
        <w:rPr/>
      </w:pPr>
      <w:r>
        <w:rPr/>
        <w:t>1.4 Primary Design Principle [RECOMMENDED]</w:t>
      </w:r>
    </w:p>
    <w:p w14:paraId="0000004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“Digitize the journey, don’t relocate the authority.”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Every department retains its statutory decision rights; the platform’s job is to remove friction (discovery, documentation, coordination, tracking) surrounding that decision, never to replace the decision itself. This principle recurs through workflow (§10), risk scoring (§13), and AI components (§21) because it is the single biggest source of stakeholder trust or distrust in a system like this.</w:t>
      </w:r>
    </w:p>
    <w:p w14:paraId="0000004C">
      <w:pPr>
        <w:pStyle w:val="style0"/>
        <w:rPr/>
      </w:pPr>
      <w:r>
        <w:rPr/>
        <w:pict>
          <v:rect id="1029" fillcolor="#a0a0a0" stroked="f" style="margin-left:0.0pt;margin-top:0.0pt;width:0.0pt;height:1.5pt;mso-wrap-distance-left:0.0pt;mso-wrap-distance-right:0.0pt;visibility:visible;" o:hr="t" o:hralign="center" o:hrstd="t">
            <v:stroke on="f"/>
            <v:fill/>
          </v:rect>
        </w:pict>
      </w:r>
    </w:p>
    <w:bookmarkStart w:id="7" w:name="groxb56oetid" w:colFirst="0" w:colLast="0"/>
    <w:bookmarkEnd w:id="7"/>
    <w:p w14:paraId="0000004D">
      <w:pPr>
        <w:pStyle w:val="style1"/>
        <w:rPr/>
      </w:pPr>
      <w:r>
        <w:rPr/>
        <w:t>2. Stakeholder Analysis [EXPLICIT + INFERRED]</w:t>
      </w:r>
    </w:p>
    <w:tbl>
      <w:tblPr>
        <w:tblStyle w:val="style4100"/>
        <w:tblW w:w="7920" w:type="dxa"/>
        <w:jc w:val="left"/>
        <w:tblInd w:w="-108" w:type="dxa"/>
        <w:tblLayout w:type="fixed"/>
        <w:tblLook w:val="0020" w:firstRow="1" w:lastRow="0" w:firstColumn="0" w:lastColumn="0" w:noHBand="0" w:noVBand="0"/>
      </w:tblPr>
      <w:tblGrid>
        <w:gridCol w:w="1584"/>
        <w:gridCol w:w="1584"/>
        <w:gridCol w:w="1584"/>
        <w:gridCol w:w="1584"/>
        <w:gridCol w:w="1584"/>
      </w:tblGrid>
      <w:tr w14:paraId="432AE352">
        <w:trPr>
          <w:cantSplit w:val="false"/>
          <w:tblHeader/>
          <w:jc w:val="left"/>
        </w:trPr>
        <w:tc>
          <w:tcPr>
            <w:tcW w:w="0" w:type="auto"/>
            <w:tcBorders/>
          </w:tcPr>
          <w:p w14:paraId="0000004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Stakeholder</w:t>
            </w:r>
          </w:p>
        </w:tc>
        <w:tc>
          <w:tcPr>
            <w:tcW w:w="0" w:type="auto"/>
            <w:tcBorders/>
          </w:tcPr>
          <w:p w14:paraId="0000004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Role</w:t>
            </w:r>
          </w:p>
        </w:tc>
        <w:tc>
          <w:tcPr>
            <w:tcW w:w="0" w:type="auto"/>
            <w:tcBorders/>
          </w:tcPr>
          <w:p w14:paraId="0000005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Key Responsibilities</w:t>
            </w:r>
          </w:p>
        </w:tc>
        <w:tc>
          <w:tcPr>
            <w:tcW w:w="0" w:type="auto"/>
            <w:tcBorders/>
          </w:tcPr>
          <w:p w14:paraId="0000005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Core Permissions</w:t>
            </w:r>
          </w:p>
        </w:tc>
        <w:tc>
          <w:tcPr>
            <w:tcW w:w="0" w:type="auto"/>
            <w:tcBorders/>
          </w:tcPr>
          <w:p w14:paraId="0000005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Primary Pain Point Today</w:t>
            </w:r>
          </w:p>
        </w:tc>
      </w:tr>
      <w:tr w14:paraId="E2D6FC06">
        <w:tblPrEx/>
        <w:trPr>
          <w:cantSplit w:val="false"/>
          <w:tblHeader w:val="false"/>
          <w:jc w:val="left"/>
        </w:trPr>
        <w:tc>
          <w:tcPr>
            <w:tcW w:w="0" w:type="auto"/>
            <w:tcBorders/>
          </w:tcPr>
          <w:p w14:paraId="0000005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Entrepreneur / Applicant</w:t>
            </w:r>
          </w:p>
        </w:tc>
        <w:tc>
          <w:tcPr>
            <w:tcW w:w="0" w:type="auto"/>
            <w:tcBorders/>
          </w:tcPr>
          <w:p w14:paraId="0000005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Initiates and owns applications</w:t>
            </w:r>
          </w:p>
        </w:tc>
        <w:tc>
          <w:tcPr>
            <w:tcW w:w="0" w:type="auto"/>
            <w:tcBorders/>
          </w:tcPr>
          <w:p w14:paraId="0000005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Register enterprise/project, submit applications, respond to queries, track status</w:t>
            </w:r>
          </w:p>
        </w:tc>
        <w:tc>
          <w:tcPr>
            <w:tcW w:w="0" w:type="auto"/>
            <w:tcBorders/>
          </w:tcPr>
          <w:p w14:paraId="0000005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Create/view/edit own applications, upload documents, view own dashboard</w:t>
            </w:r>
          </w:p>
        </w:tc>
        <w:tc>
          <w:tcPr>
            <w:tcW w:w="0" w:type="auto"/>
            <w:tcBorders/>
          </w:tcPr>
          <w:p w14:paraId="0000005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Doesn’t know what approvals apply or in what order</w:t>
            </w:r>
          </w:p>
        </w:tc>
      </w:tr>
      <w:tr w14:paraId="FEA0E1C7">
        <w:tblPrEx/>
        <w:trPr>
          <w:cantSplit w:val="false"/>
          <w:tblHeader w:val="false"/>
          <w:jc w:val="left"/>
        </w:trPr>
        <w:tc>
          <w:tcPr>
            <w:tcW w:w="0" w:type="auto"/>
            <w:tcBorders/>
          </w:tcPr>
          <w:p w14:paraId="0000005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Admin (for a company)</w:t>
            </w:r>
          </w:p>
        </w:tc>
        <w:tc>
          <w:tcPr>
            <w:tcW w:w="0" w:type="auto"/>
            <w:tcBorders/>
          </w:tcPr>
          <w:p w14:paraId="0000005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Manages org-level access</w:t>
            </w:r>
          </w:p>
        </w:tc>
        <w:tc>
          <w:tcPr>
            <w:tcW w:w="0" w:type="auto"/>
            <w:tcBorders/>
          </w:tcPr>
          <w:p w14:paraId="0000005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Add/remove users under one enterprise, assign applications internally</w:t>
            </w:r>
          </w:p>
        </w:tc>
        <w:tc>
          <w:tcPr>
            <w:tcW w:w="0" w:type="auto"/>
            <w:tcBorders/>
          </w:tcPr>
          <w:p w14:paraId="0000005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Manage org users, view all org applications</w:t>
            </w:r>
          </w:p>
        </w:tc>
        <w:tc>
          <w:tcPr>
            <w:tcW w:w="0" w:type="auto"/>
            <w:tcBorders/>
          </w:tcPr>
          <w:p w14:paraId="0000005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delegated access model in most legacy portals</w:t>
            </w:r>
          </w:p>
        </w:tc>
      </w:tr>
      <w:tr w14:paraId="DEEF8EE1">
        <w:tblPrEx/>
        <w:trPr>
          <w:cantSplit w:val="false"/>
          <w:tblHeader w:val="false"/>
          <w:jc w:val="left"/>
        </w:trPr>
        <w:tc>
          <w:tcPr>
            <w:tcW w:w="0" w:type="auto"/>
            <w:tcBorders/>
          </w:tcPr>
          <w:p w14:paraId="0000005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Consultant / Authorized Representative</w:t>
            </w:r>
          </w:p>
        </w:tc>
        <w:tc>
          <w:tcPr>
            <w:tcW w:w="0" w:type="auto"/>
            <w:tcBorders/>
          </w:tcPr>
          <w:p w14:paraId="0000005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Files on behalf of applicant</w:t>
            </w:r>
          </w:p>
        </w:tc>
        <w:tc>
          <w:tcPr>
            <w:tcW w:w="0" w:type="auto"/>
            <w:tcBorders/>
          </w:tcPr>
          <w:p w14:paraId="0000005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Prepare and submit applications under a Power-of-Attorney / authorization</w:t>
            </w:r>
          </w:p>
        </w:tc>
        <w:tc>
          <w:tcPr>
            <w:tcW w:w="0" w:type="auto"/>
            <w:tcBorders/>
          </w:tcPr>
          <w:p w14:paraId="0000006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Scoped access to specific applicant(s), time-bound</w:t>
            </w:r>
          </w:p>
        </w:tc>
        <w:tc>
          <w:tcPr>
            <w:tcW w:w="0" w:type="auto"/>
            <w:tcBorders/>
          </w:tcPr>
          <w:p w14:paraId="0000006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Re-entering the same data across every client and every portal</w:t>
            </w:r>
          </w:p>
        </w:tc>
      </w:tr>
      <w:tr w14:paraId="DD737FB8">
        <w:tblPrEx/>
        <w:trPr>
          <w:cantSplit w:val="false"/>
          <w:tblHeader w:val="false"/>
          <w:jc w:val="left"/>
        </w:trPr>
        <w:tc>
          <w:tcPr>
            <w:tcW w:w="0" w:type="auto"/>
            <w:tcBorders/>
          </w:tcPr>
          <w:p w14:paraId="0000006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Scrutiny Officer</w:t>
            </w:r>
          </w:p>
        </w:tc>
        <w:tc>
          <w:tcPr>
            <w:tcW w:w="0" w:type="auto"/>
            <w:tcBorders/>
          </w:tcPr>
          <w:p w14:paraId="0000006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First-level departmental reviewer</w:t>
            </w:r>
          </w:p>
        </w:tc>
        <w:tc>
          <w:tcPr>
            <w:tcW w:w="0" w:type="auto"/>
            <w:tcBorders/>
          </w:tcPr>
          <w:p w14:paraId="0000006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Check completeness, raise queries, forward for approval</w:t>
            </w:r>
          </w:p>
        </w:tc>
        <w:tc>
          <w:tcPr>
            <w:tcW w:w="0" w:type="auto"/>
            <w:tcBorders/>
          </w:tcPr>
          <w:p w14:paraId="0000006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 assigned applications, raise query, forward/reject</w:t>
            </w:r>
          </w:p>
        </w:tc>
        <w:tc>
          <w:tcPr>
            <w:tcW w:w="0" w:type="auto"/>
            <w:tcBorders/>
          </w:tcPr>
          <w:p w14:paraId="0000006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Manual, repetitive completeness checks</w:t>
            </w:r>
          </w:p>
        </w:tc>
      </w:tr>
      <w:tr w14:paraId="A42216C4">
        <w:tblPrEx/>
        <w:trPr>
          <w:cantSplit w:val="false"/>
          <w:tblHeader w:val="false"/>
          <w:jc w:val="left"/>
        </w:trPr>
        <w:tc>
          <w:tcPr>
            <w:tcW w:w="0" w:type="auto"/>
            <w:tcBorders/>
          </w:tcPr>
          <w:p w14:paraId="0000006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Inspector</w:t>
            </w:r>
          </w:p>
        </w:tc>
        <w:tc>
          <w:tcPr>
            <w:tcW w:w="0" w:type="auto"/>
            <w:tcBorders/>
          </w:tcPr>
          <w:p w14:paraId="0000006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Conducts site inspections</w:t>
            </w:r>
          </w:p>
        </w:tc>
        <w:tc>
          <w:tcPr>
            <w:tcW w:w="0" w:type="auto"/>
            <w:tcBorders/>
          </w:tcPr>
          <w:p w14:paraId="0000006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Schedule visits, record findings, upload evidence</w:t>
            </w:r>
          </w:p>
        </w:tc>
        <w:tc>
          <w:tcPr>
            <w:tcW w:w="0" w:type="auto"/>
            <w:tcBorders/>
          </w:tcPr>
          <w:p w14:paraId="0000006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 assigned inspections, submit reports</w:t>
            </w:r>
          </w:p>
        </w:tc>
        <w:tc>
          <w:tcPr>
            <w:tcW w:w="0" w:type="auto"/>
            <w:tcBorders/>
          </w:tcPr>
          <w:p w14:paraId="000000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shared calendar; duplicate inspections across departments</w:t>
            </w:r>
          </w:p>
        </w:tc>
      </w:tr>
      <w:tr w14:paraId="E53547BE">
        <w:tblPrEx/>
        <w:trPr>
          <w:cantSplit w:val="false"/>
          <w:tblHeader w:val="false"/>
          <w:jc w:val="left"/>
        </w:trPr>
        <w:tc>
          <w:tcPr>
            <w:tcW w:w="0" w:type="auto"/>
            <w:tcBorders/>
          </w:tcPr>
          <w:p w14:paraId="000000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Approving Authority</w:t>
            </w:r>
          </w:p>
        </w:tc>
        <w:tc>
          <w:tcPr>
            <w:tcW w:w="0" w:type="auto"/>
            <w:tcBorders/>
          </w:tcPr>
          <w:p w14:paraId="000000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Final departmental decision-maker</w:t>
            </w:r>
          </w:p>
        </w:tc>
        <w:tc>
          <w:tcPr>
            <w:tcW w:w="0" w:type="auto"/>
            <w:tcBorders/>
          </w:tcPr>
          <w:p w14:paraId="000000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Approve/reject, issue certificate</w:t>
            </w:r>
          </w:p>
        </w:tc>
        <w:tc>
          <w:tcPr>
            <w:tcW w:w="0" w:type="auto"/>
            <w:tcBorders/>
          </w:tcPr>
          <w:p w14:paraId="0000006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Approve, reject, escalate, digitally sign</w:t>
            </w:r>
          </w:p>
        </w:tc>
        <w:tc>
          <w:tcPr>
            <w:tcW w:w="0" w:type="auto"/>
            <w:tcBorders/>
          </w:tcPr>
          <w:p w14:paraId="0000007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Limited visibility into scrutiny/inspection history in one place</w:t>
            </w:r>
          </w:p>
        </w:tc>
      </w:tr>
      <w:tr w14:paraId="820B7161">
        <w:tblPrEx/>
        <w:trPr>
          <w:cantSplit w:val="false"/>
          <w:tblHeader w:val="false"/>
          <w:jc w:val="left"/>
        </w:trPr>
        <w:tc>
          <w:tcPr>
            <w:tcW w:w="0" w:type="auto"/>
            <w:tcBorders/>
          </w:tcPr>
          <w:p w14:paraId="0000007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 Administrator</w:t>
            </w:r>
          </w:p>
        </w:tc>
        <w:tc>
          <w:tcPr>
            <w:tcW w:w="0" w:type="auto"/>
            <w:tcBorders/>
          </w:tcPr>
          <w:p w14:paraId="0000007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Manages a department’s configuration and staff</w:t>
            </w:r>
          </w:p>
        </w:tc>
        <w:tc>
          <w:tcPr>
            <w:tcW w:w="0" w:type="auto"/>
            <w:tcBorders/>
          </w:tcPr>
          <w:p w14:paraId="0000007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Configure workflows/SLAs for their department, assign officers, monitor performance</w:t>
            </w:r>
          </w:p>
        </w:tc>
        <w:tc>
          <w:tcPr>
            <w:tcW w:w="0" w:type="auto"/>
            <w:tcBorders/>
          </w:tcPr>
          <w:p w14:paraId="0000007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Department-scoped config, reporting, officer management</w:t>
            </w:r>
          </w:p>
        </w:tc>
        <w:tc>
          <w:tcPr>
            <w:tcW w:w="0" w:type="auto"/>
            <w:tcBorders/>
          </w:tcPr>
          <w:p w14:paraId="0000007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analytics on where their own department is slow</w:t>
            </w:r>
          </w:p>
        </w:tc>
      </w:tr>
      <w:tr w14:paraId="8B1E8413">
        <w:tblPrEx/>
        <w:trPr>
          <w:cantSplit w:val="false"/>
          <w:tblHeader w:val="false"/>
          <w:jc w:val="left"/>
        </w:trPr>
        <w:tc>
          <w:tcPr>
            <w:tcW w:w="0" w:type="auto"/>
            <w:tcBorders/>
          </w:tcPr>
          <w:p w14:paraId="0000007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 Officer</w:t>
            </w:r>
          </w:p>
        </w:tc>
        <w:tc>
          <w:tcPr>
            <w:tcW w:w="0" w:type="auto"/>
            <w:tcBorders/>
          </w:tcPr>
          <w:p w14:paraId="0000007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Handles escalations/complaints</w:t>
            </w:r>
          </w:p>
        </w:tc>
        <w:tc>
          <w:tcPr>
            <w:tcW w:w="0" w:type="auto"/>
            <w:tcBorders/>
          </w:tcPr>
          <w:p w14:paraId="0000007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Triage, route, resolve grievances</w:t>
            </w:r>
          </w:p>
        </w:tc>
        <w:tc>
          <w:tcPr>
            <w:tcW w:w="0" w:type="auto"/>
            <w:tcBorders/>
          </w:tcPr>
          <w:p w14:paraId="000000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View/assign/resolve grievances in scope</w:t>
            </w:r>
          </w:p>
        </w:tc>
        <w:tc>
          <w:tcPr>
            <w:tcW w:w="0" w:type="auto"/>
            <w:tcBorders/>
          </w:tcPr>
          <w:p w14:paraId="0000007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Grievances arrive with no application context</w:t>
            </w:r>
          </w:p>
        </w:tc>
      </w:tr>
      <w:tr w14:paraId="207EDC89">
        <w:tblPrEx/>
        <w:trPr>
          <w:cantSplit w:val="false"/>
          <w:tblHeader w:val="false"/>
          <w:jc w:val="left"/>
        </w:trPr>
        <w:tc>
          <w:tcPr>
            <w:tcW w:w="0" w:type="auto"/>
            <w:tcBorders/>
          </w:tcPr>
          <w:p w14:paraId="0000007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Scheme/Incentive Officer</w:t>
            </w:r>
          </w:p>
        </w:tc>
        <w:tc>
          <w:tcPr>
            <w:tcW w:w="0" w:type="auto"/>
            <w:tcBorders/>
          </w:tcPr>
          <w:p w14:paraId="0000007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Manages scheme applications</w:t>
            </w:r>
          </w:p>
        </w:tc>
        <w:tc>
          <w:tcPr>
            <w:tcW w:w="0" w:type="auto"/>
            <w:tcBorders/>
          </w:tcPr>
          <w:p w14:paraId="0000007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Publish schemes, verify eligibility, disburse</w:t>
            </w:r>
          </w:p>
        </w:tc>
        <w:tc>
          <w:tcPr>
            <w:tcW w:w="0" w:type="auto"/>
            <w:tcBorders/>
          </w:tcPr>
          <w:p w14:paraId="0000007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Manage scheme catalogue, verify scheme applications</w:t>
            </w:r>
          </w:p>
        </w:tc>
        <w:tc>
          <w:tcPr>
            <w:tcW w:w="0" w:type="auto"/>
            <w:tcBorders/>
          </w:tcPr>
          <w:p w14:paraId="0000007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Eligible applicants don’t discover schemes at all</w:t>
            </w:r>
          </w:p>
        </w:tc>
      </w:tr>
      <w:tr w14:paraId="B7B9B569">
        <w:tblPrEx/>
        <w:trPr>
          <w:cantSplit w:val="false"/>
          <w:tblHeader w:val="false"/>
          <w:jc w:val="left"/>
        </w:trPr>
        <w:tc>
          <w:tcPr>
            <w:tcW w:w="0" w:type="auto"/>
            <w:tcBorders/>
          </w:tcPr>
          <w:p w14:paraId="0000008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Administrator</w:t>
            </w:r>
          </w:p>
        </w:tc>
        <w:tc>
          <w:tcPr>
            <w:tcW w:w="0" w:type="auto"/>
            <w:tcBorders/>
          </w:tcPr>
          <w:p w14:paraId="0000008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Platform-wide technical admin</w:t>
            </w:r>
          </w:p>
        </w:tc>
        <w:tc>
          <w:tcPr>
            <w:tcW w:w="0" w:type="auto"/>
            <w:tcBorders/>
          </w:tcPr>
          <w:p w14:paraId="0000008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User/role management, system configuration, integration monitoring</w:t>
            </w:r>
          </w:p>
        </w:tc>
        <w:tc>
          <w:tcPr>
            <w:tcW w:w="0" w:type="auto"/>
            <w:tcBorders/>
          </w:tcPr>
          <w:p w14:paraId="0000008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Full technical admin, no business-data override</w:t>
            </w:r>
          </w:p>
        </w:tc>
        <w:tc>
          <w:tcPr>
            <w:tcW w:w="0" w:type="auto"/>
            <w:tcBorders/>
          </w:tcPr>
          <w:p w14:paraId="0000008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N/A (new role)</w:t>
            </w:r>
          </w:p>
        </w:tc>
      </w:tr>
      <w:tr w14:paraId="F2081317">
        <w:tblPrEx/>
        <w:trPr>
          <w:cantSplit w:val="false"/>
          <w:tblHeader w:val="false"/>
          <w:jc w:val="left"/>
        </w:trPr>
        <w:tc>
          <w:tcPr>
            <w:tcW w:w="0" w:type="auto"/>
            <w:tcBorders/>
          </w:tcPr>
          <w:p w14:paraId="0000008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Super Administrator</w:t>
            </w:r>
          </w:p>
        </w:tc>
        <w:tc>
          <w:tcPr>
            <w:tcW w:w="0" w:type="auto"/>
            <w:tcBorders/>
          </w:tcPr>
          <w:p w14:paraId="0000008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Cross-department platform owner (MSInS)</w:t>
            </w:r>
          </w:p>
        </w:tc>
        <w:tc>
          <w:tcPr>
            <w:tcW w:w="0" w:type="auto"/>
            <w:tcBorders/>
          </w:tcPr>
          <w:p w14:paraId="0000008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Governance, cross-department policy, master data ownership</w:t>
            </w:r>
          </w:p>
        </w:tc>
        <w:tc>
          <w:tcPr>
            <w:tcW w:w="0" w:type="auto"/>
            <w:tcBorders/>
          </w:tcPr>
          <w:p w14:paraId="0000008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Highest platform scope, includes audit visibility</w:t>
            </w:r>
          </w:p>
        </w:tc>
        <w:tc>
          <w:tcPr>
            <w:tcW w:w="0" w:type="auto"/>
            <w:tcBorders/>
          </w:tcPr>
          <w:p w14:paraId="0000008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N/A (new role)</w:t>
            </w:r>
          </w:p>
        </w:tc>
      </w:tr>
      <w:tr w14:paraId="9ACE83E7">
        <w:tblPrEx/>
        <w:trPr>
          <w:cantSplit w:val="false"/>
          <w:tblHeader w:val="false"/>
          <w:jc w:val="left"/>
        </w:trPr>
        <w:tc>
          <w:tcPr>
            <w:tcW w:w="0" w:type="auto"/>
            <w:tcBorders/>
          </w:tcPr>
          <w:p w14:paraId="0000008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Auditor</w:t>
            </w:r>
          </w:p>
        </w:tc>
        <w:tc>
          <w:tcPr>
            <w:tcW w:w="0" w:type="auto"/>
            <w:tcBorders/>
          </w:tcPr>
          <w:p w14:paraId="0000008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Independent reviewer</w:t>
            </w:r>
          </w:p>
        </w:tc>
        <w:tc>
          <w:tcPr>
            <w:tcW w:w="0" w:type="auto"/>
            <w:tcBorders/>
          </w:tcPr>
          <w:p w14:paraId="0000008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Read-only review of processes, decisions, audit trails</w:t>
            </w:r>
          </w:p>
        </w:tc>
        <w:tc>
          <w:tcPr>
            <w:tcW w:w="0" w:type="auto"/>
            <w:tcBorders/>
          </w:tcPr>
          <w:p w14:paraId="0000008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Read-only, cross-cutting, export</w:t>
            </w:r>
          </w:p>
        </w:tc>
        <w:tc>
          <w:tcPr>
            <w:tcW w:w="0" w:type="auto"/>
            <w:tcBorders/>
          </w:tcPr>
          <w:p w14:paraId="0000008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Evidence scattered across departments today</w:t>
            </w:r>
          </w:p>
        </w:tc>
      </w:tr>
      <w:tr w14:paraId="56CE678F">
        <w:tblPrEx/>
        <w:trPr>
          <w:cantSplit w:val="false"/>
          <w:tblHeader w:val="false"/>
          <w:jc w:val="left"/>
        </w:trPr>
        <w:tc>
          <w:tcPr>
            <w:tcW w:w="0" w:type="auto"/>
            <w:tcBorders/>
          </w:tcPr>
          <w:p w14:paraId="0000008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Government Leadership</w:t>
            </w:r>
          </w:p>
        </w:tc>
        <w:tc>
          <w:tcPr>
            <w:tcW w:w="0" w:type="auto"/>
            <w:tcBorders/>
          </w:tcPr>
          <w:p w14:paraId="0000009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Policy-level oversight</w:t>
            </w:r>
          </w:p>
        </w:tc>
        <w:tc>
          <w:tcPr>
            <w:tcW w:w="0" w:type="auto"/>
            <w:tcBorders/>
          </w:tcPr>
          <w:p w14:paraId="0000009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Monitor ease-of-doing-business KPIs, direct policy attention</w:t>
            </w:r>
          </w:p>
        </w:tc>
        <w:tc>
          <w:tcPr>
            <w:tcW w:w="0" w:type="auto"/>
            <w:tcBorders/>
          </w:tcPr>
          <w:p w14:paraId="0000009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Read-only aggregated dashboards</w:t>
            </w:r>
          </w:p>
        </w:tc>
        <w:tc>
          <w:tcPr>
            <w:tcW w:w="0" w:type="auto"/>
            <w:tcBorders/>
          </w:tcPr>
          <w:p w14:paraId="0000009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unified, real-time performance picture across departments</w:t>
            </w:r>
          </w:p>
        </w:tc>
      </w:tr>
      <w:tr w14:paraId="22F67D90">
        <w:tblPrEx/>
        <w:trPr>
          <w:cantSplit w:val="false"/>
          <w:tblHeader w:val="false"/>
          <w:jc w:val="left"/>
        </w:trPr>
        <w:tc>
          <w:tcPr>
            <w:tcW w:w="0" w:type="auto"/>
            <w:tcBorders/>
          </w:tcPr>
          <w:p w14:paraId="0000009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Legal/Compliance Team</w:t>
            </w:r>
          </w:p>
        </w:tc>
        <w:tc>
          <w:tcPr>
            <w:tcW w:w="0" w:type="auto"/>
            <w:tcBorders/>
          </w:tcPr>
          <w:p w14:paraId="0000009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Owns regulatory content accuracy</w:t>
            </w:r>
          </w:p>
        </w:tc>
        <w:tc>
          <w:tcPr>
            <w:tcW w:w="0" w:type="auto"/>
            <w:tcBorders/>
          </w:tcPr>
          <w:p w14:paraId="0000009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Author/approve regulatory rules and content in the knowledge engine</w:t>
            </w:r>
          </w:p>
        </w:tc>
        <w:tc>
          <w:tcPr>
            <w:tcW w:w="0" w:type="auto"/>
            <w:tcBorders/>
          </w:tcPr>
          <w:p w14:paraId="0000009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Author/approve regulatory content, cannot bypass workflow</w:t>
            </w:r>
          </w:p>
        </w:tc>
        <w:tc>
          <w:tcPr>
            <w:tcW w:w="0" w:type="auto"/>
            <w:tcBorders/>
          </w:tcPr>
          <w:p w14:paraId="0000009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Regulatory updates hard to propagate consistently</w:t>
            </w:r>
          </w:p>
        </w:tc>
      </w:tr>
      <w:tr w14:paraId="B66A9ED2">
        <w:tblPrEx/>
        <w:trPr>
          <w:cantSplit w:val="false"/>
          <w:tblHeader w:val="false"/>
          <w:jc w:val="left"/>
        </w:trPr>
        <w:tc>
          <w:tcPr>
            <w:tcW w:w="0" w:type="auto"/>
            <w:tcBorders/>
          </w:tcPr>
          <w:p w14:paraId="0000009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Integration Administrator</w:t>
            </w:r>
          </w:p>
        </w:tc>
        <w:tc>
          <w:tcPr>
            <w:tcW w:w="0" w:type="auto"/>
            <w:tcBorders/>
          </w:tcPr>
          <w:p w14:paraId="0000009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Manages external system connections</w:t>
            </w:r>
          </w:p>
        </w:tc>
        <w:tc>
          <w:tcPr>
            <w:tcW w:w="0" w:type="auto"/>
            <w:tcBorders/>
          </w:tcPr>
          <w:p w14:paraId="0000009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Onboard/monitor department &amp; third-party integrations</w:t>
            </w:r>
          </w:p>
        </w:tc>
        <w:tc>
          <w:tcPr>
            <w:tcW w:w="0" w:type="auto"/>
            <w:tcBorders/>
          </w:tcPr>
          <w:p w14:paraId="0000009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Configure integrations, view integration logs</w:t>
            </w:r>
          </w:p>
        </w:tc>
        <w:tc>
          <w:tcPr>
            <w:tcW w:w="0" w:type="auto"/>
            <w:tcBorders/>
          </w:tcPr>
          <w:p w14:paraId="0000009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N/A (new role)</w:t>
            </w:r>
          </w:p>
        </w:tc>
      </w:tr>
      <w:tr w14:paraId="7A12615D">
        <w:tblPrEx/>
        <w:trPr>
          <w:cantSplit w:val="false"/>
          <w:tblHeader w:val="false"/>
          <w:jc w:val="left"/>
        </w:trPr>
        <w:tc>
          <w:tcPr>
            <w:tcW w:w="0" w:type="auto"/>
            <w:tcBorders/>
          </w:tcPr>
          <w:p w14:paraId="0000009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Helpdesk / Support Staff</w:t>
            </w:r>
          </w:p>
        </w:tc>
        <w:tc>
          <w:tcPr>
            <w:tcW w:w="0" w:type="auto"/>
            <w:tcBorders/>
          </w:tcPr>
          <w:p w14:paraId="0000009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First-line applicant support</w:t>
            </w:r>
          </w:p>
        </w:tc>
        <w:tc>
          <w:tcPr>
            <w:tcW w:w="0" w:type="auto"/>
            <w:tcBorders/>
          </w:tcPr>
          <w:p w14:paraId="000000A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Answer applicant queries, raise tickets to the right team</w:t>
            </w:r>
          </w:p>
        </w:tc>
        <w:tc>
          <w:tcPr>
            <w:tcW w:w="0" w:type="auto"/>
            <w:tcBorders/>
          </w:tcPr>
          <w:p w14:paraId="000000A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View (not edit) applicant applications for support purposes, log tickets</w:t>
            </w:r>
          </w:p>
        </w:tc>
        <w:tc>
          <w:tcPr>
            <w:tcW w:w="0" w:type="auto"/>
            <w:tcBorders/>
          </w:tcPr>
          <w:p w14:paraId="000000A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visibility into applicant’s actual application state today</w:t>
            </w:r>
          </w:p>
        </w:tc>
      </w:tr>
    </w:tbl>
    <w:p w14:paraId="000000A3">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[ASSUMPTION – TBV]</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exact statutory titles for “Scrutiny Officer,” “Approving Authority,” etc. will differ by department (e.g., Factories, Pollution Control, Fire, Labour, Electrical Inspectorate, MIDC, Municipal bodies). The roles above are </w:t>
      </w:r>
      <w:r>
        <w:rPr>
          <w:rFonts w:ascii="Cambria" w:cs="Cambria" w:eastAsia="Cambria" w:hAnsi="Cambria"/>
          <w:b/>
          <w:bCs/>
          <w:i w:val="false"/>
          <w:iCs w:val="false"/>
          <w:smallCaps w:val="false"/>
          <w:color w:val="000000"/>
          <w:sz w:val="24"/>
          <w:szCs w:val="24"/>
          <w:u w:val="none"/>
          <w:shd w:val="clear" w:color="auto" w:fill="auto"/>
          <w:vertAlign w:val="baseline"/>
        </w:rPr>
        <w:t>functional roles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mapped to department-specific designations during onboarding of each department. This mapping must be validated per department rather than assumed to be uniform.</w:t>
      </w:r>
    </w:p>
    <w:p w14:paraId="000000A4">
      <w:pPr>
        <w:pStyle w:val="style0"/>
        <w:rPr/>
      </w:pPr>
      <w:r>
        <w:rPr/>
        <w:pict>
          <v:rect id="1030" fillcolor="#a0a0a0" stroked="f" style="margin-left:0.0pt;margin-top:0.0pt;width:0.0pt;height:1.5pt;mso-wrap-distance-left:0.0pt;mso-wrap-distance-right:0.0pt;visibility:visible;" o:hr="t" o:hralign="center" o:hrstd="t">
            <v:stroke on="f"/>
            <v:fill/>
          </v:rect>
        </w:pict>
      </w:r>
    </w:p>
    <w:bookmarkStart w:id="8" w:name="l4wa30c0sfjp" w:colFirst="0" w:colLast="0"/>
    <w:bookmarkEnd w:id="8"/>
    <w:p w14:paraId="000000A5">
      <w:pPr>
        <w:pStyle w:val="style1"/>
        <w:rPr/>
      </w:pPr>
      <w:r>
        <w:rPr/>
        <w:t>3. End-to-End User Journey &amp; State Model [EXPLICIT]</w:t>
      </w:r>
    </w:p>
    <w:bookmarkStart w:id="9" w:name="uevcgr8f6twu" w:colFirst="0" w:colLast="0"/>
    <w:bookmarkEnd w:id="9"/>
    <w:p w14:paraId="000000A6">
      <w:pPr>
        <w:pStyle w:val="style2"/>
        <w:rPr/>
      </w:pPr>
      <w:r>
        <w:rPr/>
        <w:t>3.1 Journey Stages</w:t>
      </w:r>
    </w:p>
    <w:p w14:paraId="000000A7">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Discovery — applicant lands on the platform, no profile yet</w:t>
      </w:r>
    </w:p>
    <w:p w14:paraId="000000A8">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Profile &amp; Enterprise Registration</w:t>
      </w:r>
    </w:p>
    <w:p w14:paraId="000000A9">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Project Registration (one enterprise can have multiple projects, e.g., expansion)</w:t>
      </w:r>
    </w:p>
    <w:p w14:paraId="000000AA">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 Applicability Assessment (rule engine, §4)</w:t>
      </w:r>
    </w:p>
    <w:p w14:paraId="000000AB">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Customised Checklist Generation</w:t>
      </w:r>
    </w:p>
    <w:p w14:paraId="000000AC">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Guided Document Preparation (reuse verified data/documents where possible, §7)</w:t>
      </w:r>
    </w:p>
    <w:p w14:paraId="000000AD">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Pre-Validation (§8)</w:t>
      </w:r>
    </w:p>
    <w:p w14:paraId="000000AE">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Submission</w:t>
      </w:r>
    </w:p>
    <w:p w14:paraId="000000AF">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Department Routing (single or parallel, §10–§11)</w:t>
      </w:r>
    </w:p>
    <w:p w14:paraId="000000B0">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Scrutiny</w:t>
      </w:r>
    </w:p>
    <w:p w14:paraId="000000B1">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Query / Clarification ↔ Applicant Response (may loop)</w:t>
      </w:r>
    </w:p>
    <w:p w14:paraId="000000B2">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Inspection (where applicable, §12)</w:t>
      </w:r>
    </w:p>
    <w:p w14:paraId="000000B3">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Approval / Rejection decision</w:t>
      </w:r>
    </w:p>
    <w:p w14:paraId="000000B4">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Certificate Issuance</w:t>
      </w:r>
    </w:p>
    <w:p w14:paraId="000000B5">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Post-Approval Compliance Tracking (§16)</w:t>
      </w:r>
    </w:p>
    <w:p w14:paraId="000000B6">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Renewal Cycle</w:t>
      </w:r>
    </w:p>
    <w:p w14:paraId="000000B7">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Scheme/Incentive Discovery &amp; Application (parallel track, §17)</w:t>
      </w:r>
    </w:p>
    <w:p w14:paraId="000000B8">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Grievance/Escalation (can be triggered from almost any stage, §18)</w:t>
      </w:r>
    </w:p>
    <w:p w14:paraId="000000B9">
      <w:pPr>
        <w:pStyle w:val="style0"/>
        <w:keepNext w:val="false"/>
        <w:keepLines w:val="false"/>
        <w:pageBreakBefore w:val="false"/>
        <w:widowControl/>
        <w:numPr>
          <w:ilvl w:val="0"/>
          <w:numId w:val="2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Closure / Archival</w:t>
      </w:r>
    </w:p>
    <w:bookmarkStart w:id="10" w:name="xe4muuirtan2" w:colFirst="0" w:colLast="0"/>
    <w:bookmarkEnd w:id="10"/>
    <w:p w14:paraId="000000BA">
      <w:pPr>
        <w:pStyle w:val="style2"/>
        <w:rPr/>
      </w:pPr>
      <w:r>
        <w:rPr/>
        <w:t>3.2 Application-Level State Machine [EXPLICIT + RECOMMENDED]</w:t>
      </w:r>
    </w:p>
    <w:p w14:paraId="000000BB">
      <w:pPr>
        <w:pStyle w:val="style0"/>
        <w:keepNext w:val="false"/>
        <w:keepLines w:val="false"/>
        <w:pageBreakBefore w:val="false"/>
        <w:widowControl/>
        <w:pBdr>
          <w:left w:val="nil"/>
          <w:right w:val="nil"/>
          <w:top w:val="nil"/>
          <w:bottom w:val="nil"/>
          <w:between w:val="nil"/>
        </w:pBdr>
        <w:shd w:val="clear" w:color="auto" w:fill="auto"/>
        <w:spacing w:before="0" w:after="20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DRAFT</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SUBMITTED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UNDER_SCRUTINY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QUERY_RAISED → APPLICANT_RESPONDED → UNDER_SCRUTINY   (loop, capped — see below)</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INSPECTION_SCHEDULED → INSPECTION_COMPLETED → UNDER_SCRUTINY</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RECOMMENDED_FOR_APPROVAL → APPROVED → CERTIFICATE_ISSUED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ACTIVE (compliance period)</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RENEWAL_DUE → RENEWAL_SUBMITTED → (re-enters scrutiny loop)</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EXPIRED (missed renewal)</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REJECTED → (WITHDRAWN | RESUBMITTED as new version)</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WITHDRAWN_BY_APPLICANT (allowed pre-scrutiny-completion, per rules)</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CANCELLED (administrative, e.g., duplicate)</w:t>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onsolas" w:cs="Consolas" w:eastAsia="Consolas" w:hAnsi="Consolas"/>
          <w:b w:val="false"/>
          <w:bCs w:val="false"/>
          <w:i w:val="false"/>
          <w:iCs w:val="false"/>
          <w:smallCaps w:val="false"/>
          <w:color w:val="000000"/>
          <w:sz w:val="22"/>
          <w:szCs w:val="22"/>
          <w:u w:val="none"/>
          <w:shd w:val="clear" w:color="auto" w:fill="auto"/>
          <w:vertAlign w:val="baseline"/>
        </w:rPr>
        <w:t xml:space="preserve">  → DUPLICATE_FLAGGED (system-detected, routed to manual reconciliation)</w:t>
      </w:r>
    </w:p>
    <w:p w14:paraId="000000B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arrow is an auditable event (§30). The “query loop” must have a </w:t>
      </w:r>
      <w:r>
        <w:rPr>
          <w:rFonts w:ascii="Cambria" w:cs="Cambria" w:eastAsia="Cambria" w:hAnsi="Cambria"/>
          <w:b/>
          <w:bCs/>
          <w:i w:val="false"/>
          <w:iCs w:val="false"/>
          <w:smallCaps w:val="false"/>
          <w:color w:val="000000"/>
          <w:sz w:val="24"/>
          <w:szCs w:val="24"/>
          <w:u w:val="none"/>
          <w:shd w:val="clear" w:color="auto" w:fill="auto"/>
          <w:vertAlign w:val="baseline"/>
        </w:rPr>
        <w:t>configurable maximum round count and a maximum elapsed-time cap [RECOMMENDED]</w:t>
      </w:r>
      <w:r>
        <w:rPr>
          <w:rFonts w:ascii="Cambria" w:cs="Cambria" w:eastAsia="Cambria" w:hAnsi="Cambria"/>
          <w:b w:val="false"/>
          <w:bCs w:val="false"/>
          <w:i w:val="false"/>
          <w:iCs w:val="false"/>
          <w:smallCaps w:val="false"/>
          <w:color w:val="000000"/>
          <w:sz w:val="24"/>
          <w:szCs w:val="24"/>
          <w:u w:val="none"/>
          <w:shd w:val="clear" w:color="auto" w:fill="auto"/>
          <w:vertAlign w:val="baseline"/>
        </w:rPr>
        <w:t>, after which the application auto-escalates rather than looping indefinitely — this is a common real-world failure mode in government portals (applications parked indefinitely in a query state).</w:t>
      </w:r>
    </w:p>
    <w:bookmarkStart w:id="11" w:name="dmyyhjs3owro" w:colFirst="0" w:colLast="0"/>
    <w:bookmarkEnd w:id="11"/>
    <w:p w14:paraId="000000BD">
      <w:pPr>
        <w:pStyle w:val="style2"/>
        <w:rPr/>
      </w:pPr>
      <w:r>
        <w:rPr/>
        <w:t>3.3 Path Coverage</w:t>
      </w:r>
    </w:p>
    <w:p w14:paraId="000000BE">
      <w:pPr>
        <w:pStyle w:val="style0"/>
        <w:keepNext w:val="false"/>
        <w:keepLines w:val="false"/>
        <w:pageBreakBefore w:val="false"/>
        <w:widowControl/>
        <w:numPr>
          <w:ilvl w:val="0"/>
          <w:numId w:val="2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Happy path:</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Draft → Submit → Scrutiny (no query) → Approve → Certificate</w:t>
      </w:r>
    </w:p>
    <w:p w14:paraId="000000BF">
      <w:pPr>
        <w:pStyle w:val="style0"/>
        <w:keepNext w:val="false"/>
        <w:keepLines w:val="false"/>
        <w:pageBreakBefore w:val="false"/>
        <w:widowControl/>
        <w:numPr>
          <w:ilvl w:val="0"/>
          <w:numId w:val="2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Query path:</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as above with Query loop</w:t>
      </w:r>
    </w:p>
    <w:p w14:paraId="000000C0">
      <w:pPr>
        <w:pStyle w:val="style0"/>
        <w:keepNext w:val="false"/>
        <w:keepLines w:val="false"/>
        <w:pageBreakBefore w:val="false"/>
        <w:widowControl/>
        <w:numPr>
          <w:ilvl w:val="0"/>
          <w:numId w:val="2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Inspection path:</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scrutiny triggers inspection before recommendation</w:t>
      </w:r>
    </w:p>
    <w:p w14:paraId="000000C1">
      <w:pPr>
        <w:pStyle w:val="style0"/>
        <w:keepNext w:val="false"/>
        <w:keepLines w:val="false"/>
        <w:pageBreakBefore w:val="false"/>
        <w:widowControl/>
        <w:numPr>
          <w:ilvl w:val="0"/>
          <w:numId w:val="2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Rejection → Resubmission: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rejected applications can be resubmitted as a new </w:t>
      </w:r>
      <w:r>
        <w:rPr>
          <w:rFonts w:ascii="Cambria" w:cs="Cambria" w:eastAsia="Cambria" w:hAnsi="Cambria"/>
          <w:b w:val="false"/>
          <w:bCs w:val="false"/>
          <w:i/>
          <w:iCs/>
          <w:smallCaps w:val="false"/>
          <w:color w:val="000000"/>
          <w:sz w:val="24"/>
          <w:szCs w:val="24"/>
          <w:u w:val="none"/>
          <w:shd w:val="clear" w:color="auto" w:fill="auto"/>
          <w:vertAlign w:val="baseline"/>
        </w:rPr>
        <w:t>version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linked to the original (not a fresh, disconnected application) so history isn’t lost</w:t>
      </w:r>
    </w:p>
    <w:p w14:paraId="000000C2">
      <w:pPr>
        <w:pStyle w:val="style0"/>
        <w:keepNext w:val="false"/>
        <w:keepLines w:val="false"/>
        <w:pageBreakBefore w:val="false"/>
        <w:widowControl/>
        <w:numPr>
          <w:ilvl w:val="0"/>
          <w:numId w:val="2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Withdrawal / Cancellation: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distinct — withdrawal is applicant-initiated, cancellation is administrative (e.g., duplicate detected)</w:t>
      </w:r>
    </w:p>
    <w:p w14:paraId="000000C3">
      <w:pPr>
        <w:pStyle w:val="style0"/>
        <w:keepNext w:val="false"/>
        <w:keepLines w:val="false"/>
        <w:pageBreakBefore w:val="false"/>
        <w:widowControl/>
        <w:numPr>
          <w:ilvl w:val="0"/>
          <w:numId w:val="2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Expired document mid-process: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if a supporting document expires while an application is pending, system flags it and requests refresh — </w:t>
      </w:r>
      <w:r>
        <w:rPr>
          <w:rFonts w:ascii="Cambria" w:cs="Cambria" w:eastAsia="Cambria" w:hAnsi="Cambria"/>
          <w:b/>
          <w:bCs/>
          <w:i w:val="false"/>
          <w:iCs w:val="false"/>
          <w:smallCaps w:val="false"/>
          <w:color w:val="000000"/>
          <w:sz w:val="24"/>
          <w:szCs w:val="24"/>
          <w:u w:val="none"/>
          <w:shd w:val="clear" w:color="auto" w:fill="auto"/>
          <w:vertAlign w:val="baseline"/>
        </w:rPr>
        <w:t>[ASSUMPTION – TBV: whether this pauses the SLA clock; must be validated per department’s rules, see §14]</w:t>
      </w:r>
    </w:p>
    <w:p w14:paraId="000000C4">
      <w:pPr>
        <w:pStyle w:val="style0"/>
        <w:keepNext w:val="false"/>
        <w:keepLines w:val="false"/>
        <w:pageBreakBefore w:val="false"/>
        <w:widowControl/>
        <w:numPr>
          <w:ilvl w:val="0"/>
          <w:numId w:val="2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Officer correction: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 officer can correct a clerical mistake in their own decision within a defined window, logged as a correction event, not a silent edit </w:t>
      </w:r>
      <w:r>
        <w:rPr>
          <w:rFonts w:ascii="Cambria" w:cs="Cambria" w:eastAsia="Cambria" w:hAnsi="Cambria"/>
          <w:b/>
          <w:bCs/>
          <w:i w:val="false"/>
          <w:iCs w:val="false"/>
          <w:smallCaps w:val="false"/>
          <w:color w:val="000000"/>
          <w:sz w:val="24"/>
          <w:szCs w:val="24"/>
          <w:u w:val="none"/>
          <w:shd w:val="clear" w:color="auto" w:fill="auto"/>
          <w:vertAlign w:val="baseline"/>
        </w:rPr>
        <w:t>[RECOMMENDED]</w:t>
      </w:r>
    </w:p>
    <w:p w14:paraId="000000C5">
      <w:pPr>
        <w:pStyle w:val="style0"/>
        <w:keepNext w:val="false"/>
        <w:keepLines w:val="false"/>
        <w:pageBreakBefore w:val="false"/>
        <w:widowControl/>
        <w:numPr>
          <w:ilvl w:val="0"/>
          <w:numId w:val="2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Exceptional/manual processing: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every stage must have a documented manual-override path for a Department Admin, because government systems cannot afford a case that the software simply cannot handle </w:t>
      </w:r>
      <w:r>
        <w:rPr>
          <w:rFonts w:ascii="Cambria" w:cs="Cambria" w:eastAsia="Cambria" w:hAnsi="Cambria"/>
          <w:b/>
          <w:bCs/>
          <w:i w:val="false"/>
          <w:iCs w:val="false"/>
          <w:smallCaps w:val="false"/>
          <w:color w:val="000000"/>
          <w:sz w:val="24"/>
          <w:szCs w:val="24"/>
          <w:u w:val="none"/>
          <w:shd w:val="clear" w:color="auto" w:fill="auto"/>
          <w:vertAlign w:val="baseline"/>
        </w:rPr>
        <w:t>[RECOMMENDED — hard requirement for a government-grade system]</w:t>
      </w:r>
    </w:p>
    <w:bookmarkStart w:id="12" w:name="xr628gl8hjkc" w:colFirst="0" w:colLast="0"/>
    <w:bookmarkEnd w:id="12"/>
    <w:p w14:paraId="000000C6">
      <w:pPr>
        <w:pStyle w:val="style1"/>
        <w:rPr/>
      </w:pPr>
      <w:r>
        <w:rPr/>
        <w:t>4. Approval Discovery Engine [EXPLICIT]</w:t>
      </w:r>
    </w:p>
    <w:bookmarkStart w:id="13" w:name="gl0o0o40799j" w:colFirst="0" w:colLast="0"/>
    <w:bookmarkEnd w:id="13"/>
    <w:p w14:paraId="000000C7">
      <w:pPr>
        <w:pStyle w:val="style2"/>
        <w:rPr/>
      </w:pPr>
      <w:r>
        <w:rPr/>
        <w:t>4.1 Purpose</w:t>
      </w:r>
    </w:p>
    <w:p w14:paraId="000000C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Given a project’s characteristics, determine the full set of approvals/registrations/NOCs applicable to it — the single most valuable feature in the platform, because it is the thing applicants currently cannot find out without visiting multiple offices.</w:t>
      </w:r>
    </w:p>
    <w:bookmarkStart w:id="14" w:name="gc54w6ydz8xy" w:colFirst="0" w:colLast="0"/>
    <w:bookmarkEnd w:id="14"/>
    <w:p w14:paraId="000000C9">
      <w:pPr>
        <w:pStyle w:val="style2"/>
        <w:rPr/>
      </w:pPr>
      <w:r>
        <w:rPr/>
        <w:t>4.2 Input Schema (Project Profile) [INFERRED]</w:t>
      </w:r>
    </w:p>
    <w:tbl>
      <w:tblPr>
        <w:tblStyle w:val="style4101"/>
        <w:tblW w:w="7920" w:type="dxa"/>
        <w:jc w:val="left"/>
        <w:tblInd w:w="-108" w:type="dxa"/>
        <w:tblLayout w:type="fixed"/>
        <w:tblLook w:val="0020" w:firstRow="1" w:lastRow="0" w:firstColumn="0" w:lastColumn="0" w:noHBand="0" w:noVBand="0"/>
      </w:tblPr>
      <w:tblGrid>
        <w:gridCol w:w="2640"/>
        <w:gridCol w:w="2640"/>
        <w:gridCol w:w="2640"/>
      </w:tblGrid>
      <w:tr w14:paraId="8A73EA36">
        <w:trPr>
          <w:cantSplit w:val="false"/>
          <w:tblHeader/>
          <w:jc w:val="left"/>
        </w:trPr>
        <w:tc>
          <w:tcPr>
            <w:tcW w:w="0" w:type="auto"/>
            <w:tcBorders/>
          </w:tcPr>
          <w:p w14:paraId="000000C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Field</w:t>
            </w:r>
          </w:p>
        </w:tc>
        <w:tc>
          <w:tcPr>
            <w:tcW w:w="0" w:type="auto"/>
            <w:tcBorders/>
          </w:tcPr>
          <w:p w14:paraId="000000C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Example Values</w:t>
            </w:r>
          </w:p>
        </w:tc>
        <w:tc>
          <w:tcPr>
            <w:tcW w:w="0" w:type="auto"/>
            <w:tcBorders/>
          </w:tcPr>
          <w:p w14:paraId="000000C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Why It Matters</w:t>
            </w:r>
          </w:p>
        </w:tc>
      </w:tr>
      <w:tr w14:paraId="97CB5BF2">
        <w:tblPrEx/>
        <w:trPr>
          <w:cantSplit w:val="false"/>
          <w:tblHeader w:val="false"/>
          <w:jc w:val="left"/>
        </w:trPr>
        <w:tc>
          <w:tcPr>
            <w:tcW w:w="0" w:type="auto"/>
            <w:tcBorders/>
          </w:tcPr>
          <w:p w14:paraId="000000C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Business/enterprise type</w:t>
            </w:r>
          </w:p>
        </w:tc>
        <w:tc>
          <w:tcPr>
            <w:tcW w:w="0" w:type="auto"/>
            <w:tcBorders/>
          </w:tcPr>
          <w:p w14:paraId="000000C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Proprietorship, Partnership, LLP, Pvt Ltd, MSME (Micro/Small/Medium), Large</w:t>
            </w:r>
          </w:p>
        </w:tc>
        <w:tc>
          <w:tcPr>
            <w:tcW w:w="0" w:type="auto"/>
            <w:tcBorders/>
          </w:tcPr>
          <w:p w14:paraId="000000C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Different thresholds, different scheme/approval sets</w:t>
            </w:r>
          </w:p>
        </w:tc>
      </w:tr>
      <w:tr w14:paraId="C37918A9">
        <w:tblPrEx/>
        <w:trPr>
          <w:cantSplit w:val="false"/>
          <w:tblHeader w:val="false"/>
          <w:jc w:val="left"/>
        </w:trPr>
        <w:tc>
          <w:tcPr>
            <w:tcW w:w="0" w:type="auto"/>
            <w:tcBorders/>
          </w:tcPr>
          <w:p w14:paraId="000000D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Industry / sector (NIC code)</w:t>
            </w:r>
          </w:p>
        </w:tc>
        <w:tc>
          <w:tcPr>
            <w:tcW w:w="0" w:type="auto"/>
            <w:tcBorders/>
          </w:tcPr>
          <w:p w14:paraId="000000D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Manufacturing sub-sector, etc.</w:t>
            </w:r>
          </w:p>
        </w:tc>
        <w:tc>
          <w:tcPr>
            <w:tcW w:w="0" w:type="auto"/>
            <w:tcBorders/>
          </w:tcPr>
          <w:p w14:paraId="000000D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Sector-specific licences (e.g., food, pharma, chemicals)</w:t>
            </w:r>
          </w:p>
        </w:tc>
      </w:tr>
      <w:tr w14:paraId="D4ACC8E6">
        <w:tblPrEx/>
        <w:trPr>
          <w:cantSplit w:val="false"/>
          <w:tblHeader w:val="false"/>
          <w:jc w:val="left"/>
        </w:trPr>
        <w:tc>
          <w:tcPr>
            <w:tcW w:w="0" w:type="auto"/>
            <w:tcBorders/>
          </w:tcPr>
          <w:p w14:paraId="000000D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Specific activity</w:t>
            </w:r>
          </w:p>
        </w:tc>
        <w:tc>
          <w:tcPr>
            <w:tcW w:w="0" w:type="auto"/>
            <w:tcBorders/>
          </w:tcPr>
          <w:p w14:paraId="000000D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e.g., “plastic moulding,” “food processing”</w:t>
            </w:r>
          </w:p>
        </w:tc>
        <w:tc>
          <w:tcPr>
            <w:tcW w:w="0" w:type="auto"/>
            <w:tcBorders/>
          </w:tcPr>
          <w:p w14:paraId="000000D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Finer-grained than sector; drives NOC applicability</w:t>
            </w:r>
          </w:p>
        </w:tc>
      </w:tr>
      <w:tr w14:paraId="A5894A55">
        <w:tblPrEx/>
        <w:trPr>
          <w:cantSplit w:val="false"/>
          <w:tblHeader w:val="false"/>
          <w:jc w:val="left"/>
        </w:trPr>
        <w:tc>
          <w:tcPr>
            <w:tcW w:w="0" w:type="auto"/>
            <w:tcBorders/>
          </w:tcPr>
          <w:p w14:paraId="000000D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Location (District / Taluka / Industrial area)</w:t>
            </w:r>
          </w:p>
        </w:tc>
        <w:tc>
          <w:tcPr>
            <w:tcW w:w="0" w:type="auto"/>
            <w:tcBorders/>
          </w:tcPr>
          <w:p w14:paraId="000000D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e.g., MIDC estate vs. non-MIDC</w:t>
            </w:r>
          </w:p>
        </w:tc>
        <w:tc>
          <w:tcPr>
            <w:tcW w:w="0" w:type="auto"/>
            <w:tcBorders/>
          </w:tcPr>
          <w:p w14:paraId="000000D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MIDC-specific NOCs; jurisdiction routing</w:t>
            </w:r>
          </w:p>
        </w:tc>
      </w:tr>
      <w:tr w14:paraId="8920F169">
        <w:tblPrEx/>
        <w:trPr>
          <w:cantSplit w:val="false"/>
          <w:tblHeader w:val="false"/>
          <w:jc w:val="left"/>
        </w:trPr>
        <w:tc>
          <w:tcPr>
            <w:tcW w:w="0" w:type="auto"/>
            <w:tcBorders/>
          </w:tcPr>
          <w:p w14:paraId="000000D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Project size / investment amount</w:t>
            </w:r>
          </w:p>
        </w:tc>
        <w:tc>
          <w:tcPr>
            <w:tcW w:w="0" w:type="auto"/>
            <w:tcBorders/>
          </w:tcPr>
          <w:p w14:paraId="000000D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bands</w:t>
            </w:r>
          </w:p>
        </w:tc>
        <w:tc>
          <w:tcPr>
            <w:tcW w:w="0" w:type="auto"/>
            <w:tcBorders/>
          </w:tcPr>
          <w:p w14:paraId="000000D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Threshold-based applicability (e.g., environmental category)</w:t>
            </w:r>
          </w:p>
        </w:tc>
      </w:tr>
      <w:tr w14:paraId="450976D3">
        <w:tblPrEx/>
        <w:trPr>
          <w:cantSplit w:val="false"/>
          <w:tblHeader w:val="false"/>
          <w:jc w:val="left"/>
        </w:trPr>
        <w:tc>
          <w:tcPr>
            <w:tcW w:w="0" w:type="auto"/>
            <w:tcBorders/>
          </w:tcPr>
          <w:p w14:paraId="000000D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Employment (proposed headcount)</w:t>
            </w:r>
          </w:p>
        </w:tc>
        <w:tc>
          <w:tcPr>
            <w:tcW w:w="0" w:type="auto"/>
            <w:tcBorders/>
          </w:tcPr>
          <w:p w14:paraId="000000D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numeric</w:t>
            </w:r>
          </w:p>
        </w:tc>
        <w:tc>
          <w:tcPr>
            <w:tcW w:w="0" w:type="auto"/>
            <w:tcBorders/>
          </w:tcPr>
          <w:p w14:paraId="000000D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Labour-law thresholds</w:t>
            </w:r>
          </w:p>
        </w:tc>
      </w:tr>
      <w:tr w14:paraId="C82FCED6">
        <w:tblPrEx/>
        <w:trPr>
          <w:cantSplit w:val="false"/>
          <w:tblHeader w:val="false"/>
          <w:jc w:val="left"/>
        </w:trPr>
        <w:tc>
          <w:tcPr>
            <w:tcW w:w="0" w:type="auto"/>
            <w:tcBorders/>
          </w:tcPr>
          <w:p w14:paraId="000000D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Land status</w:t>
            </w:r>
          </w:p>
        </w:tc>
        <w:tc>
          <w:tcPr>
            <w:tcW w:w="0" w:type="auto"/>
            <w:tcBorders/>
          </w:tcPr>
          <w:p w14:paraId="000000E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Owned / Leased / Allotted by MIDC</w:t>
            </w:r>
          </w:p>
        </w:tc>
        <w:tc>
          <w:tcPr>
            <w:tcW w:w="0" w:type="auto"/>
            <w:tcBorders/>
          </w:tcPr>
          <w:p w14:paraId="000000E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Land-related NOCs</w:t>
            </w:r>
          </w:p>
        </w:tc>
      </w:tr>
      <w:tr w14:paraId="F773EE6C">
        <w:tblPrEx/>
        <w:trPr>
          <w:cantSplit w:val="false"/>
          <w:tblHeader w:val="false"/>
          <w:jc w:val="left"/>
        </w:trPr>
        <w:tc>
          <w:tcPr>
            <w:tcW w:w="0" w:type="auto"/>
            <w:tcBorders/>
          </w:tcPr>
          <w:p w14:paraId="000000E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Construction status</w:t>
            </w:r>
          </w:p>
        </w:tc>
        <w:tc>
          <w:tcPr>
            <w:tcW w:w="0" w:type="auto"/>
            <w:tcBorders/>
          </w:tcPr>
          <w:p w14:paraId="000000E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 started / Ongoing / Completed</w:t>
            </w:r>
          </w:p>
        </w:tc>
        <w:tc>
          <w:tcPr>
            <w:tcW w:w="0" w:type="auto"/>
            <w:tcBorders/>
          </w:tcPr>
          <w:p w14:paraId="000000E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Building/fire NOC stage-gating</w:t>
            </w:r>
          </w:p>
        </w:tc>
      </w:tr>
      <w:tr w14:paraId="6E16883E">
        <w:tblPrEx/>
        <w:trPr>
          <w:cantSplit w:val="false"/>
          <w:tblHeader w:val="false"/>
          <w:jc w:val="left"/>
        </w:trPr>
        <w:tc>
          <w:tcPr>
            <w:tcW w:w="0" w:type="auto"/>
            <w:tcBorders/>
          </w:tcPr>
          <w:p w14:paraId="000000E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Production status</w:t>
            </w:r>
          </w:p>
        </w:tc>
        <w:tc>
          <w:tcPr>
            <w:tcW w:w="0" w:type="auto"/>
            <w:tcBorders/>
          </w:tcPr>
          <w:p w14:paraId="000000E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Pre-production / Trial / Commercial</w:t>
            </w:r>
          </w:p>
        </w:tc>
        <w:tc>
          <w:tcPr>
            <w:tcW w:w="0" w:type="auto"/>
            <w:tcBorders/>
          </w:tcPr>
          <w:p w14:paraId="000000E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Determines which approvals are pre- vs. post-commissioning</w:t>
            </w:r>
          </w:p>
        </w:tc>
      </w:tr>
      <w:tr w14:paraId="21FABE21">
        <w:tblPrEx/>
        <w:trPr>
          <w:cantSplit w:val="false"/>
          <w:tblHeader w:val="false"/>
          <w:jc w:val="left"/>
        </w:trPr>
        <w:tc>
          <w:tcPr>
            <w:tcW w:w="0" w:type="auto"/>
            <w:tcBorders/>
          </w:tcPr>
          <w:p w14:paraId="000000E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Environmental category</w:t>
            </w:r>
          </w:p>
        </w:tc>
        <w:tc>
          <w:tcPr>
            <w:tcW w:w="0" w:type="auto"/>
            <w:tcBorders/>
          </w:tcPr>
          <w:p w14:paraId="000000E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To Be Validated with Government Department (categorisation criteria are statutory)</w:t>
            </w:r>
          </w:p>
        </w:tc>
        <w:tc>
          <w:tcPr>
            <w:tcW w:w="0" w:type="auto"/>
            <w:tcBorders/>
          </w:tcPr>
          <w:p w14:paraId="000000E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Environmental clearance level</w:t>
            </w:r>
          </w:p>
        </w:tc>
      </w:tr>
      <w:tr w14:paraId="B32A8B7E">
        <w:tblPrEx/>
        <w:trPr>
          <w:cantSplit w:val="false"/>
          <w:tblHeader w:val="false"/>
          <w:jc w:val="left"/>
        </w:trPr>
        <w:tc>
          <w:tcPr>
            <w:tcW w:w="0" w:type="auto"/>
            <w:tcBorders/>
          </w:tcPr>
          <w:p w14:paraId="000000E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Utility requirements</w:t>
            </w:r>
          </w:p>
        </w:tc>
        <w:tc>
          <w:tcPr>
            <w:tcW w:w="0" w:type="auto"/>
            <w:tcBorders/>
          </w:tcPr>
          <w:p w14:paraId="000000E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Power load, water, effluent discharge</w:t>
            </w:r>
          </w:p>
        </w:tc>
        <w:tc>
          <w:tcPr>
            <w:tcW w:w="0" w:type="auto"/>
            <w:tcBorders/>
          </w:tcPr>
          <w:p w14:paraId="000000E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Utility-linked NOCs</w:t>
            </w:r>
          </w:p>
        </w:tc>
      </w:tr>
      <w:tr w14:paraId="3CF3ADC5">
        <w:tblPrEx/>
        <w:trPr>
          <w:cantSplit w:val="false"/>
          <w:tblHeader w:val="false"/>
          <w:jc w:val="left"/>
        </w:trPr>
        <w:tc>
          <w:tcPr>
            <w:tcW w:w="0" w:type="auto"/>
            <w:tcBorders/>
          </w:tcPr>
          <w:p w14:paraId="000000E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Hazardous/non-hazardous classification</w:t>
            </w:r>
          </w:p>
        </w:tc>
        <w:tc>
          <w:tcPr>
            <w:tcW w:w="0" w:type="auto"/>
            <w:tcBorders/>
          </w:tcPr>
          <w:p w14:paraId="000000E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Yes/No + category</w:t>
            </w:r>
          </w:p>
        </w:tc>
        <w:tc>
          <w:tcPr>
            <w:tcW w:w="0" w:type="auto"/>
            <w:tcBorders/>
          </w:tcPr>
          <w:p w14:paraId="000000F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Factories Act / hazardous-industry approvals</w:t>
            </w:r>
          </w:p>
        </w:tc>
      </w:tr>
      <w:tr w14:paraId="CF75EDE1">
        <w:tblPrEx/>
        <w:trPr>
          <w:cantSplit w:val="false"/>
          <w:tblHeader w:val="false"/>
          <w:jc w:val="left"/>
        </w:trPr>
        <w:tc>
          <w:tcPr>
            <w:tcW w:w="0" w:type="auto"/>
            <w:tcBorders/>
          </w:tcPr>
          <w:p w14:paraId="000000F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Stage of project</w:t>
            </w:r>
          </w:p>
        </w:tc>
        <w:tc>
          <w:tcPr>
            <w:tcW w:w="0" w:type="auto"/>
            <w:tcBorders/>
          </w:tcPr>
          <w:p w14:paraId="000000F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Greenfield / Brownfield / Expansion</w:t>
            </w:r>
          </w:p>
        </w:tc>
        <w:tc>
          <w:tcPr>
            <w:tcW w:w="0" w:type="auto"/>
            <w:tcBorders/>
          </w:tcPr>
          <w:p w14:paraId="000000F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Different checklists for new vs. expanding units</w:t>
            </w:r>
          </w:p>
        </w:tc>
      </w:tr>
      <w:bookmarkStart w:id="15" w:name="l7tmupcp1l15" w:colFirst="0" w:colLast="0"/>
      <w:bookmarkEnd w:id="15"/>
    </w:tbl>
    <w:p w14:paraId="000000F4">
      <w:pPr>
        <w:pStyle w:val="style2"/>
        <w:rPr/>
      </w:pPr>
      <w:r>
        <w:rPr/>
        <w:t>4.3 Rule Engine Design [RECOMMENDED]</w:t>
      </w:r>
    </w:p>
    <w:p w14:paraId="000000F5">
      <w:pPr>
        <w:pStyle w:val="style0"/>
        <w:keepNext w:val="false"/>
        <w:keepLines w:val="false"/>
        <w:pageBreakBefore w:val="false"/>
        <w:widowControl/>
        <w:numPr>
          <w:ilvl w:val="0"/>
          <w:numId w:val="2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Type: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Deterministic, declarative rule engine (e.g., decision-table / rules-as-data model), </w:t>
      </w:r>
      <w:r>
        <w:rPr>
          <w:rFonts w:ascii="Cambria" w:cs="Cambria" w:eastAsia="Cambria" w:hAnsi="Cambria"/>
          <w:b/>
          <w:bCs/>
          <w:i w:val="false"/>
          <w:iCs w:val="false"/>
          <w:smallCaps w:val="false"/>
          <w:color w:val="000000"/>
          <w:sz w:val="24"/>
          <w:szCs w:val="24"/>
          <w:u w:val="none"/>
          <w:shd w:val="clear" w:color="auto" w:fill="auto"/>
          <w:vertAlign w:val="baseline"/>
        </w:rPr>
        <w:t>not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black-box ML classifier — approval applicability is a compliance decision and must be explainable and auditable end-to-end.</w:t>
      </w:r>
    </w:p>
    <w:p w14:paraId="000000F6">
      <w:pPr>
        <w:pStyle w:val="style0"/>
        <w:keepNext w:val="false"/>
        <w:keepLines w:val="false"/>
        <w:pageBreakBefore w:val="false"/>
        <w:widowControl/>
        <w:numPr>
          <w:ilvl w:val="0"/>
          <w:numId w:val="2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Rule structure: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IF &lt;conditions on Project Profile fields&gt; THEN &lt;ApprovalType is applicable&gt; [WITH priority P, effective_from D1, effective_to D2]</w:t>
      </w:r>
    </w:p>
    <w:p w14:paraId="000000F7">
      <w:pPr>
        <w:pStyle w:val="style0"/>
        <w:keepNext w:val="false"/>
        <w:keepLines w:val="false"/>
        <w:pageBreakBefore w:val="false"/>
        <w:widowControl/>
        <w:numPr>
          <w:ilvl w:val="0"/>
          <w:numId w:val="2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Rule priority/conflict resolution: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rules are namespaced per issuing department; a department only owns rules that produce </w:t>
      </w:r>
      <w:r>
        <w:rPr>
          <w:rFonts w:ascii="Cambria" w:cs="Cambria" w:eastAsia="Cambria" w:hAnsi="Cambria"/>
          <w:b w:val="false"/>
          <w:bCs w:val="false"/>
          <w:i/>
          <w:iCs/>
          <w:smallCaps w:val="false"/>
          <w:color w:val="000000"/>
          <w:sz w:val="24"/>
          <w:szCs w:val="24"/>
          <w:u w:val="none"/>
          <w:shd w:val="clear" w:color="auto" w:fill="auto"/>
          <w:vertAlign w:val="baseline"/>
        </w:rPr>
        <w:t>its own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approval types, eliminating most conflicts by construction. Cross-department conditional rules (e.g., “if Environmental Clearance required, then also require X”) are modelled as </w:t>
      </w:r>
      <w:r>
        <w:rPr>
          <w:rFonts w:ascii="Cambria" w:cs="Cambria" w:eastAsia="Cambria" w:hAnsi="Cambria"/>
          <w:b/>
          <w:bCs/>
          <w:i w:val="false"/>
          <w:iCs w:val="false"/>
          <w:smallCaps w:val="false"/>
          <w:color w:val="000000"/>
          <w:sz w:val="24"/>
          <w:szCs w:val="24"/>
          <w:u w:val="none"/>
          <w:shd w:val="clear" w:color="auto" w:fill="auto"/>
          <w:vertAlign w:val="baseline"/>
        </w:rPr>
        <w:t>dependency edges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between ApprovalTypes, not as one department’s rule reaching into another’s domain.</w:t>
      </w:r>
    </w:p>
    <w:p w14:paraId="000000F8">
      <w:pPr>
        <w:pStyle w:val="style0"/>
        <w:keepNext w:val="false"/>
        <w:keepLines w:val="false"/>
        <w:pageBreakBefore w:val="false"/>
        <w:widowControl/>
        <w:numPr>
          <w:ilvl w:val="0"/>
          <w:numId w:val="2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Versioning &amp; effective dates: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every rule version is timestamped with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effective_from</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effective_to</w:t>
      </w:r>
      <w:r>
        <w:rPr>
          <w:rFonts w:ascii="Cambria" w:cs="Cambria" w:eastAsia="Cambria" w:hAnsi="Cambria"/>
          <w:b w:val="false"/>
          <w:bCs w:val="false"/>
          <w:i w:val="false"/>
          <w:iCs w:val="false"/>
          <w:smallCaps w:val="false"/>
          <w:color w:val="000000"/>
          <w:sz w:val="24"/>
          <w:szCs w:val="24"/>
          <w:u w:val="none"/>
          <w:shd w:val="clear" w:color="auto" w:fill="auto"/>
          <w:vertAlign w:val="baseline"/>
        </w:rPr>
        <w:t>. A submitted application is evaluated against the rule version effective on its submission date, and that evaluation snapshot is stored — so a later rule change does not retroactively alter what was required at submission time. This is essential for audit defensibility.</w:t>
      </w:r>
    </w:p>
    <w:p w14:paraId="000000F9">
      <w:pPr>
        <w:pStyle w:val="style0"/>
        <w:keepNext w:val="false"/>
        <w:keepLines w:val="false"/>
        <w:pageBreakBefore w:val="false"/>
        <w:widowControl/>
        <w:numPr>
          <w:ilvl w:val="0"/>
          <w:numId w:val="2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Human override: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Department Admin can manually add/remove an approval requirement for a specific application with a mandatory justification note — this event is logged (§30) and does not modify the underlying rule.</w:t>
      </w:r>
    </w:p>
    <w:p w14:paraId="000000FA">
      <w:pPr>
        <w:pStyle w:val="style0"/>
        <w:keepNext w:val="false"/>
        <w:keepLines w:val="false"/>
        <w:pageBreakBefore w:val="false"/>
        <w:widowControl/>
        <w:numPr>
          <w:ilvl w:val="0"/>
          <w:numId w:val="2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Auditability: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given any historical application, the system must be able to reconstruct </w:t>
      </w:r>
      <w:r>
        <w:rPr>
          <w:rFonts w:ascii="Cambria" w:cs="Cambria" w:eastAsia="Cambria" w:hAnsi="Cambria"/>
          <w:b w:val="false"/>
          <w:bCs w:val="false"/>
          <w:i/>
          <w:iCs/>
          <w:smallCaps w:val="false"/>
          <w:color w:val="000000"/>
          <w:sz w:val="24"/>
          <w:szCs w:val="24"/>
          <w:u w:val="none"/>
          <w:shd w:val="clear" w:color="auto" w:fill="auto"/>
          <w:vertAlign w:val="baseline"/>
        </w:rPr>
        <w:t>exactly which rule versions fired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to produce its checklist.</w:t>
      </w:r>
    </w:p>
    <w:bookmarkStart w:id="16" w:name="t1cw9choyqtr" w:colFirst="0" w:colLast="0"/>
    <w:bookmarkEnd w:id="16"/>
    <w:p w14:paraId="000000FB">
      <w:pPr>
        <w:pStyle w:val="style2"/>
        <w:rPr/>
      </w:pPr>
      <w:r>
        <w:rPr/>
        <w:t>4.4 Assumptions Requiring Validation</w:t>
      </w:r>
    </w:p>
    <w:p w14:paraId="000000FC">
      <w:pPr>
        <w:pStyle w:val="style0"/>
        <w:keepNext w:val="false"/>
        <w:keepLines w:val="false"/>
        <w:pageBreakBefore w:val="false"/>
        <w:widowControl/>
        <w:numPr>
          <w:ilvl w:val="0"/>
          <w:numId w:val="2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[ASSUMPTION – TBV]</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actual list of approval types, their owning departments, and the real eligibility conditions must be sourced and confirmed department-by-department; none are invented here. Recommended validation path: structured intake workshop per department using this Input Schema as the discovery template.</w:t>
      </w:r>
    </w:p>
    <w:p w14:paraId="000000FD">
      <w:pPr>
        <w:pStyle w:val="style0"/>
        <w:keepNext w:val="false"/>
        <w:keepLines w:val="false"/>
        <w:pageBreakBefore w:val="false"/>
        <w:widowControl/>
        <w:numPr>
          <w:ilvl w:val="0"/>
          <w:numId w:val="2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[ASSUMPTION – TBV]</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Whether environmental categorisation and hazardous classification are self-declared by the applicant (subject to audit) or must be certified by a third party before the platform can rely on them for approval-discovery logic.</w:t>
      </w:r>
    </w:p>
    <w:p w14:paraId="000000FE">
      <w:pPr>
        <w:pStyle w:val="style0"/>
        <w:rPr/>
      </w:pPr>
      <w:r>
        <w:rPr/>
        <w:pict>
          <v:rect id="1031" fillcolor="#a0a0a0" stroked="f" style="margin-left:0.0pt;margin-top:0.0pt;width:0.0pt;height:1.5pt;mso-wrap-distance-left:0.0pt;mso-wrap-distance-right:0.0pt;visibility:visible;" o:hr="t" o:hralign="center" o:hrstd="t">
            <v:stroke on="f"/>
            <v:fill/>
          </v:rect>
        </w:pict>
      </w:r>
    </w:p>
    <w:bookmarkStart w:id="17" w:name="1wx67gfu0lt8" w:colFirst="0" w:colLast="0"/>
    <w:bookmarkEnd w:id="17"/>
    <w:p w14:paraId="000000FF">
      <w:pPr>
        <w:pStyle w:val="style1"/>
        <w:rPr/>
      </w:pPr>
      <w:r>
        <w:rPr/>
        <w:t>5. Regulatory Knowledge Engine [EXPLICIT]</w:t>
      </w:r>
    </w:p>
    <w:bookmarkStart w:id="18" w:name="ljnb8s3n7ko1" w:colFirst="0" w:colLast="0"/>
    <w:bookmarkEnd w:id="18"/>
    <w:p w14:paraId="00000100">
      <w:pPr>
        <w:pStyle w:val="style2"/>
        <w:rPr/>
      </w:pPr>
      <w:r>
        <w:rPr/>
        <w:t>5.1 Content Types Supported [EXPLICIT]</w:t>
      </w:r>
    </w:p>
    <w:p w14:paraId="0000010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Acts, Rules, Regulations, Circulars, Government Resolutions (GRs), Notifications, department guidelines, approval-specific documentation requirements, eligibility rules, renewal rules, validity periods, inter-approval dependencies, effective dates.</w:t>
      </w:r>
    </w:p>
    <w:bookmarkStart w:id="19" w:name="h8usmq4ecf7k" w:colFirst="0" w:colLast="0"/>
    <w:bookmarkEnd w:id="19"/>
    <w:p w14:paraId="00000102">
      <w:pPr>
        <w:pStyle w:val="style2"/>
        <w:rPr/>
      </w:pPr>
      <w:r>
        <w:rPr/>
        <w:t>5.2 Governance Model [RECOMMENDED — non-negotiable for a government system]</w:t>
      </w:r>
    </w:p>
    <w:p w14:paraId="00000103">
      <w:pPr>
        <w:pStyle w:val="style0"/>
        <w:keepNext w:val="false"/>
        <w:keepLines w:val="false"/>
        <w:pageBreakBefore w:val="false"/>
        <w:widowControl/>
        <w:numPr>
          <w:ilvl w:val="0"/>
          <w:numId w:val="2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Content ownership:</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each piece of regulatory content is owned by exactly one department/legal-compliance owner.</w:t>
      </w:r>
    </w:p>
    <w:p w14:paraId="00000104">
      <w:pPr>
        <w:pStyle w:val="style0"/>
        <w:keepNext w:val="false"/>
        <w:keepLines w:val="false"/>
        <w:pageBreakBefore w:val="false"/>
        <w:widowControl/>
        <w:numPr>
          <w:ilvl w:val="0"/>
          <w:numId w:val="2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Change workflow:</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Draft → Legal/Compliance Review → Approved → Published, with every state transition logged. No content reaches applicants or the rule engine without passing “Approved.”</w:t>
      </w:r>
    </w:p>
    <w:p w14:paraId="00000105">
      <w:pPr>
        <w:pStyle w:val="style0"/>
        <w:keepNext w:val="false"/>
        <w:keepLines w:val="false"/>
        <w:pageBreakBefore w:val="false"/>
        <w:widowControl/>
        <w:numPr>
          <w:ilvl w:val="0"/>
          <w:numId w:val="2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Versioning: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every regulatory document and every derived rule has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effective_from</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effective_to</w:t>
      </w:r>
      <w:r>
        <w:rPr>
          <w:rFonts w:ascii="Cambria" w:cs="Cambria" w:eastAsia="Cambria" w:hAnsi="Cambria"/>
          <w:b w:val="false"/>
          <w:bCs w:val="false"/>
          <w:i w:val="false"/>
          <w:iCs w:val="false"/>
          <w:smallCaps w:val="false"/>
          <w:color w:val="000000"/>
          <w:sz w:val="24"/>
          <w:szCs w:val="24"/>
          <w:u w:val="none"/>
          <w:shd w:val="clear" w:color="auto" w:fill="auto"/>
          <w:vertAlign w:val="baseline"/>
        </w:rPr>
        <w:t>, full change history, and a diff view between versions.</w:t>
      </w:r>
    </w:p>
    <w:p w14:paraId="00000106">
      <w:pPr>
        <w:pStyle w:val="style0"/>
        <w:keepNext w:val="false"/>
        <w:keepLines w:val="false"/>
        <w:pageBreakBefore w:val="false"/>
        <w:widowControl/>
        <w:numPr>
          <w:ilvl w:val="0"/>
          <w:numId w:val="2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Two-layer separation (critical):</w:t>
      </w:r>
    </w:p>
    <w:p w14:paraId="00000107">
      <w:pPr>
        <w:pStyle w:val="style0"/>
        <w:keepNext w:val="false"/>
        <w:keepLines w:val="false"/>
        <w:pageBreakBefore w:val="false"/>
        <w:widowControl/>
        <w:numPr>
          <w:ilvl w:val="1"/>
          <w:numId w:val="2"/>
        </w:numPr>
        <w:pBdr>
          <w:left w:val="nil"/>
          <w:right w:val="nil"/>
          <w:top w:val="nil"/>
          <w:bottom w:val="nil"/>
          <w:between w:val="nil"/>
        </w:pBdr>
        <w:shd w:val="clear" w:color="auto" w:fill="auto"/>
        <w:spacing w:before="36" w:after="36" w:lineRule="auto" w:line="240"/>
        <w:ind w:left="144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Layer 1 — Authoritative Source Store: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actual Act/Rule/Circular text and metadata, version-controlled, owned by Legal/Compliance.</w:t>
      </w:r>
    </w:p>
    <w:p w14:paraId="00000108">
      <w:pPr>
        <w:pStyle w:val="style0"/>
        <w:keepNext w:val="false"/>
        <w:keepLines w:val="false"/>
        <w:pageBreakBefore w:val="false"/>
        <w:widowControl/>
        <w:numPr>
          <w:ilvl w:val="1"/>
          <w:numId w:val="2"/>
        </w:numPr>
        <w:pBdr>
          <w:left w:val="nil"/>
          <w:right w:val="nil"/>
          <w:top w:val="nil"/>
          <w:bottom w:val="nil"/>
          <w:between w:val="nil"/>
        </w:pBdr>
        <w:shd w:val="clear" w:color="auto" w:fill="auto"/>
        <w:spacing w:before="36" w:after="36" w:lineRule="auto" w:line="240"/>
        <w:ind w:left="144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Layer 2 — Derived Operational Rules: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machine-readable rules (§4.3) and checklist items </w:t>
      </w:r>
      <w:r>
        <w:rPr>
          <w:rFonts w:ascii="Cambria" w:cs="Cambria" w:eastAsia="Cambria" w:hAnsi="Cambria"/>
          <w:b w:val="false"/>
          <w:bCs w:val="false"/>
          <w:i/>
          <w:iCs/>
          <w:smallCaps w:val="false"/>
          <w:color w:val="000000"/>
          <w:sz w:val="24"/>
          <w:szCs w:val="24"/>
          <w:u w:val="none"/>
          <w:shd w:val="clear" w:color="auto" w:fill="auto"/>
          <w:vertAlign w:val="baseline"/>
        </w:rPr>
        <w:t>derived from</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Layer 1 by a human compliance reviewer, with a mandatory link back to the specific clause of the Layer-1 source.</w:t>
      </w:r>
    </w:p>
    <w:p w14:paraId="00000109">
      <w:pPr>
        <w:pStyle w:val="style0"/>
        <w:keepNext w:val="false"/>
        <w:keepLines w:val="false"/>
        <w:pageBreakBefore w:val="false"/>
        <w:widowControl/>
        <w:numPr>
          <w:ilvl w:val="1"/>
          <w:numId w:val="2"/>
        </w:numPr>
        <w:pBdr>
          <w:left w:val="nil"/>
          <w:right w:val="nil"/>
          <w:top w:val="nil"/>
          <w:bottom w:val="nil"/>
          <w:between w:val="nil"/>
        </w:pBdr>
        <w:shd w:val="clear" w:color="auto" w:fill="auto"/>
        <w:spacing w:before="36" w:after="36" w:lineRule="auto" w:line="240"/>
        <w:ind w:left="144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Applicants and officers never see “the AI’s interpretation” as if it were law; they see the Layer-1 citation plus a human-approved operational rule.</w:t>
      </w:r>
    </w:p>
    <w:bookmarkStart w:id="20" w:name="4lwugl2xt2gk" w:colFirst="0" w:colLast="0"/>
    <w:bookmarkEnd w:id="20"/>
    <w:p w14:paraId="0000010A">
      <w:pPr>
        <w:pStyle w:val="style2"/>
        <w:rPr/>
      </w:pPr>
      <w:r>
        <w:rPr/>
        <w:t>5.3 If AI/RAG Is Used for Regulatory Q&amp;A [EXPLICIT — “AI must never become the authoritative legal source”]</w:t>
      </w:r>
    </w:p>
    <w:p w14:paraId="0000010B">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Strict pipeline, each stage a separate, auditable step: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Authoritative Source (Layer 1) → Ingestion (chunking/embedding) → Retrieval (semantic search over approved content only) → Draft AI Answer with inline citations → Mandatory human validation before the answer is shown to an applicant as guidance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ambria" w:cs="Cambria" w:eastAsia="Cambria" w:hAnsi="Cambria"/>
          <w:b/>
          <w:bCs/>
          <w:i w:val="false"/>
          <w:iCs w:val="false"/>
          <w:smallCaps w:val="false"/>
          <w:color w:val="000000"/>
          <w:sz w:val="24"/>
          <w:szCs w:val="24"/>
          <w:u w:val="none"/>
          <w:shd w:val="clear" w:color="auto" w:fill="auto"/>
          <w:vertAlign w:val="baseline"/>
        </w:rPr>
        <w:t>[RECOMMENDED]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Every AI-generated regulatory answer is labelled “Informational guidance — not a legal determination,” with a citation link to the exact Layer-1 clause, and a confidence indicator (§21). </w:t>
      </w:r>
      <w:r>
        <w:rPr>
          <w:rFonts w:ascii="Cambria" w:cs="Cambria" w:eastAsia="Cambria" w:hAnsi="Cambria"/>
          <w:b/>
          <w:bCs/>
          <w:i w:val="false"/>
          <w:iCs w:val="false"/>
          <w:smallCaps w:val="false"/>
          <w:color w:val="000000"/>
          <w:sz w:val="24"/>
          <w:szCs w:val="24"/>
          <w:u w:val="none"/>
          <w:shd w:val="clear" w:color="auto" w:fill="auto"/>
          <w:vertAlign w:val="baseline"/>
        </w:rPr>
        <w:t>[ASSUMPTION – TBV]</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whether AI regulatory guidance can be shown to applicants </w:t>
      </w:r>
      <w:r>
        <w:rPr>
          <w:rFonts w:ascii="Cambria" w:cs="Cambria" w:eastAsia="Cambria" w:hAnsi="Cambria"/>
          <w:b w:val="false"/>
          <w:bCs w:val="false"/>
          <w:i/>
          <w:iCs/>
          <w:smallCaps w:val="false"/>
          <w:color w:val="000000"/>
          <w:sz w:val="24"/>
          <w:szCs w:val="24"/>
          <w:u w:val="none"/>
          <w:shd w:val="clear" w:color="auto" w:fill="auto"/>
          <w:vertAlign w:val="baseline"/>
        </w:rPr>
        <w:t>without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per-answer human pre-approval (fully automated Q&amp;A) or whether every answer needs review before publication — this is a policy decision for MSInS/Legal, not a technical one.</w:t>
      </w:r>
    </w:p>
    <w:p w14:paraId="0000010C">
      <w:pPr>
        <w:pStyle w:val="style0"/>
        <w:rPr/>
      </w:pPr>
      <w:r>
        <w:rPr/>
        <w:pict>
          <v:rect id="1032" fillcolor="#a0a0a0" stroked="f" style="margin-left:0.0pt;margin-top:0.0pt;width:0.0pt;height:1.5pt;mso-wrap-distance-left:0.0pt;mso-wrap-distance-right:0.0pt;visibility:visible;" o:hr="t" o:hralign="center" o:hrstd="t">
            <v:stroke on="f"/>
            <v:fill/>
          </v:rect>
        </w:pict>
      </w:r>
    </w:p>
    <w:bookmarkStart w:id="21" w:name="75f8nxyq6n2w" w:colFirst="0" w:colLast="0"/>
    <w:bookmarkEnd w:id="21"/>
    <w:p w14:paraId="0000010D">
      <w:pPr>
        <w:pStyle w:val="style1"/>
        <w:rPr/>
      </w:pPr>
      <w:r>
        <w:rPr/>
        <w:t>6. Document Management [EXPLICIT]</w:t>
      </w:r>
    </w:p>
    <w:bookmarkStart w:id="22" w:name="vnmd7cfntmvk" w:colFirst="0" w:colLast="0"/>
    <w:bookmarkEnd w:id="22"/>
    <w:p w14:paraId="0000010E">
      <w:pPr>
        <w:pStyle w:val="style2"/>
        <w:rPr/>
      </w:pPr>
      <w:r>
        <w:rPr/>
        <w:t>6.1 Lifecycle</w:t>
      </w:r>
    </w:p>
    <w:p w14:paraId="0000010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Required / optional / conditional documents (conditional = triggered by rule engine, §4) → Upload → Format &amp; size validation → Virus/malware scan (§28) → OCR &amp; metadata extraction → Classification (which DocumentType) → Expiry detection → Optional digital signature verification → Versioning → Duplicate detection → Storage with access control → Retention per policy → Archival → Deletion per policy.</w:t>
      </w:r>
    </w:p>
    <w:bookmarkStart w:id="23" w:name="3r2xcqjdhnbs" w:colFirst="0" w:colLast="0"/>
    <w:bookmarkEnd w:id="23"/>
    <w:p w14:paraId="00000110">
      <w:pPr>
        <w:pStyle w:val="style2"/>
        <w:rPr/>
      </w:pPr>
      <w:r>
        <w:rPr/>
        <w:t>6.2 Reuse of Verified Data — “Submit Once” Principle [EXPLICIT: “reuse verified data”]</w:t>
      </w:r>
    </w:p>
    <w:p w14:paraId="00000111">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document is stored against the </w:t>
      </w:r>
      <w:r>
        <w:rPr>
          <w:rFonts w:ascii="Cambria" w:cs="Cambria" w:eastAsia="Cambria" w:hAnsi="Cambria"/>
          <w:b/>
          <w:bCs/>
          <w:i w:val="false"/>
          <w:iCs w:val="false"/>
          <w:smallCaps w:val="false"/>
          <w:color w:val="000000"/>
          <w:sz w:val="24"/>
          <w:szCs w:val="24"/>
          <w:u w:val="none"/>
          <w:shd w:val="clear" w:color="auto" w:fill="auto"/>
          <w:vertAlign w:val="baseline"/>
        </w:rPr>
        <w:t>Applicant/Enterprise entity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not against a single application.</w:t>
      </w:r>
    </w:p>
    <w:p w14:paraId="00000112">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Each document carries a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verification_status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(Unverified / Department-Verified / Expired / Superseded) and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verified_by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verified_on</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113">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When starting a new application, the system pre-populates the checklist with any </w:t>
      </w:r>
      <w:r>
        <w:rPr>
          <w:rFonts w:ascii="Cambria" w:cs="Cambria" w:eastAsia="Cambria" w:hAnsi="Cambria"/>
          <w:b w:val="false"/>
          <w:bCs w:val="false"/>
          <w:i/>
          <w:iCs/>
          <w:smallCaps w:val="false"/>
          <w:color w:val="000000"/>
          <w:sz w:val="24"/>
          <w:szCs w:val="24"/>
          <w:u w:val="none"/>
          <w:shd w:val="clear" w:color="auto" w:fill="auto"/>
          <w:vertAlign w:val="baseline"/>
        </w:rPr>
        <w:t>currently valid, department-verified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document already on file, and the applicant only needs to confirm or replace it — never re-upload from scratch.</w:t>
      </w:r>
    </w:p>
    <w:p w14:paraId="00000114">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Applicant-owned documents (e.g., ID proof) vs. Department-issued documents (e.g., a prior NOC used as a pre-condition for a new one) are modelled distinctly, since the latter should ideally be fetched via integration (§27) rather than re-uploaded, once such integration exists.</w:t>
      </w:r>
    </w:p>
    <w:bookmarkStart w:id="24" w:name="uabjrplomnhu" w:colFirst="0" w:colLast="0"/>
    <w:bookmarkEnd w:id="24"/>
    <w:p w14:paraId="00000115">
      <w:pPr>
        <w:pStyle w:val="style2"/>
        <w:rPr/>
      </w:pPr>
      <w:r>
        <w:rPr/>
        <w:t>6.3 Validation Layers</w:t>
      </w:r>
    </w:p>
    <w:p w14:paraId="0000011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Hard validation (file type/size, mandatory fields present) vs. OCR-assisted soft checks (name/address mismatch flags) vs. advisory notices (e.g., “this NOC is nearing expiry”) — kept as three distinct severities so the UI never blocks a legitimate submission on a soft signal (see §8 for full breakdown).</w:t>
      </w:r>
    </w:p>
    <w:bookmarkStart w:id="25" w:name="1s0mybppa6wu" w:colFirst="0" w:colLast="0"/>
    <w:bookmarkEnd w:id="25"/>
    <w:p w14:paraId="00000117">
      <w:pPr>
        <w:pStyle w:val="style2"/>
        <w:rPr/>
      </w:pPr>
      <w:r>
        <w:rPr/>
        <w:t>6.4 Retention &amp; Deletion [RECOMMENDED, pending legal confirmation]</w:t>
      </w:r>
    </w:p>
    <w:p w14:paraId="00000118">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[ASSUMPTION – TBV]</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exact retention periods for each document/application type must follow applicable government record-retention rules — none assumed here. The system should support </w:t>
      </w:r>
      <w:r>
        <w:rPr>
          <w:rFonts w:ascii="Cambria" w:cs="Cambria" w:eastAsia="Cambria" w:hAnsi="Cambria"/>
          <w:b/>
          <w:bCs/>
          <w:i w:val="false"/>
          <w:iCs w:val="false"/>
          <w:smallCaps w:val="false"/>
          <w:color w:val="000000"/>
          <w:sz w:val="24"/>
          <w:szCs w:val="24"/>
          <w:u w:val="none"/>
          <w:shd w:val="clear" w:color="auto" w:fill="auto"/>
          <w:vertAlign w:val="baseline"/>
        </w:rPr>
        <w:t>configurable, per-document-type retention periods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so the correct figure can be entered once validated, rather than hard-coding a guess.</w:t>
      </w:r>
    </w:p>
    <w:p w14:paraId="00000119">
      <w:pPr>
        <w:pStyle w:val="style0"/>
        <w:rPr/>
      </w:pPr>
      <w:r>
        <w:rPr/>
        <w:pict>
          <v:rect id="1033" fillcolor="#a0a0a0" stroked="f" style="margin-left:0.0pt;margin-top:0.0pt;width:0.0pt;height:1.5pt;mso-wrap-distance-left:0.0pt;mso-wrap-distance-right:0.0pt;visibility:visible;" o:hr="t" o:hralign="center" o:hrstd="t">
            <v:stroke on="f"/>
            <v:fill/>
          </v:rect>
        </w:pict>
      </w:r>
    </w:p>
    <w:bookmarkStart w:id="26" w:name="682z6dera4tb" w:colFirst="0" w:colLast="0"/>
    <w:bookmarkEnd w:id="26"/>
    <w:p w14:paraId="0000011A">
      <w:pPr>
        <w:pStyle w:val="style1"/>
        <w:rPr/>
      </w:pPr>
      <w:r>
        <w:rPr/>
        <w:t>7. Pre-Validation Engine [EXPLICIT]</w:t>
      </w:r>
    </w:p>
    <w:tbl>
      <w:tblPr>
        <w:tblStyle w:val="style4102"/>
        <w:tblW w:w="7920" w:type="dxa"/>
        <w:jc w:val="left"/>
        <w:tblInd w:w="-108" w:type="dxa"/>
        <w:tblLayout w:type="fixed"/>
        <w:tblLook w:val="0020" w:firstRow="1" w:lastRow="0" w:firstColumn="0" w:lastColumn="0" w:noHBand="0" w:noVBand="0"/>
      </w:tblPr>
      <w:tblGrid>
        <w:gridCol w:w="2640"/>
        <w:gridCol w:w="2640"/>
        <w:gridCol w:w="2640"/>
      </w:tblGrid>
      <w:tr w14:paraId="C5004E23">
        <w:trPr>
          <w:cantSplit w:val="false"/>
          <w:tblHeader/>
          <w:jc w:val="left"/>
        </w:trPr>
        <w:tc>
          <w:tcPr>
            <w:tcW w:w="0" w:type="auto"/>
            <w:tcBorders/>
          </w:tcPr>
          <w:p w14:paraId="0000011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Check Type</w:t>
            </w:r>
          </w:p>
        </w:tc>
        <w:tc>
          <w:tcPr>
            <w:tcW w:w="0" w:type="auto"/>
            <w:tcBorders/>
          </w:tcPr>
          <w:p w14:paraId="0000011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Examples</w:t>
            </w:r>
          </w:p>
        </w:tc>
        <w:tc>
          <w:tcPr>
            <w:tcW w:w="0" w:type="auto"/>
            <w:tcBorders/>
          </w:tcPr>
          <w:p w14:paraId="0000011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System Behaviour</w:t>
            </w:r>
          </w:p>
        </w:tc>
      </w:tr>
      <w:tr w14:paraId="EB9A0583">
        <w:tblPrEx/>
        <w:trPr>
          <w:cantSplit w:val="false"/>
          <w:tblHeader w:val="false"/>
          <w:jc w:val="left"/>
        </w:trPr>
        <w:tc>
          <w:tcPr>
            <w:tcW w:w="0" w:type="auto"/>
            <w:tcBorders/>
          </w:tcPr>
          <w:p w14:paraId="0000011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Hard validation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(blocks submission)</w:t>
            </w:r>
          </w:p>
        </w:tc>
        <w:tc>
          <w:tcPr>
            <w:tcW w:w="0" w:type="auto"/>
            <w:tcBorders/>
          </w:tcPr>
          <w:p w14:paraId="0000011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Missing mandatory document, wrong file format, application form field left blank</w:t>
            </w:r>
          </w:p>
        </w:tc>
        <w:tc>
          <w:tcPr>
            <w:tcW w:w="0" w:type="auto"/>
            <w:tcBorders/>
          </w:tcPr>
          <w:p w14:paraId="0000012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Submission button disabled with inline reason</w:t>
            </w:r>
          </w:p>
        </w:tc>
      </w:tr>
      <w:tr w14:paraId="BD9DB84B">
        <w:tblPrEx/>
        <w:trPr>
          <w:cantSplit w:val="false"/>
          <w:tblHeader w:val="false"/>
          <w:jc w:val="left"/>
        </w:trPr>
        <w:tc>
          <w:tcPr>
            <w:tcW w:w="0" w:type="auto"/>
            <w:tcBorders/>
          </w:tcPr>
          <w:p w14:paraId="0000012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Soft warning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(allows submission, flags for scrutiny)</w:t>
            </w:r>
          </w:p>
        </w:tc>
        <w:tc>
          <w:tcPr>
            <w:tcW w:w="0" w:type="auto"/>
            <w:tcBorders/>
          </w:tcPr>
          <w:p w14:paraId="0000012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Name spelled slightly differently across two documents, address mismatch between two documents</w:t>
            </w:r>
          </w:p>
        </w:tc>
        <w:tc>
          <w:tcPr>
            <w:tcW w:w="0" w:type="auto"/>
            <w:tcBorders/>
          </w:tcPr>
          <w:p w14:paraId="0000012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Submission allowed; flag auto-attached for the Scrutiny Officer, applicant sees the same flag</w:t>
            </w:r>
          </w:p>
        </w:tc>
      </w:tr>
      <w:tr w14:paraId="1E79A6B2">
        <w:tblPrEx/>
        <w:trPr>
          <w:cantSplit w:val="false"/>
          <w:tblHeader w:val="false"/>
          <w:jc w:val="left"/>
        </w:trPr>
        <w:tc>
          <w:tcPr>
            <w:tcW w:w="0" w:type="auto"/>
            <w:tcBorders/>
          </w:tcPr>
          <w:p w14:paraId="0000012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Advisory recommendation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(informational only)</w:t>
            </w:r>
          </w:p>
        </w:tc>
        <w:tc>
          <w:tcPr>
            <w:tcW w:w="0" w:type="auto"/>
            <w:tcBorders/>
          </w:tcPr>
          <w:p w14:paraId="0000012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“Based on similar applications, X document is commonly requested at query stage — consider attaching it now”</w:t>
            </w:r>
          </w:p>
        </w:tc>
        <w:tc>
          <w:tcPr>
            <w:tcW w:w="0" w:type="auto"/>
            <w:tcBorders/>
          </w:tcPr>
          <w:p w14:paraId="0000012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Suggestion only, dismissible, never blocks</w:t>
            </w:r>
          </w:p>
        </w:tc>
      </w:tr>
      <w:tr w14:paraId="D9E589DE">
        <w:tblPrEx/>
        <w:trPr>
          <w:cantSplit w:val="false"/>
          <w:tblHeader w:val="false"/>
          <w:jc w:val="left"/>
        </w:trPr>
        <w:tc>
          <w:tcPr>
            <w:tcW w:w="0" w:type="auto"/>
            <w:tcBorders/>
          </w:tcPr>
          <w:p w14:paraId="0000012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Escalates to human scrutiny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(system cannot resolve)</w:t>
            </w:r>
          </w:p>
        </w:tc>
        <w:tc>
          <w:tcPr>
            <w:tcW w:w="0" w:type="auto"/>
            <w:tcBorders/>
          </w:tcPr>
          <w:p w14:paraId="0000012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Contradictory declarations across two sections of the same form, duplicate submission suspected</w:t>
            </w:r>
          </w:p>
        </w:tc>
        <w:tc>
          <w:tcPr>
            <w:tcW w:w="0" w:type="auto"/>
            <w:tcBorders/>
          </w:tcPr>
          <w:p w14:paraId="0000012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Auto-flagged as “Requires Manual Review” before it even reaches the normal queue</w:t>
            </w:r>
          </w:p>
        </w:tc>
      </w:tr>
    </w:tbl>
    <w:p w14:paraId="0000012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This tiering exists specifically so the pre-validation engine speeds departments up without becoming a second, informal approval gate that quietly rejects valid applications on a false positive.</w:t>
      </w:r>
    </w:p>
    <w:p w14:paraId="0000012B">
      <w:pPr>
        <w:pStyle w:val="style0"/>
        <w:rPr/>
      </w:pPr>
      <w:r>
        <w:rPr/>
        <w:pict>
          <v:rect id="1034" fillcolor="#a0a0a0" stroked="f" style="margin-left:0.0pt;margin-top:0.0pt;width:0.0pt;height:1.5pt;mso-wrap-distance-left:0.0pt;mso-wrap-distance-right:0.0pt;visibility:visible;" o:hr="t" o:hralign="center" o:hrstd="t">
            <v:stroke on="f"/>
            <v:fill/>
          </v:rect>
        </w:pict>
      </w:r>
    </w:p>
    <w:bookmarkStart w:id="27" w:name="s0lz0kvu3ahy" w:colFirst="0" w:colLast="0"/>
    <w:bookmarkEnd w:id="27"/>
    <w:p w14:paraId="0000012C">
      <w:pPr>
        <w:pStyle w:val="style1"/>
        <w:rPr/>
      </w:pPr>
      <w:r>
        <w:rPr/>
        <w:t>8. Application Workflow Engine [EXPLICIT]</w:t>
      </w:r>
    </w:p>
    <w:bookmarkStart w:id="28" w:name="ygkuejoye1c7" w:colFirst="0" w:colLast="0"/>
    <w:bookmarkEnd w:id="28"/>
    <w:p w14:paraId="0000012D">
      <w:pPr>
        <w:pStyle w:val="style2"/>
        <w:rPr/>
      </w:pPr>
      <w:r>
        <w:rPr/>
        <w:t>8.1 Capabilities Required</w:t>
      </w:r>
    </w:p>
    <w:p w14:paraId="0000012E">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Sequential approvals, parallel approvals (independent approval types processed concurrently once discovery/§4 determines they don’t depend on each other), conditional approvals (Approval B only enters the queue once Approval A is granted, per the dependency edges from §4.3), department routing, escalation, SLA timers (§14), officer assignment/reassignment/delegation, temporary substitution (leave handling), query generation, resubmission, approval, rejection, withdrawal, cancellation.</w:t>
      </w:r>
    </w:p>
    <w:bookmarkStart w:id="29" w:name="ddg7xiz0pr44" w:colFirst="0" w:colLast="0"/>
    <w:bookmarkEnd w:id="29"/>
    <w:p w14:paraId="0000012F">
      <w:pPr>
        <w:pStyle w:val="style2"/>
        <w:rPr/>
      </w:pPr>
      <w:r>
        <w:rPr/>
        <w:t>8.2 Design Choice: Configurable, Not Hard-Coded [RECOMMENDED]</w:t>
      </w:r>
    </w:p>
    <w:p w14:paraId="0000013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The workflow engine should be </w:t>
      </w:r>
      <w:r>
        <w:rPr>
          <w:rFonts w:ascii="Cambria" w:cs="Cambria" w:eastAsia="Cambria" w:hAnsi="Cambria"/>
          <w:b/>
          <w:bCs/>
          <w:i w:val="false"/>
          <w:iCs w:val="false"/>
          <w:smallCaps w:val="false"/>
          <w:color w:val="000000"/>
          <w:sz w:val="24"/>
          <w:szCs w:val="24"/>
          <w:u w:val="none"/>
          <w:shd w:val="clear" w:color="auto" w:fill="auto"/>
          <w:vertAlign w:val="baseline"/>
        </w:rPr>
        <w:t>data-driven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workflow definition per ApprovalType, expressed as a directed graph of stages with entry/exit conditions) rather than approval-type-specific code. This is what lets a new department onboard a new approval type by </w:t>
      </w:r>
      <w:r>
        <w:rPr>
          <w:rFonts w:ascii="Cambria" w:cs="Cambria" w:eastAsia="Cambria" w:hAnsi="Cambria"/>
          <w:b w:val="false"/>
          <w:bCs w:val="false"/>
          <w:i/>
          <w:iCs/>
          <w:smallCaps w:val="false"/>
          <w:color w:val="000000"/>
          <w:sz w:val="24"/>
          <w:szCs w:val="24"/>
          <w:u w:val="none"/>
          <w:shd w:val="clear" w:color="auto" w:fill="auto"/>
          <w:vertAlign w:val="baseline"/>
        </w:rPr>
        <w:t>configuring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workflow rather than requiring a software release — critical given 30+ potential approval types across departments.</w:t>
      </w:r>
    </w:p>
    <w:bookmarkStart w:id="30" w:name="mglel9qablac" w:colFirst="0" w:colLast="0"/>
    <w:bookmarkEnd w:id="30"/>
    <w:p w14:paraId="00000131">
      <w:pPr>
        <w:pStyle w:val="style2"/>
        <w:rPr/>
      </w:pPr>
      <w:r>
        <w:rPr/>
        <w:t>8.3 Delegation &amp; Substitution</w:t>
      </w:r>
    </w:p>
    <w:p w14:paraId="0000013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Officer leave/absence triggers a configured substitution rule (e.g., delegate-to-role or delegate-to-named-officer), logged distinctly from a permanent reassignment so audit trails show </w:t>
      </w:r>
      <w:r>
        <w:rPr>
          <w:rFonts w:ascii="Cambria" w:cs="Cambria" w:eastAsia="Cambria" w:hAnsi="Cambria"/>
          <w:b w:val="false"/>
          <w:bCs w:val="false"/>
          <w:i/>
          <w:iCs/>
          <w:smallCaps w:val="false"/>
          <w:color w:val="000000"/>
          <w:sz w:val="24"/>
          <w:szCs w:val="24"/>
          <w:u w:val="none"/>
          <w:shd w:val="clear" w:color="auto" w:fill="auto"/>
          <w:vertAlign w:val="baseline"/>
        </w:rPr>
        <w:t>why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 application moved between officers.</w:t>
      </w:r>
    </w:p>
    <w:p w14:paraId="00000133">
      <w:pPr>
        <w:pStyle w:val="style0"/>
        <w:rPr/>
      </w:pPr>
      <w:r>
        <w:rPr/>
        <w:pict>
          <v:rect id="1035" fillcolor="#a0a0a0" stroked="f" style="margin-left:0.0pt;margin-top:0.0pt;width:0.0pt;height:1.5pt;mso-wrap-distance-left:0.0pt;mso-wrap-distance-right:0.0pt;visibility:visible;" o:hr="t" o:hralign="center" o:hrstd="t">
            <v:stroke on="f"/>
            <v:fill/>
          </v:rect>
        </w:pict>
      </w:r>
    </w:p>
    <w:bookmarkStart w:id="31" w:name="h4wwd0b2fyq4" w:colFirst="0" w:colLast="0"/>
    <w:bookmarkEnd w:id="31"/>
    <w:p w14:paraId="00000134">
      <w:pPr>
        <w:pStyle w:val="style1"/>
        <w:rPr/>
      </w:pPr>
      <w:r>
        <w:rPr/>
        <w:t>9. Departmental Workflow [EXPLICIT]</w:t>
      </w:r>
    </w:p>
    <w:p w14:paraId="00000135">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Department Inbox / Officer Work Queue: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filterable by SLA status, approval type, stage.</w:t>
      </w:r>
    </w:p>
    <w:p w14:paraId="00000136">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SLA Monitoring: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visual (colour-coded) breach-risk indicator per item (§14).</w:t>
      </w:r>
    </w:p>
    <w:p w14:paraId="00000137">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Inspection Assignment &amp; Calendar: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shared across departments where feasible to reduce duplicate site visits (§12).</w:t>
      </w:r>
    </w:p>
    <w:p w14:paraId="00000138">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Inter-department communication: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 internal notes channel attached to the application, visible only to officers (never to the applicant) is kept separate from the applicant-visible communication (queries, decisions) — this separation is required so departments can coordinate candidly without it becoming part of the applicant-facing record. </w:t>
      </w:r>
      <w:r>
        <w:rPr>
          <w:rFonts w:ascii="Cambria" w:cs="Cambria" w:eastAsia="Cambria" w:hAnsi="Cambria"/>
          <w:b/>
          <w:bCs/>
          <w:i w:val="false"/>
          <w:iCs w:val="false"/>
          <w:smallCaps w:val="false"/>
          <w:color w:val="000000"/>
          <w:sz w:val="24"/>
          <w:szCs w:val="24"/>
          <w:u w:val="none"/>
          <w:shd w:val="clear" w:color="auto" w:fill="auto"/>
          <w:vertAlign w:val="baseline"/>
        </w:rPr>
        <w:t>[RECOMMENDED]</w:t>
      </w:r>
    </w:p>
    <w:p w14:paraId="00000139">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Access boundaries: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 officer in Department A cannot see Department B’s internal notes or scrutiny detail for the same application — only the shared application-level status and any explicitly cross-referenced dependency (§30 defines the full matrix).</w:t>
      </w:r>
    </w:p>
    <w:bookmarkStart w:id="32" w:name="wnf7og3rvmay" w:colFirst="0" w:colLast="0"/>
    <w:bookmarkEnd w:id="32"/>
    <w:p w14:paraId="0000013A">
      <w:pPr>
        <w:pStyle w:val="style1"/>
        <w:rPr/>
      </w:pPr>
      <w:r>
        <w:rPr/>
        <w:t>10. Inspection Management [EXPLICIT]</w:t>
      </w:r>
    </w:p>
    <w:bookmarkStart w:id="33" w:name="vo7wuaktx2pi" w:colFirst="0" w:colLast="0"/>
    <w:bookmarkEnd w:id="33"/>
    <w:p w14:paraId="0000013B">
      <w:pPr>
        <w:pStyle w:val="style2"/>
        <w:rPr/>
      </w:pPr>
      <w:r>
        <w:rPr/>
        <w:t>10.1 Common Inspection Module</w:t>
      </w:r>
    </w:p>
    <w:p w14:paraId="0000013C">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Requirement determination: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driven by the ApprovalType’s workflow definition (§8.2) — some approvals require inspection, some don’t, some require it only above a project-size threshold.</w:t>
      </w:r>
    </w:p>
    <w:p w14:paraId="0000013D">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Risk-based inspection intensity: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informed by the risk score (§11) — e.g., higher-risk applications get inspected before approval; lower-risk, well-documented applications may qualify for a lighter-touch or self-certification path </w:t>
      </w:r>
      <w:r>
        <w:rPr>
          <w:rFonts w:ascii="Cambria" w:cs="Cambria" w:eastAsia="Cambria" w:hAnsi="Cambria"/>
          <w:b/>
          <w:bCs/>
          <w:i w:val="false"/>
          <w:iCs w:val="false"/>
          <w:smallCaps w:val="false"/>
          <w:color w:val="000000"/>
          <w:sz w:val="24"/>
          <w:szCs w:val="24"/>
          <w:u w:val="none"/>
          <w:shd w:val="clear" w:color="auto" w:fill="auto"/>
          <w:vertAlign w:val="baseline"/>
        </w:rPr>
        <w:t>[RECOMMENDED, subject to policy — see §11 caveats]</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13E">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Scheduling &amp; calendar: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shared inspector calendar across departments/approval-types operating in the same geography, so two departments can potentially coordinate a </w:t>
      </w:r>
      <w:r>
        <w:rPr>
          <w:rFonts w:ascii="Cambria" w:cs="Cambria" w:eastAsia="Cambria" w:hAnsi="Cambria"/>
          <w:b/>
          <w:bCs/>
          <w:i w:val="false"/>
          <w:iCs w:val="false"/>
          <w:smallCaps w:val="false"/>
          <w:color w:val="000000"/>
          <w:sz w:val="24"/>
          <w:szCs w:val="24"/>
          <w:u w:val="none"/>
          <w:shd w:val="clear" w:color="auto" w:fill="auto"/>
          <w:vertAlign w:val="baseline"/>
        </w:rPr>
        <w:t>joint inspection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the same site — this directly serves the problem statement’s “common inspection planning” outcome.</w:t>
      </w:r>
    </w:p>
    <w:p w14:paraId="0000013F">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Conflict-of-interest rule [RECOMMENDED]: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 inspector cannot be assigned to a site where they have a declared conflict (e.g., prior consulting relationship); the system should support a self-declaration + admin-review step at assignment time.</w:t>
      </w:r>
    </w:p>
    <w:p w14:paraId="00000140">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Evidence capture: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photos/documents attached to the inspection report, with geo/timestamp metadata captured </w:t>
      </w:r>
      <w:r>
        <w:rPr>
          <w:rFonts w:ascii="Cambria" w:cs="Cambria" w:eastAsia="Cambria" w:hAnsi="Cambria"/>
          <w:b/>
          <w:bCs/>
          <w:i w:val="false"/>
          <w:iCs w:val="false"/>
          <w:smallCaps w:val="false"/>
          <w:color w:val="000000"/>
          <w:sz w:val="24"/>
          <w:szCs w:val="24"/>
          <w:u w:val="none"/>
          <w:shd w:val="clear" w:color="auto" w:fill="auto"/>
          <w:vertAlign w:val="baseline"/>
        </w:rPr>
        <w:t>where legally appropriate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ambria" w:cs="Cambria" w:eastAsia="Cambria" w:hAnsi="Cambria"/>
          <w:b/>
          <w:bCs/>
          <w:i w:val="false"/>
          <w:iCs w:val="false"/>
          <w:smallCaps w:val="false"/>
          <w:color w:val="000000"/>
          <w:sz w:val="24"/>
          <w:szCs w:val="24"/>
          <w:u w:val="none"/>
          <w:shd w:val="clear" w:color="auto" w:fill="auto"/>
          <w:vertAlign w:val="baseline"/>
        </w:rPr>
        <w:t>[ASSUMPTION – TBV: geo-tagging of inspector location may have legal/privacy implications and consent requirements that must be confirmed, not assumed]</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141">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Findings → Outcome: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Compliant / Non-Compliant-with-corrective-action / Re-inspection-required, feeding back into the application state machine (§3.2).</w:t>
      </w:r>
    </w:p>
    <w:p w14:paraId="00000142">
      <w:pPr>
        <w:pStyle w:val="style0"/>
        <w:rPr/>
      </w:pPr>
      <w:r>
        <w:rPr/>
        <w:pict>
          <v:rect id="1036" fillcolor="#a0a0a0" stroked="f" style="margin-left:0.0pt;margin-top:0.0pt;width:0.0pt;height:1.5pt;mso-wrap-distance-left:0.0pt;mso-wrap-distance-right:0.0pt;visibility:visible;" o:hr="t" o:hralign="center" o:hrstd="t">
            <v:stroke on="f"/>
            <v:fill/>
          </v:rect>
        </w:pict>
      </w:r>
    </w:p>
    <w:bookmarkStart w:id="34" w:name="6svvj7vwuvkh" w:colFirst="0" w:colLast="0"/>
    <w:bookmarkEnd w:id="34"/>
    <w:p w14:paraId="00000143">
      <w:pPr>
        <w:pStyle w:val="style1"/>
        <w:rPr/>
      </w:pPr>
      <w:r>
        <w:rPr/>
        <w:t>11. Risk-Based Scrutiny [EXPLICIT — “Do NOT propose an opaque AI system for statutory decisions”]</w:t>
      </w:r>
    </w:p>
    <w:bookmarkStart w:id="35" w:name="emhxkqc4yutp" w:colFirst="0" w:colLast="0"/>
    <w:bookmarkEnd w:id="35"/>
    <w:p w14:paraId="00000144">
      <w:pPr>
        <w:pStyle w:val="style2"/>
        <w:rPr/>
      </w:pPr>
      <w:r>
        <w:rPr/>
        <w:t>11.1 Design Constraint (stated explicitly in the brief and treated as a hard requirement)</w:t>
      </w:r>
    </w:p>
    <w:p w14:paraId="0000014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Risk scoring may </w:t>
      </w:r>
      <w:r>
        <w:rPr>
          <w:rFonts w:ascii="Cambria" w:cs="Cambria" w:eastAsia="Cambria" w:hAnsi="Cambria"/>
          <w:b/>
          <w:bCs/>
          <w:i w:val="false"/>
          <w:iCs w:val="false"/>
          <w:smallCaps w:val="false"/>
          <w:color w:val="000000"/>
          <w:sz w:val="24"/>
          <w:szCs w:val="24"/>
          <w:u w:val="none"/>
          <w:shd w:val="clear" w:color="auto" w:fill="auto"/>
          <w:vertAlign w:val="baseline"/>
        </w:rPr>
        <w:t>prioritise and route</w:t>
      </w:r>
      <w:r>
        <w:rPr>
          <w:rFonts w:ascii="Cambria" w:cs="Cambria" w:eastAsia="Cambria" w:hAnsi="Cambria"/>
          <w:b w:val="false"/>
          <w:bCs w:val="false"/>
          <w:i w:val="false"/>
          <w:iCs w:val="false"/>
          <w:smallCaps w:val="false"/>
          <w:color w:val="000000"/>
          <w:sz w:val="24"/>
          <w:szCs w:val="24"/>
          <w:u w:val="none"/>
          <w:shd w:val="clear" w:color="auto" w:fill="auto"/>
          <w:vertAlign w:val="baseline"/>
        </w:rPr>
        <w:t>, but must never autonomously approve or reject. A human officer retains decision authority in every case; risk score is one visible input to their decision, never a hidden gate.</w:t>
      </w:r>
    </w:p>
    <w:bookmarkStart w:id="36" w:name="4ipre6e2r0af" w:colFirst="0" w:colLast="0"/>
    <w:bookmarkEnd w:id="36"/>
    <w:p w14:paraId="00000146">
      <w:pPr>
        <w:pStyle w:val="style2"/>
        <w:rPr/>
      </w:pPr>
      <w:r>
        <w:rPr/>
        <w:t>11.2 Risk Inputs [RECOMMENDED]</w:t>
      </w:r>
    </w:p>
    <w:p w14:paraId="00000147">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characteristics (missing/soft-flagged data from §7), industry/activity category, project scale, applicant’s prior compliance history on the platform, prior violations (</w:t>
      </w:r>
      <w:r>
        <w:rPr>
          <w:rFonts w:ascii="Cambria" w:cs="Cambria" w:eastAsia="Cambria" w:hAnsi="Cambria"/>
          <w:b/>
          <w:bCs/>
          <w:i w:val="false"/>
          <w:iCs w:val="false"/>
          <w:smallCaps w:val="false"/>
          <w:color w:val="000000"/>
          <w:sz w:val="24"/>
          <w:szCs w:val="24"/>
          <w:u w:val="none"/>
          <w:shd w:val="clear" w:color="auto" w:fill="auto"/>
          <w:vertAlign w:val="baseline"/>
        </w:rPr>
        <w:t xml:space="preserve">[ASSUMPTION – TBV: whether/how a violation history from </w:t>
      </w:r>
      <w:r>
        <w:rPr>
          <w:rFonts w:ascii="Cambria" w:cs="Cambria" w:eastAsia="Cambria" w:hAnsi="Cambria"/>
          <w:b/>
          <w:bCs/>
          <w:i/>
          <w:iCs/>
          <w:smallCaps w:val="false"/>
          <w:color w:val="000000"/>
          <w:sz w:val="24"/>
          <w:szCs w:val="24"/>
          <w:u w:val="none"/>
          <w:shd w:val="clear" w:color="auto" w:fill="auto"/>
          <w:vertAlign w:val="baseline"/>
        </w:rPr>
        <w:t>outside</w:t>
      </w:r>
      <w:r>
        <w:rPr>
          <w:rFonts w:ascii="Cambria" w:cs="Cambria" w:eastAsia="Cambria" w:hAnsi="Cambria"/>
          <w:b/>
          <w:bCs/>
          <w:i w:val="false"/>
          <w:iCs w:val="false"/>
          <w:smallCaps w:val="false"/>
          <w:color w:val="000000"/>
          <w:sz w:val="24"/>
          <w:szCs w:val="24"/>
          <w:u w:val="none"/>
          <w:shd w:val="clear" w:color="auto" w:fill="auto"/>
          <w:vertAlign w:val="baseline"/>
        </w:rPr>
        <w:t xml:space="preserve"> this platform, e.g., a paper-era record, can be legally imported]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document anomaly count, inspection history.</w:t>
      </w:r>
    </w:p>
    <w:bookmarkStart w:id="37" w:name="i48hw4g263k7" w:colFirst="0" w:colLast="0"/>
    <w:bookmarkEnd w:id="37"/>
    <w:p w14:paraId="00000148">
      <w:pPr>
        <w:pStyle w:val="style2"/>
        <w:rPr/>
      </w:pPr>
      <w:r>
        <w:rPr/>
        <w:t>11.3 Requirements for the Score Itself</w:t>
      </w:r>
    </w:p>
    <w:p w14:paraId="00000149">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Score is a category, not a hidden number: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shown to officers as e.g. Low/Medium/High with the contributing factors listed, never as an unexplained numeric black box.</w:t>
      </w:r>
    </w:p>
    <w:p w14:paraId="0000014A">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Human override always available</w:t>
      </w:r>
      <w:r>
        <w:rPr>
          <w:rFonts w:ascii="Cambria" w:cs="Cambria" w:eastAsia="Cambria" w:hAnsi="Cambria"/>
          <w:b w:val="false"/>
          <w:bCs w:val="false"/>
          <w:i w:val="false"/>
          <w:iCs w:val="false"/>
          <w:smallCaps w:val="false"/>
          <w:color w:val="000000"/>
          <w:sz w:val="24"/>
          <w:szCs w:val="24"/>
          <w:u w:val="none"/>
          <w:shd w:val="clear" w:color="auto" w:fill="auto"/>
          <w:vertAlign w:val="baseline"/>
        </w:rPr>
        <w:t>, with mandatory justification text logged.</w:t>
      </w:r>
    </w:p>
    <w:p w14:paraId="0000014B">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Bias monitoring [RECOMMENDED]: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periodic review of risk-score distribution by district/sector/enterprise-size to check the model isn’t systematically disadvantaging a category of applicant (e.g., always flagging small/rural applicants as high-risk due to sparse data rather than actual risk) — owned by Legal/Compliance, not engineering alone.</w:t>
      </w:r>
    </w:p>
    <w:p w14:paraId="0000014C">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Auditability: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any application, the system reconstructs exactly which inputs produced which score, using which model/rule version.</w:t>
      </w:r>
    </w:p>
    <w:p w14:paraId="0000014D">
      <w:pPr>
        <w:pStyle w:val="style0"/>
        <w:rPr/>
      </w:pPr>
      <w:r>
        <w:rPr/>
        <w:pict>
          <v:rect id="1037" fillcolor="#a0a0a0" stroked="f" style="margin-left:0.0pt;margin-top:0.0pt;width:0.0pt;height:1.5pt;mso-wrap-distance-left:0.0pt;mso-wrap-distance-right:0.0pt;visibility:visible;" o:hr="t" o:hralign="center" o:hrstd="t">
            <v:stroke on="f"/>
            <v:fill/>
          </v:rect>
        </w:pict>
      </w:r>
    </w:p>
    <w:bookmarkStart w:id="38" w:name="rz7i4vec12bq" w:colFirst="0" w:colLast="0"/>
    <w:bookmarkEnd w:id="38"/>
    <w:p w14:paraId="0000014E">
      <w:pPr>
        <w:pStyle w:val="style1"/>
        <w:rPr/>
      </w:pPr>
      <w:r>
        <w:rPr/>
        <w:t>12. SLA and Timeline Management [EXPLICIT]</w:t>
      </w:r>
    </w:p>
    <w:p w14:paraId="0000014F">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SLA definition is configuration, not code [RECOMMENDED]: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each ApprovalType-and-stage pair has a configurable statutory/target duration, because these numbers are set by law/policy and change — hard-coding them guarantees the system goes stale.</w:t>
      </w:r>
    </w:p>
    <w:p w14:paraId="00000150">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Start/pause/resume/end events: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SLA clock starts on submission (or on stage entry), </w:t>
      </w:r>
      <w:r>
        <w:rPr>
          <w:rFonts w:ascii="Cambria" w:cs="Cambria" w:eastAsia="Cambria" w:hAnsi="Cambria"/>
          <w:b/>
          <w:bCs/>
          <w:i w:val="false"/>
          <w:iCs w:val="false"/>
          <w:smallCaps w:val="false"/>
          <w:color w:val="000000"/>
          <w:sz w:val="24"/>
          <w:szCs w:val="24"/>
          <w:u w:val="none"/>
          <w:shd w:val="clear" w:color="auto" w:fill="auto"/>
          <w:vertAlign w:val="baseline"/>
        </w:rPr>
        <w:t>pauses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while a query is awaiting applicant response (the delay is the applicant’s, not the department’s) or during a self-declared applicant-caused hold, and </w:t>
      </w:r>
      <w:r>
        <w:rPr>
          <w:rFonts w:ascii="Cambria" w:cs="Cambria" w:eastAsia="Cambria" w:hAnsi="Cambria"/>
          <w:b/>
          <w:bCs/>
          <w:i w:val="false"/>
          <w:iCs w:val="false"/>
          <w:smallCaps w:val="false"/>
          <w:color w:val="000000"/>
          <w:sz w:val="24"/>
          <w:szCs w:val="24"/>
          <w:u w:val="none"/>
          <w:shd w:val="clear" w:color="auto" w:fill="auto"/>
          <w:vertAlign w:val="baseline"/>
        </w:rPr>
        <w:t>resumes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 response. </w:t>
      </w:r>
      <w:r>
        <w:rPr>
          <w:rFonts w:ascii="Cambria" w:cs="Cambria" w:eastAsia="Cambria" w:hAnsi="Cambria"/>
          <w:b/>
          <w:bCs/>
          <w:i w:val="false"/>
          <w:iCs w:val="false"/>
          <w:smallCaps w:val="false"/>
          <w:color w:val="000000"/>
          <w:sz w:val="24"/>
          <w:szCs w:val="24"/>
          <w:u w:val="none"/>
          <w:shd w:val="clear" w:color="auto" w:fill="auto"/>
          <w:vertAlign w:val="baseline"/>
        </w:rPr>
        <w:t>[ASSUMPTION – TBV: exact pause/resume rules are statutory per approval type and must be confirmed per department — the “query pauses the clock” convention is common in Indian government SLA design but must not be assumed uniformly true.]</w:t>
      </w:r>
    </w:p>
    <w:p w14:paraId="00000151">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Working-day/holiday calendar: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configurable Maharashtra government holiday calendar, distinct per department if needed.</w:t>
      </w:r>
    </w:p>
    <w:p w14:paraId="00000152">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Breach prediction [RECOMMENDED]: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simple, explainable heuristic (e.g., “3 of 5 SLA days elapsed, application still at initial scrutiny”) drives escalation-threshold alerts — not treated as a §21 AI feature, since it’s rule-based, not learned.</w:t>
      </w:r>
    </w:p>
    <w:p w14:paraId="00000153">
      <w:pPr>
        <w:pStyle w:val="style0"/>
        <w:rPr/>
      </w:pPr>
      <w:r>
        <w:rPr/>
        <w:pict>
          <v:rect id="1038" fillcolor="#a0a0a0" stroked="f" style="margin-left:0.0pt;margin-top:0.0pt;width:0.0pt;height:1.5pt;mso-wrap-distance-left:0.0pt;mso-wrap-distance-right:0.0pt;visibility:visible;" o:hr="t" o:hralign="center" o:hrstd="t">
            <v:stroke on="f"/>
            <v:fill/>
          </v:rect>
        </w:pict>
      </w:r>
    </w:p>
    <w:bookmarkStart w:id="39" w:name="9owg104l1lcg" w:colFirst="0" w:colLast="0"/>
    <w:bookmarkEnd w:id="39"/>
    <w:p w14:paraId="00000154">
      <w:pPr>
        <w:pStyle w:val="style1"/>
        <w:rPr/>
      </w:pPr>
      <w:r>
        <w:rPr/>
        <w:t>13. Notification System [EXPLICIT]</w:t>
      </w:r>
    </w:p>
    <w:p w14:paraId="0000015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Channels: in-app, email, SMS, push. Trigger events: query raised, response received, inspection scheduled, approval/rejection, SLA-breach-risk, renewal due, escalation, grievance update. Requirements: templated content per event type and per language (Marathi/English at minimum — </w:t>
      </w:r>
      <w:r>
        <w:rPr>
          <w:rFonts w:ascii="Cambria" w:cs="Cambria" w:eastAsia="Cambria" w:hAnsi="Cambria"/>
          <w:b/>
          <w:bCs/>
          <w:i w:val="false"/>
          <w:iCs w:val="false"/>
          <w:smallCaps w:val="false"/>
          <w:color w:val="000000"/>
          <w:sz w:val="24"/>
          <w:szCs w:val="24"/>
          <w:u w:val="none"/>
          <w:shd w:val="clear" w:color="auto" w:fill="auto"/>
          <w:vertAlign w:val="baseline"/>
        </w:rPr>
        <w:t>[ASSUMPTION – TBV: confirm required languages]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user-level channel preferences, delivery-status tracking (sent/delivered/failed), and retry-with-backoff on transient failures, with a dead-letter queue for persistent failures so no critical notification silently disappears </w:t>
      </w:r>
      <w:r>
        <w:rPr>
          <w:rFonts w:ascii="Cambria" w:cs="Cambria" w:eastAsia="Cambria" w:hAnsi="Cambria"/>
          <w:b/>
          <w:bCs/>
          <w:i w:val="false"/>
          <w:iCs w:val="false"/>
          <w:smallCaps w:val="false"/>
          <w:color w:val="000000"/>
          <w:sz w:val="24"/>
          <w:szCs w:val="24"/>
          <w:u w:val="none"/>
          <w:shd w:val="clear" w:color="auto" w:fill="auto"/>
          <w:vertAlign w:val="baseline"/>
        </w:rPr>
        <w:t>[RECOMMENDED]</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156">
      <w:pPr>
        <w:pStyle w:val="style0"/>
        <w:rPr/>
      </w:pPr>
      <w:r>
        <w:rPr/>
        <w:pict>
          <v:rect id="1039" fillcolor="#a0a0a0" stroked="f" style="margin-left:0.0pt;margin-top:0.0pt;width:0.0pt;height:1.5pt;mso-wrap-distance-left:0.0pt;mso-wrap-distance-right:0.0pt;visibility:visible;" o:hr="t" o:hralign="center" o:hrstd="t">
            <v:stroke on="f"/>
            <v:fill/>
          </v:rect>
        </w:pict>
      </w:r>
    </w:p>
    <w:bookmarkStart w:id="40" w:name="4ed1bszbfiyc" w:colFirst="0" w:colLast="0"/>
    <w:bookmarkEnd w:id="40"/>
    <w:p w14:paraId="00000157">
      <w:pPr>
        <w:pStyle w:val="style1"/>
        <w:rPr/>
      </w:pPr>
      <w:r>
        <w:rPr/>
        <w:t>14. Renewal and Compliance Management [EXPLICIT]</w:t>
      </w:r>
    </w:p>
    <w:p w14:paraId="00000158">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Compliance Calendar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per active approval: expiry dates, periodic filing obligations, next renewal window.</w:t>
      </w:r>
    </w:p>
    <w:p w14:paraId="00000159">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Reminder schedule [RECOMMENDED]: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staged reminders (e.g., at a configurable N-days-before-expiry, then again closer to expiry) rather than a single notice — configurable per approval type since grace periods and renewal windows are statutory and vary. </w:t>
      </w:r>
      <w:r>
        <w:rPr>
          <w:rFonts w:ascii="Cambria" w:cs="Cambria" w:eastAsia="Cambria" w:hAnsi="Cambria"/>
          <w:b/>
          <w:bCs/>
          <w:i w:val="false"/>
          <w:iCs w:val="false"/>
          <w:smallCaps w:val="false"/>
          <w:color w:val="000000"/>
          <w:sz w:val="24"/>
          <w:szCs w:val="24"/>
          <w:u w:val="none"/>
          <w:shd w:val="clear" w:color="auto" w:fill="auto"/>
          <w:vertAlign w:val="baseline"/>
        </w:rPr>
        <w:t>[ASSUMPTION – TBV]</w:t>
      </w:r>
    </w:p>
    <w:p w14:paraId="0000015A">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Non-compliance handling: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distinguishes “renewal not yet due,” “renewal overdue within grace period,” and “lapsed” — each with different downstream consequences (the latter potentially blocking related approvals, per the dependency graph in §4.3).</w:t>
      </w:r>
    </w:p>
    <w:p w14:paraId="0000015B">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Compliance Dashboard: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per-applicant and per-department views of upcoming/overdue obligations (feeds §19).</w:t>
      </w:r>
    </w:p>
    <w:p w14:paraId="0000015C">
      <w:pPr>
        <w:pStyle w:val="style0"/>
        <w:rPr/>
      </w:pPr>
      <w:r>
        <w:rPr/>
        <w:pict>
          <v:rect id="1040" fillcolor="#a0a0a0" stroked="f" style="margin-left:0.0pt;margin-top:0.0pt;width:0.0pt;height:1.5pt;mso-wrap-distance-left:0.0pt;mso-wrap-distance-right:0.0pt;visibility:visible;" o:hr="t" o:hralign="center" o:hrstd="t">
            <v:stroke on="f"/>
            <v:fill/>
          </v:rect>
        </w:pict>
      </w:r>
    </w:p>
    <w:bookmarkStart w:id="41" w:name="oibbeahokzdb" w:colFirst="0" w:colLast="0"/>
    <w:bookmarkEnd w:id="41"/>
    <w:p w14:paraId="0000015D">
      <w:pPr>
        <w:pStyle w:val="style1"/>
        <w:rPr/>
      </w:pPr>
      <w:r>
        <w:rPr/>
        <w:t>15. Government Schemes and Incentives [EXPLICIT]</w:t>
      </w:r>
    </w:p>
    <w:p w14:paraId="0000015E">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Scheme catalogue: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sector/location/investment-threshold eligibility criteria, benefits, required documents, application deadlines, modelled the same way as ApprovalTypes (data-driven eligibility rules, §4.3 pattern reused) so scheme eligibility can also be explained and audited.</w:t>
      </w:r>
    </w:p>
    <w:p w14:paraId="0000015F">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Recommendation vs. determination — kept explicitly separate [EXPLICIT: “Clearly separate recommendation from official eligibility determination”]: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platform </w:t>
      </w:r>
      <w:r>
        <w:rPr>
          <w:rFonts w:ascii="Cambria" w:cs="Cambria" w:eastAsia="Cambria" w:hAnsi="Cambria"/>
          <w:b w:val="false"/>
          <w:bCs w:val="false"/>
          <w:i/>
          <w:iCs/>
          <w:smallCaps w:val="false"/>
          <w:color w:val="000000"/>
          <w:sz w:val="24"/>
          <w:szCs w:val="24"/>
          <w:u w:val="none"/>
          <w:shd w:val="clear" w:color="auto" w:fill="auto"/>
          <w:vertAlign w:val="baseline"/>
        </w:rPr>
        <w:t>suggests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“you may be eligible for Scheme X based on your project profile,” clearly labelled as a suggestion; the Scheme Officer’s own eligibility verification is the actual determination. The UI must never present the system’s suggestion with the same visual weight as an approved benefit.</w:t>
      </w:r>
    </w:p>
    <w:p w14:paraId="00000160">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Application &amp; benefit tracking: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status through Applied → Under Review → Approved/Rejected → Disbursed, mirroring the general application state pattern (§3.2) for consistency.</w:t>
      </w:r>
    </w:p>
    <w:bookmarkStart w:id="42" w:name="vhx671de2il2" w:colFirst="0" w:colLast="0"/>
    <w:bookmarkEnd w:id="42"/>
    <w:p w14:paraId="00000161">
      <w:pPr>
        <w:pStyle w:val="style1"/>
        <w:rPr/>
      </w:pPr>
      <w:r>
        <w:rPr/>
        <w:t>16. Grievance Management [EXPLICIT]</w:t>
      </w:r>
    </w:p>
    <w:p w14:paraId="0000016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Lifecycle: Registration (category, priority, linked application if any) → Department routing → SLA → Officer assignment → Applicant communication → Resolution → Reopening (if applicant unsatisfied, time-boxed) → Closure → Feedback → Audit trail. A grievance linked to a specific application should surface that application’s full history to the assigned Grievance Officer automatically — this directly addresses the stakeholder pain point in §2 (“grievances arrive with no application context”).</w:t>
      </w:r>
    </w:p>
    <w:p w14:paraId="00000163">
      <w:pPr>
        <w:pStyle w:val="style0"/>
        <w:rPr/>
      </w:pPr>
      <w:r>
        <w:rPr/>
        <w:pict>
          <v:rect id="1041" fillcolor="#a0a0a0" stroked="f" style="margin-left:0.0pt;margin-top:0.0pt;width:0.0pt;height:1.5pt;mso-wrap-distance-left:0.0pt;mso-wrap-distance-right:0.0pt;visibility:visible;" o:hr="t" o:hralign="center" o:hrstd="t">
            <v:stroke on="f"/>
            <v:fill/>
          </v:rect>
        </w:pict>
      </w:r>
    </w:p>
    <w:bookmarkStart w:id="43" w:name="u8qh0c7xh1e2" w:colFirst="0" w:colLast="0"/>
    <w:bookmarkEnd w:id="43"/>
    <w:p w14:paraId="00000164">
      <w:pPr>
        <w:pStyle w:val="style1"/>
        <w:rPr/>
      </w:pPr>
      <w:r>
        <w:rPr/>
        <w:t>17. Dashboards [EXPLICIT]</w:t>
      </w:r>
    </w:p>
    <w:tbl>
      <w:tblPr>
        <w:tblStyle w:val="style4103"/>
        <w:tblW w:w="7920" w:type="dxa"/>
        <w:jc w:val="left"/>
        <w:tblInd w:w="-108" w:type="dxa"/>
        <w:tblLayout w:type="fixed"/>
        <w:tblLook w:val="0020" w:firstRow="1" w:lastRow="0" w:firstColumn="0" w:lastColumn="0" w:noHBand="0" w:noVBand="0"/>
      </w:tblPr>
      <w:tblGrid>
        <w:gridCol w:w="3960"/>
        <w:gridCol w:w="3960"/>
      </w:tblGrid>
      <w:tr w14:paraId="15165BD9">
        <w:trPr>
          <w:cantSplit w:val="false"/>
          <w:tblHeader/>
          <w:jc w:val="left"/>
        </w:trPr>
        <w:tc>
          <w:tcPr>
            <w:tcW w:w="0" w:type="auto"/>
            <w:tcBorders/>
          </w:tcPr>
          <w:p w14:paraId="0000016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Persona</w:t>
            </w:r>
          </w:p>
        </w:tc>
        <w:tc>
          <w:tcPr>
            <w:tcW w:w="0" w:type="auto"/>
            <w:tcBorders/>
          </w:tcPr>
          <w:p w14:paraId="0000016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Key Widgets</w:t>
            </w:r>
          </w:p>
        </w:tc>
      </w:tr>
      <w:tr w14:paraId="0905C633">
        <w:tblPrEx/>
        <w:trPr>
          <w:cantSplit w:val="false"/>
          <w:tblHeader w:val="false"/>
          <w:jc w:val="left"/>
        </w:trPr>
        <w:tc>
          <w:tcPr>
            <w:tcW w:w="0" w:type="auto"/>
            <w:tcBorders/>
          </w:tcPr>
          <w:p w14:paraId="0000016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Applicant</w:t>
            </w:r>
          </w:p>
        </w:tc>
        <w:tc>
          <w:tcPr>
            <w:tcW w:w="0" w:type="auto"/>
            <w:tcBorders/>
          </w:tcPr>
          <w:p w14:paraId="0000016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My applications (by status), pending queries, upcoming inspections, SLA status per application, upcoming renewals, compliance obligations, suggested schemes, my grievances</w:t>
            </w:r>
          </w:p>
        </w:tc>
      </w:tr>
      <w:tr w14:paraId="BC34640D">
        <w:tblPrEx/>
        <w:trPr>
          <w:cantSplit w:val="false"/>
          <w:tblHeader w:val="false"/>
          <w:jc w:val="left"/>
        </w:trPr>
        <w:tc>
          <w:tcPr>
            <w:tcW w:w="0" w:type="auto"/>
            <w:tcBorders/>
          </w:tcPr>
          <w:p w14:paraId="0000016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Officer</w:t>
            </w:r>
          </w:p>
        </w:tc>
        <w:tc>
          <w:tcPr>
            <w:tcW w:w="0" w:type="auto"/>
            <w:tcBorders/>
          </w:tcPr>
          <w:p w14:paraId="0000016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My assigned queue (sortable by SLA risk), pending scrutiny, breaches/near-breaches, today’s inspections, open queries, escalations, personal workload trend</w:t>
            </w:r>
          </w:p>
        </w:tc>
      </w:tr>
      <w:tr w14:paraId="EF9C67A0">
        <w:tblPrEx/>
        <w:trPr>
          <w:cantSplit w:val="false"/>
          <w:tblHeader w:val="false"/>
          <w:jc w:val="left"/>
        </w:trPr>
        <w:tc>
          <w:tcPr>
            <w:tcW w:w="0" w:type="auto"/>
            <w:tcBorders/>
          </w:tcPr>
          <w:p w14:paraId="000001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Department Admin</w:t>
            </w:r>
          </w:p>
        </w:tc>
        <w:tc>
          <w:tcPr>
            <w:tcW w:w="0" w:type="auto"/>
            <w:tcBorders/>
          </w:tcPr>
          <w:p w14:paraId="000001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Volume in/out, pending backlog, SLA compliance %, bottleneck stage identification, officer workload distribution, rejection-reason breakdown</w:t>
            </w:r>
          </w:p>
        </w:tc>
      </w:tr>
      <w:tr w14:paraId="BFC37FEB">
        <w:tblPrEx/>
        <w:trPr>
          <w:cantSplit w:val="false"/>
          <w:tblHeader w:val="false"/>
          <w:jc w:val="left"/>
        </w:trPr>
        <w:tc>
          <w:tcPr>
            <w:tcW w:w="0" w:type="auto"/>
            <w:tcBorders/>
          </w:tcPr>
          <w:p w14:paraId="000001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Government Leadership</w:t>
            </w:r>
          </w:p>
        </w:tc>
        <w:tc>
          <w:tcPr>
            <w:tcW w:w="0" w:type="auto"/>
            <w:tcBorders/>
          </w:tcPr>
          <w:p w14:paraId="000001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Cross-department turnaround comparison, district/sector comparison, systemic bottleneck view, compliance trend, scheme utilisation, grievance volume/resolution trend, ease-of-doing-business composite indicators</w:t>
            </w:r>
          </w:p>
        </w:tc>
      </w:tr>
    </w:tbl>
    <w:p w14:paraId="0000016F">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All dashboards are </w:t>
      </w:r>
      <w:r>
        <w:rPr>
          <w:rFonts w:ascii="Cambria" w:cs="Cambria" w:eastAsia="Cambria" w:hAnsi="Cambria"/>
          <w:b/>
          <w:bCs/>
          <w:i w:val="false"/>
          <w:iCs w:val="false"/>
          <w:smallCaps w:val="false"/>
          <w:color w:val="000000"/>
          <w:sz w:val="24"/>
          <w:szCs w:val="24"/>
          <w:u w:val="none"/>
          <w:shd w:val="clear" w:color="auto" w:fill="auto"/>
          <w:vertAlign w:val="baseline"/>
        </w:rPr>
        <w:t>read views over the same underlying event/audit data</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no persona gets a separately-maintained reporting dataset, which is what keeps the numbers consistent across every screen.</w:t>
      </w:r>
    </w:p>
    <w:p w14:paraId="00000170">
      <w:pPr>
        <w:pStyle w:val="style0"/>
        <w:rPr/>
      </w:pPr>
      <w:r>
        <w:rPr/>
        <w:pict>
          <v:rect id="1042" fillcolor="#a0a0a0" stroked="f" style="margin-left:0.0pt;margin-top:0.0pt;width:0.0pt;height:1.5pt;mso-wrap-distance-left:0.0pt;mso-wrap-distance-right:0.0pt;visibility:visible;" o:hr="t" o:hralign="center" o:hrstd="t">
            <v:stroke on="f"/>
            <v:fill/>
          </v:rect>
        </w:pict>
      </w:r>
    </w:p>
    <w:bookmarkStart w:id="44" w:name="fgnk53nm3vqp" w:colFirst="0" w:colLast="0"/>
    <w:bookmarkEnd w:id="44"/>
    <w:p w14:paraId="00000171">
      <w:pPr>
        <w:pStyle w:val="style1"/>
        <w:rPr/>
      </w:pPr>
      <w:r>
        <w:rPr/>
        <w:t>18. Analytics and Reporting [EXPLICIT]</w:t>
      </w:r>
    </w:p>
    <w:p w14:paraId="0000017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Core KPI set: average/median approval time (overall and per stage), SLA compliance %, submitted/approved/rejected counts, query rate, resubmission rate, incomplete-application rate, inspection turnaround time, department/district/sector bottleneck breakdowns, renewal compliance rate, scheme utilisation rate, grievance resolution time. Delivered as: live dashboards (§19), scheduled reports (e.g., weekly departmental summary), and ad-hoc CSV/PDF export for leadership and audit use — export actions are themselves logged (§30).</w:t>
      </w:r>
    </w:p>
    <w:p w14:paraId="00000173">
      <w:pPr>
        <w:pStyle w:val="style0"/>
        <w:rPr/>
      </w:pPr>
      <w:r>
        <w:rPr/>
        <w:pict>
          <v:rect id="1043" fillcolor="#a0a0a0" stroked="f" style="margin-left:0.0pt;margin-top:0.0pt;width:0.0pt;height:1.5pt;mso-wrap-distance-left:0.0pt;mso-wrap-distance-right:0.0pt;visibility:visible;" o:hr="t" o:hralign="center" o:hrstd="t">
            <v:stroke on="f"/>
            <v:fill/>
          </v:rect>
        </w:pict>
      </w:r>
    </w:p>
    <w:bookmarkStart w:id="45" w:name="d12j7o6u7d5" w:colFirst="0" w:colLast="0"/>
    <w:bookmarkEnd w:id="45"/>
    <w:p w14:paraId="00000174">
      <w:pPr>
        <w:pStyle w:val="style1"/>
        <w:rPr/>
      </w:pPr>
      <w:r>
        <w:rPr/>
        <w:t>19. AI/ML Components [EXPLICIT — “Do not use AI merely for marketing purposes”]</w:t>
      </w:r>
    </w:p>
    <w:p w14:paraId="0000017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Each proposed AI feature is specified with input/output/human-review/fallback, so it is clear none of them make an unreviewed statutory decision.</w:t>
      </w:r>
    </w:p>
    <w:tbl>
      <w:tblPr>
        <w:tblStyle w:val="style4104"/>
        <w:tblW w:w="7920" w:type="dxa"/>
        <w:jc w:val="left"/>
        <w:tblInd w:w="-108" w:type="dxa"/>
        <w:tblLayout w:type="fixed"/>
        <w:tblLook w:val="0020" w:firstRow="1" w:lastRow="0" w:firstColumn="0" w:lastColumn="0" w:noHBand="0" w:noVBand="0"/>
      </w:tblPr>
      <w:tblGrid>
        <w:gridCol w:w="1320"/>
        <w:gridCol w:w="1320"/>
        <w:gridCol w:w="1320"/>
        <w:gridCol w:w="1320"/>
        <w:gridCol w:w="1320"/>
        <w:gridCol w:w="1320"/>
      </w:tblGrid>
      <w:tr w14:paraId="E57E4235">
        <w:trPr>
          <w:cantSplit w:val="false"/>
          <w:tblHeader/>
          <w:jc w:val="left"/>
        </w:trPr>
        <w:tc>
          <w:tcPr>
            <w:tcW w:w="0" w:type="auto"/>
            <w:tcBorders/>
          </w:tcPr>
          <w:p w14:paraId="0000017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Feature</w:t>
            </w:r>
          </w:p>
        </w:tc>
        <w:tc>
          <w:tcPr>
            <w:tcW w:w="0" w:type="auto"/>
            <w:tcBorders/>
          </w:tcPr>
          <w:p w14:paraId="0000017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Input</w:t>
            </w:r>
          </w:p>
        </w:tc>
        <w:tc>
          <w:tcPr>
            <w:tcW w:w="0" w:type="auto"/>
            <w:tcBorders/>
          </w:tcPr>
          <w:p w14:paraId="0000017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Output</w:t>
            </w:r>
          </w:p>
        </w:tc>
        <w:tc>
          <w:tcPr>
            <w:tcW w:w="0" w:type="auto"/>
            <w:tcBorders/>
          </w:tcPr>
          <w:p w14:paraId="000001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Model Type</w:t>
            </w:r>
          </w:p>
        </w:tc>
        <w:tc>
          <w:tcPr>
            <w:tcW w:w="0" w:type="auto"/>
            <w:tcBorders/>
          </w:tcPr>
          <w:p w14:paraId="0000017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Human Review</w:t>
            </w:r>
          </w:p>
        </w:tc>
        <w:tc>
          <w:tcPr>
            <w:tcW w:w="0" w:type="auto"/>
            <w:tcBorders/>
          </w:tcPr>
          <w:p w14:paraId="0000017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Fallback if AI Fails/Low-Confidence</w:t>
            </w:r>
          </w:p>
        </w:tc>
      </w:tr>
      <w:tr w14:paraId="1AF142A5">
        <w:tblPrEx/>
        <w:trPr>
          <w:cantSplit w:val="false"/>
          <w:tblHeader w:val="false"/>
          <w:jc w:val="left"/>
        </w:trPr>
        <w:tc>
          <w:tcPr>
            <w:tcW w:w="0" w:type="auto"/>
            <w:tcBorders/>
          </w:tcPr>
          <w:p w14:paraId="0000017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Regulatory RAG assistant</w:t>
            </w:r>
          </w:p>
        </w:tc>
        <w:tc>
          <w:tcPr>
            <w:tcW w:w="0" w:type="auto"/>
            <w:tcBorders/>
          </w:tcPr>
          <w:p w14:paraId="0000017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Applicant/officer question + approved regulatory corpus</w:t>
            </w:r>
          </w:p>
        </w:tc>
        <w:tc>
          <w:tcPr>
            <w:tcW w:w="0" w:type="auto"/>
            <w:tcBorders/>
          </w:tcPr>
          <w:p w14:paraId="0000017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Cited, sourced answer</w:t>
            </w:r>
          </w:p>
        </w:tc>
        <w:tc>
          <w:tcPr>
            <w:tcW w:w="0" w:type="auto"/>
            <w:tcBorders/>
          </w:tcPr>
          <w:p w14:paraId="0000017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Retrieval-augmented generation over Layer-1 approved content (§5.3)</w:t>
            </w:r>
          </w:p>
        </w:tc>
        <w:tc>
          <w:tcPr>
            <w:tcW w:w="0" w:type="auto"/>
            <w:tcBorders/>
          </w:tcPr>
          <w:p w14:paraId="0000018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Answer always carries citation + “informational, not legal advice” label; policy-level decision pending on whether pre-publication review is mandatory</w:t>
            </w:r>
          </w:p>
        </w:tc>
        <w:tc>
          <w:tcPr>
            <w:tcW w:w="0" w:type="auto"/>
            <w:tcBorders/>
          </w:tcPr>
          <w:p w14:paraId="0000018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Falls back to “couldn’t find a confident answer — here are the closest regulatory documents” with a link to raise a query to the department</w:t>
            </w:r>
          </w:p>
        </w:tc>
      </w:tr>
      <w:tr w14:paraId="E294C977">
        <w:tblPrEx/>
        <w:trPr>
          <w:cantSplit w:val="false"/>
          <w:tblHeader w:val="false"/>
          <w:jc w:val="left"/>
        </w:trPr>
        <w:tc>
          <w:tcPr>
            <w:tcW w:w="0" w:type="auto"/>
            <w:tcBorders/>
          </w:tcPr>
          <w:p w14:paraId="0000018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classification</w:t>
            </w:r>
          </w:p>
        </w:tc>
        <w:tc>
          <w:tcPr>
            <w:tcW w:w="0" w:type="auto"/>
            <w:tcBorders/>
          </w:tcPr>
          <w:p w14:paraId="0000018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Uploaded file</w:t>
            </w:r>
          </w:p>
        </w:tc>
        <w:tc>
          <w:tcPr>
            <w:tcW w:w="0" w:type="auto"/>
            <w:tcBorders/>
          </w:tcPr>
          <w:p w14:paraId="0000018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Predicted document type</w:t>
            </w:r>
          </w:p>
        </w:tc>
        <w:tc>
          <w:tcPr>
            <w:tcW w:w="0" w:type="auto"/>
            <w:tcBorders/>
          </w:tcPr>
          <w:p w14:paraId="0000018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Classifier (e.g., fine-tuned/lightweight model)</w:t>
            </w:r>
          </w:p>
        </w:tc>
        <w:tc>
          <w:tcPr>
            <w:tcW w:w="0" w:type="auto"/>
            <w:tcBorders/>
          </w:tcPr>
          <w:p w14:paraId="0000018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Applicant/officer confirms type before it’s accepted</w:t>
            </w:r>
          </w:p>
        </w:tc>
        <w:tc>
          <w:tcPr>
            <w:tcW w:w="0" w:type="auto"/>
            <w:tcBorders/>
          </w:tcPr>
          <w:p w14:paraId="0000018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Manual type selection dropdown</w:t>
            </w:r>
          </w:p>
        </w:tc>
      </w:tr>
      <w:tr w14:paraId="433AE580">
        <w:tblPrEx/>
        <w:trPr>
          <w:cantSplit w:val="false"/>
          <w:tblHeader w:val="false"/>
          <w:jc w:val="left"/>
        </w:trPr>
        <w:tc>
          <w:tcPr>
            <w:tcW w:w="0" w:type="auto"/>
            <w:tcBorders/>
          </w:tcPr>
          <w:p w14:paraId="0000018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OCR + field extraction</w:t>
            </w:r>
          </w:p>
        </w:tc>
        <w:tc>
          <w:tcPr>
            <w:tcW w:w="0" w:type="auto"/>
            <w:tcBorders/>
          </w:tcPr>
          <w:p w14:paraId="0000018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image/PDF</w:t>
            </w:r>
          </w:p>
        </w:tc>
        <w:tc>
          <w:tcPr>
            <w:tcW w:w="0" w:type="auto"/>
            <w:tcBorders/>
          </w:tcPr>
          <w:p w14:paraId="0000018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Extracted structured fields</w:t>
            </w:r>
          </w:p>
        </w:tc>
        <w:tc>
          <w:tcPr>
            <w:tcW w:w="0" w:type="auto"/>
            <w:tcBorders/>
          </w:tcPr>
          <w:p w14:paraId="0000018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OCR + extraction</w:t>
            </w:r>
          </w:p>
        </w:tc>
        <w:tc>
          <w:tcPr>
            <w:tcW w:w="0" w:type="auto"/>
            <w:tcBorders/>
          </w:tcPr>
          <w:p w14:paraId="0000018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Officer/applicant confirms extracted values before use</w:t>
            </w:r>
          </w:p>
        </w:tc>
        <w:tc>
          <w:tcPr>
            <w:tcW w:w="0" w:type="auto"/>
            <w:tcBorders/>
          </w:tcPr>
          <w:p w14:paraId="0000018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Manual data entry</w:t>
            </w:r>
          </w:p>
        </w:tc>
      </w:tr>
      <w:tr w14:paraId="4B0F005A">
        <w:tblPrEx/>
        <w:trPr>
          <w:cantSplit w:val="false"/>
          <w:tblHeader w:val="false"/>
          <w:jc w:val="left"/>
        </w:trPr>
        <w:tc>
          <w:tcPr>
            <w:tcW w:w="0" w:type="auto"/>
            <w:tcBorders/>
          </w:tcPr>
          <w:p w14:paraId="0000018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Duplicate detection</w:t>
            </w:r>
          </w:p>
        </w:tc>
        <w:tc>
          <w:tcPr>
            <w:tcW w:w="0" w:type="auto"/>
            <w:tcBorders/>
          </w:tcPr>
          <w:p w14:paraId="0000018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New application + historical applications</w:t>
            </w:r>
          </w:p>
        </w:tc>
        <w:tc>
          <w:tcPr>
            <w:tcW w:w="0" w:type="auto"/>
            <w:tcBorders/>
          </w:tcPr>
          <w:p w14:paraId="0000019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Similarity flag</w:t>
            </w:r>
          </w:p>
        </w:tc>
        <w:tc>
          <w:tcPr>
            <w:tcW w:w="0" w:type="auto"/>
            <w:tcBorders/>
          </w:tcPr>
          <w:p w14:paraId="0000019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Similarity/matching model</w:t>
            </w:r>
          </w:p>
        </w:tc>
        <w:tc>
          <w:tcPr>
            <w:tcW w:w="0" w:type="auto"/>
            <w:tcBorders/>
          </w:tcPr>
          <w:p w14:paraId="0000019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Manual review flag, never auto-rejects</w:t>
            </w:r>
          </w:p>
        </w:tc>
        <w:tc>
          <w:tcPr>
            <w:tcW w:w="0" w:type="auto"/>
            <w:tcBorders/>
          </w:tcPr>
          <w:p w14:paraId="0000019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Proceeds as a normal application if reviewer clears the flag</w:t>
            </w:r>
          </w:p>
        </w:tc>
      </w:tr>
      <w:tr w14:paraId="4A2C35AB">
        <w:tblPrEx/>
        <w:trPr>
          <w:cantSplit w:val="false"/>
          <w:tblHeader w:val="false"/>
          <w:jc w:val="left"/>
        </w:trPr>
        <w:tc>
          <w:tcPr>
            <w:tcW w:w="0" w:type="auto"/>
            <w:tcBorders/>
          </w:tcPr>
          <w:p w14:paraId="0000019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 completeness prediction</w:t>
            </w:r>
          </w:p>
        </w:tc>
        <w:tc>
          <w:tcPr>
            <w:tcW w:w="0" w:type="auto"/>
            <w:tcBorders/>
          </w:tcPr>
          <w:p w14:paraId="0000019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In-progress application draft</w:t>
            </w:r>
          </w:p>
        </w:tc>
        <w:tc>
          <w:tcPr>
            <w:tcW w:w="0" w:type="auto"/>
            <w:tcBorders/>
          </w:tcPr>
          <w:p w14:paraId="0000019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“Likely to be complete / likely missing X” nudge</w:t>
            </w:r>
          </w:p>
        </w:tc>
        <w:tc>
          <w:tcPr>
            <w:tcW w:w="0" w:type="auto"/>
            <w:tcBorders/>
          </w:tcPr>
          <w:p w14:paraId="0000019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Lightweight predictive model</w:t>
            </w:r>
          </w:p>
        </w:tc>
        <w:tc>
          <w:tcPr>
            <w:tcW w:w="0" w:type="auto"/>
            <w:tcBorders/>
          </w:tcPr>
          <w:p w14:paraId="0000019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Advisory only (§8 tiering)</w:t>
            </w:r>
          </w:p>
        </w:tc>
        <w:tc>
          <w:tcPr>
            <w:tcW w:w="0" w:type="auto"/>
            <w:tcBorders/>
          </w:tcPr>
          <w:p w14:paraId="0000019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blocking behaviour if unavailable</w:t>
            </w:r>
          </w:p>
        </w:tc>
      </w:tr>
      <w:tr w14:paraId="6E2C90A9">
        <w:tblPrEx/>
        <w:trPr>
          <w:cantSplit w:val="false"/>
          <w:tblHeader w:val="false"/>
          <w:jc w:val="left"/>
        </w:trPr>
        <w:tc>
          <w:tcPr>
            <w:tcW w:w="0" w:type="auto"/>
            <w:tcBorders/>
          </w:tcPr>
          <w:p w14:paraId="0000019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Risk scoring</w:t>
            </w:r>
          </w:p>
        </w:tc>
        <w:tc>
          <w:tcPr>
            <w:tcW w:w="0" w:type="auto"/>
            <w:tcBorders/>
          </w:tcPr>
          <w:p w14:paraId="0000019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See §11.2</w:t>
            </w:r>
          </w:p>
        </w:tc>
        <w:tc>
          <w:tcPr>
            <w:tcW w:w="0" w:type="auto"/>
            <w:tcBorders/>
          </w:tcPr>
          <w:p w14:paraId="0000019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Risk category + factors</w:t>
            </w:r>
          </w:p>
        </w:tc>
        <w:tc>
          <w:tcPr>
            <w:tcW w:w="0" w:type="auto"/>
            <w:tcBorders/>
          </w:tcPr>
          <w:p w14:paraId="0000019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Explainable model/rules hybrid, not opaque deep model</w:t>
            </w:r>
          </w:p>
        </w:tc>
        <w:tc>
          <w:tcPr>
            <w:tcW w:w="0" w:type="auto"/>
            <w:tcBorders/>
          </w:tcPr>
          <w:p w14:paraId="0000019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Always human-reviewed before any routing consequence takes effect</w:t>
            </w:r>
          </w:p>
        </w:tc>
        <w:tc>
          <w:tcPr>
            <w:tcW w:w="0" w:type="auto"/>
            <w:tcBorders/>
          </w:tcPr>
          <w:p w14:paraId="0000019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Defaults to standard (non-expedited) processing path</w:t>
            </w:r>
          </w:p>
        </w:tc>
      </w:tr>
      <w:tr w14:paraId="62583FF5">
        <w:tblPrEx/>
        <w:trPr>
          <w:cantSplit w:val="false"/>
          <w:tblHeader w:val="false"/>
          <w:jc w:val="left"/>
        </w:trPr>
        <w:tc>
          <w:tcPr>
            <w:tcW w:w="0" w:type="auto"/>
            <w:tcBorders/>
          </w:tcPr>
          <w:p w14:paraId="000001A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SLA-breach prediction</w:t>
            </w:r>
          </w:p>
        </w:tc>
        <w:tc>
          <w:tcPr>
            <w:tcW w:w="0" w:type="auto"/>
            <w:tcBorders/>
          </w:tcPr>
          <w:p w14:paraId="000001A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Current stage + elapsed time + historical stage durations</w:t>
            </w:r>
          </w:p>
        </w:tc>
        <w:tc>
          <w:tcPr>
            <w:tcW w:w="0" w:type="auto"/>
            <w:tcBorders/>
          </w:tcPr>
          <w:p w14:paraId="000001A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Breach-risk flag</w:t>
            </w:r>
          </w:p>
        </w:tc>
        <w:tc>
          <w:tcPr>
            <w:tcW w:w="0" w:type="auto"/>
            <w:tcBorders/>
          </w:tcPr>
          <w:p w14:paraId="000001A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Rule-based/statistical (not marketed as “AI” internally — see §14)</w:t>
            </w:r>
          </w:p>
        </w:tc>
        <w:tc>
          <w:tcPr>
            <w:tcW w:w="0" w:type="auto"/>
            <w:tcBorders/>
          </w:tcPr>
          <w:p w14:paraId="000001A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Informational</w:t>
            </w:r>
          </w:p>
        </w:tc>
        <w:tc>
          <w:tcPr>
            <w:tcW w:w="0" w:type="auto"/>
            <w:tcBorders/>
          </w:tcPr>
          <w:p w14:paraId="000001A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 blocking behaviour</w:t>
            </w:r>
          </w:p>
        </w:tc>
      </w:tr>
      <w:tr w14:paraId="2F15D679">
        <w:tblPrEx/>
        <w:trPr>
          <w:cantSplit w:val="false"/>
          <w:tblHeader w:val="false"/>
          <w:jc w:val="left"/>
        </w:trPr>
        <w:tc>
          <w:tcPr>
            <w:tcW w:w="0" w:type="auto"/>
            <w:tcBorders/>
          </w:tcPr>
          <w:p w14:paraId="000001A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 recommendation</w:t>
            </w:r>
          </w:p>
        </w:tc>
        <w:tc>
          <w:tcPr>
            <w:tcW w:w="0" w:type="auto"/>
            <w:tcBorders/>
          </w:tcPr>
          <w:p w14:paraId="000001A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Verified project profile + scheme catalogue</w:t>
            </w:r>
          </w:p>
        </w:tc>
        <w:tc>
          <w:tcPr>
            <w:tcW w:w="0" w:type="auto"/>
            <w:tcBorders/>
          </w:tcPr>
          <w:p w14:paraId="000001A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Ranked list of possibly-eligible schemes</w:t>
            </w:r>
          </w:p>
        </w:tc>
        <w:tc>
          <w:tcPr>
            <w:tcW w:w="0" w:type="auto"/>
            <w:tcBorders/>
          </w:tcPr>
          <w:p w14:paraId="000001A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Rule-based matching (same pattern as §4.3), optionally ML-ranked</w:t>
            </w:r>
          </w:p>
        </w:tc>
        <w:tc>
          <w:tcPr>
            <w:tcW w:w="0" w:type="auto"/>
            <w:tcBorders/>
          </w:tcPr>
          <w:p w14:paraId="000001A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Explicitly labelled “suggestion,” §17 rule applies</w:t>
            </w:r>
          </w:p>
        </w:tc>
        <w:tc>
          <w:tcPr>
            <w:tcW w:w="0" w:type="auto"/>
            <w:tcBorders/>
          </w:tcPr>
          <w:p w14:paraId="000001A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can still browse full catalogue manually</w:t>
            </w:r>
          </w:p>
        </w:tc>
      </w:tr>
      <w:tr w14:paraId="7808BBA0">
        <w:tblPrEx/>
        <w:trPr>
          <w:cantSplit w:val="false"/>
          <w:tblHeader w:val="false"/>
          <w:jc w:val="left"/>
        </w:trPr>
        <w:tc>
          <w:tcPr>
            <w:tcW w:w="0" w:type="auto"/>
            <w:tcBorders/>
          </w:tcPr>
          <w:p w14:paraId="000001A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Query/grievance classification</w:t>
            </w:r>
          </w:p>
        </w:tc>
        <w:tc>
          <w:tcPr>
            <w:tcW w:w="0" w:type="auto"/>
            <w:tcBorders/>
          </w:tcPr>
          <w:p w14:paraId="000001A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Free-text query/grievance</w:t>
            </w:r>
          </w:p>
        </w:tc>
        <w:tc>
          <w:tcPr>
            <w:tcW w:w="0" w:type="auto"/>
            <w:tcBorders/>
          </w:tcPr>
          <w:p w14:paraId="000001A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Suggested category/routing</w:t>
            </w:r>
          </w:p>
        </w:tc>
        <w:tc>
          <w:tcPr>
            <w:tcW w:w="0" w:type="auto"/>
            <w:tcBorders/>
          </w:tcPr>
          <w:p w14:paraId="000001A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Text classifier</w:t>
            </w:r>
          </w:p>
        </w:tc>
        <w:tc>
          <w:tcPr>
            <w:tcW w:w="0" w:type="auto"/>
            <w:tcBorders/>
          </w:tcPr>
          <w:p w14:paraId="000001B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Officer confirms routing before it’s final</w:t>
            </w:r>
          </w:p>
        </w:tc>
        <w:tc>
          <w:tcPr>
            <w:tcW w:w="0" w:type="auto"/>
            <w:tcBorders/>
          </w:tcPr>
          <w:p w14:paraId="000001B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Manual category selection</w:t>
            </w:r>
          </w:p>
        </w:tc>
      </w:tr>
    </w:tbl>
    <w:p w14:paraId="000001B2">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Cross-cutting requirement for every row above: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confidence score surfaced wherever the output is probabilistic, an explicit failure mode and fallback (as tabulated), and an audit log entry recording which model version produced which output for which application — because “the AI said so” can never be the end of an audit trail in a statutory process.</w:t>
      </w:r>
    </w:p>
    <w:bookmarkStart w:id="46" w:name="413wav515gn5" w:colFirst="0" w:colLast="0"/>
    <w:bookmarkEnd w:id="46"/>
    <w:p w14:paraId="000001B3">
      <w:pPr>
        <w:pStyle w:val="style1"/>
        <w:rPr/>
      </w:pPr>
      <w:r>
        <w:rPr/>
        <w:t>20. System Architecture [EXPLICIT — “Do NOT automatically choose microservices”]</w:t>
      </w:r>
    </w:p>
    <w:bookmarkStart w:id="47" w:name="7iryfokx3ovk" w:colFirst="0" w:colLast="0"/>
    <w:bookmarkEnd w:id="47"/>
    <w:p w14:paraId="000001B4">
      <w:pPr>
        <w:pStyle w:val="style2"/>
        <w:rPr/>
      </w:pPr>
      <w:r>
        <w:rPr/>
        <w:t>20.1 Recommended Approach: Modular Monolith at v1, Not Microservices [RECOMMENDED]</w:t>
      </w:r>
    </w:p>
    <w:p w14:paraId="000001B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Reasoning, per the brief’s own criteria:</w:t>
      </w:r>
    </w:p>
    <w:p w14:paraId="000001B6">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Government scale (initial):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hackathon prototype and an early production rollout do not have the transaction volume that justifies microservices’ operational overhead.</w:t>
      </w:r>
    </w:p>
    <w:p w14:paraId="000001B7">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Team size: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small government-vendor delivery team can maintain one well-modularised codebase far more reliably than a distributed system, which needs dedicated platform/SRE capacity most such teams don’t yet have.</w:t>
      </w:r>
    </w:p>
    <w:p w14:paraId="000001B8">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Reliability/maintainability: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fewer moving parts = fewer failure modes for a system that departments will depend on operationally from day one.</w:t>
      </w:r>
    </w:p>
    <w:p w14:paraId="000001B9">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Future scalability preserved: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monolith is built with clear internal module boundaries (Identity, Document, Regulatory Knowledge, Approval/Workflow, Compliance, Inspection, Scheme, Grievance, Notification, Analytics) that mirror the eventual microservice boundaries — so a specific module (most likely Document processing or AI/Regulatory retrieval, the two with genuinely different scaling profiles) can be </w:t>
      </w:r>
      <w:r>
        <w:rPr>
          <w:rFonts w:ascii="Cambria" w:cs="Cambria" w:eastAsia="Cambria" w:hAnsi="Cambria"/>
          <w:b/>
          <w:bCs/>
          <w:i w:val="false"/>
          <w:iCs w:val="false"/>
          <w:smallCaps w:val="false"/>
          <w:color w:val="000000"/>
          <w:sz w:val="24"/>
          <w:szCs w:val="24"/>
          <w:u w:val="none"/>
          <w:shd w:val="clear" w:color="auto" w:fill="auto"/>
          <w:vertAlign w:val="baseline"/>
        </w:rPr>
        <w:t>extracted later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into its own service once real load data justifies it, without a full rewrite.</w:t>
      </w:r>
    </w:p>
    <w:p w14:paraId="000001BA">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Event-driven internally: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modules communicate via an internal event bus/outbox pattern (not direct in-process calls everywhere) so the eventual extraction step is a deployment change, not a redesign.</w:t>
      </w:r>
    </w:p>
    <w:bookmarkStart w:id="48" w:name="phmn0m4lxsal" w:colFirst="0" w:colLast="0"/>
    <w:bookmarkEnd w:id="48"/>
    <w:p w14:paraId="000001BB">
      <w:pPr>
        <w:pStyle w:val="style2"/>
        <w:rPr/>
      </w:pPr>
      <w:r>
        <w:rPr/>
        <w:t>20.2 Logical Modules</w:t>
      </w:r>
    </w:p>
    <w:p w14:paraId="000001B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API Gateway (single ingress, auth, rate limiting) → Identity &amp; Access → Document Service → Regulatory Knowledge Service → Approval Discovery &amp; Workflow Engine → Inspection Service → Compliance/Renewal Service → Scheme Service → Grievance Service → Notification Service → Analytics/Reporting Service → Audit Service (append-only, cross-cutting — every other module writes to it, nothing reads-to-modify it).</w:t>
      </w:r>
    </w:p>
    <w:p w14:paraId="000001BD">
      <w:pPr>
        <w:pStyle w:val="style0"/>
        <w:rPr/>
      </w:pPr>
      <w:r>
        <w:rPr/>
        <w:pict>
          <v:rect id="1044" fillcolor="#a0a0a0" stroked="f" style="margin-left:0.0pt;margin-top:0.0pt;width:0.0pt;height:1.5pt;mso-wrap-distance-left:0.0pt;mso-wrap-distance-right:0.0pt;visibility:visible;" o:hr="t" o:hralign="center" o:hrstd="t">
            <v:stroke on="f"/>
            <v:fill/>
          </v:rect>
        </w:pict>
      </w:r>
    </w:p>
    <w:bookmarkStart w:id="49" w:name="8qkfp2u6mb86" w:colFirst="0" w:colLast="0"/>
    <w:bookmarkEnd w:id="49"/>
    <w:p w14:paraId="000001BE">
      <w:pPr>
        <w:pStyle w:val="style1"/>
        <w:rPr/>
      </w:pPr>
      <w:r>
        <w:rPr/>
        <w:t>21. Frontend Architecture [EXPLICIT]</w:t>
      </w:r>
    </w:p>
    <w:bookmarkStart w:id="50" w:name="2c7yg6et5h6e" w:colFirst="0" w:colLast="0"/>
    <w:bookmarkEnd w:id="50"/>
    <w:p w14:paraId="000001BF">
      <w:pPr>
        <w:pStyle w:val="style2"/>
        <w:rPr/>
      </w:pPr>
      <w:r>
        <w:rPr/>
        <w:t>21.1 Portals</w:t>
      </w:r>
    </w:p>
    <w:p w14:paraId="000001C0">
      <w:pPr>
        <w:pStyle w:val="style0"/>
        <w:keepNext w:val="false"/>
        <w:keepLines w:val="false"/>
        <w:pageBreakBefore w:val="false"/>
        <w:widowControl/>
        <w:numPr>
          <w:ilvl w:val="0"/>
          <w:numId w:val="1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Applicant Portal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profile/enterprise/project setup, checklist, document upload, application tracking, dashboard, scheme discovery, grievances.</w:t>
      </w:r>
    </w:p>
    <w:p w14:paraId="000001C1">
      <w:pPr>
        <w:pStyle w:val="style0"/>
        <w:keepNext w:val="false"/>
        <w:keepLines w:val="false"/>
        <w:pageBreakBefore w:val="false"/>
        <w:widowControl/>
        <w:numPr>
          <w:ilvl w:val="0"/>
          <w:numId w:val="1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Officer Portal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work queue, scrutiny screen, query composer, inspection scheduling/report entry, decision screen.</w:t>
      </w:r>
    </w:p>
    <w:p w14:paraId="000001C2">
      <w:pPr>
        <w:pStyle w:val="style0"/>
        <w:keepNext w:val="false"/>
        <w:keepLines w:val="false"/>
        <w:pageBreakBefore w:val="false"/>
        <w:widowControl/>
        <w:numPr>
          <w:ilvl w:val="0"/>
          <w:numId w:val="1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Department Admin Console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workflow/SLA configuration, officer management, department analytics.</w:t>
      </w:r>
    </w:p>
    <w:p w14:paraId="000001C3">
      <w:pPr>
        <w:pStyle w:val="style0"/>
        <w:keepNext w:val="false"/>
        <w:keepLines w:val="false"/>
        <w:pageBreakBefore w:val="false"/>
        <w:widowControl/>
        <w:numPr>
          <w:ilvl w:val="0"/>
          <w:numId w:val="1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Leadership Dashboard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read-only, cross-department, exportable.</w:t>
      </w:r>
    </w:p>
    <w:bookmarkStart w:id="51" w:name="u5zplqmwrcx7" w:colFirst="0" w:colLast="0"/>
    <w:bookmarkEnd w:id="51"/>
    <w:p w14:paraId="000001C4">
      <w:pPr>
        <w:pStyle w:val="style2"/>
        <w:rPr/>
      </w:pPr>
      <w:r>
        <w:rPr/>
        <w:t>21.2 Cross-Cutting Frontend Requirements</w:t>
      </w:r>
    </w:p>
    <w:p w14:paraId="000001C5">
      <w:pPr>
        <w:pStyle w:val="style0"/>
        <w:keepNext w:val="false"/>
        <w:keepLines w:val="false"/>
        <w:pageBreakBefore w:val="false"/>
        <w:widowControl/>
        <w:numPr>
          <w:ilvl w:val="0"/>
          <w:numId w:val="1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Responsive/mobile-first</w:t>
      </w:r>
      <w:r>
        <w:rPr>
          <w:rFonts w:ascii="Cambria" w:cs="Cambria" w:eastAsia="Cambria" w:hAnsi="Cambria"/>
          <w:b w:val="false"/>
          <w:bCs w:val="false"/>
          <w:i w:val="false"/>
          <w:iCs w:val="false"/>
          <w:smallCaps w:val="false"/>
          <w:color w:val="000000"/>
          <w:sz w:val="24"/>
          <w:szCs w:val="24"/>
          <w:u w:val="none"/>
          <w:shd w:val="clear" w:color="auto" w:fill="auto"/>
          <w:vertAlign w:val="baseline"/>
        </w:rPr>
        <w:t>, since many applicants and even inspectors in the field will use mobile devices [RECOMMENDED].</w:t>
      </w:r>
    </w:p>
    <w:p w14:paraId="000001C6">
      <w:pPr>
        <w:pStyle w:val="style0"/>
        <w:keepNext w:val="false"/>
        <w:keepLines w:val="false"/>
        <w:pageBreakBefore w:val="false"/>
        <w:widowControl/>
        <w:numPr>
          <w:ilvl w:val="0"/>
          <w:numId w:val="1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Accessibility: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WCAG 2.1 AA target for the Applicant Portal at minimum, since it is public-facing [RECOMMENDED].</w:t>
      </w:r>
    </w:p>
    <w:p w14:paraId="000001C7">
      <w:pPr>
        <w:pStyle w:val="style0"/>
        <w:keepNext w:val="false"/>
        <w:keepLines w:val="false"/>
        <w:pageBreakBefore w:val="false"/>
        <w:widowControl/>
        <w:numPr>
          <w:ilvl w:val="0"/>
          <w:numId w:val="1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Dynamic, rule-driven forms: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checklist/application form renders from the ApprovalType’s data-driven definition (§4, §8.2) rather than being hand-coded per approval type — this is what lets new approval types launch via configuration.</w:t>
      </w:r>
    </w:p>
    <w:p w14:paraId="000001C8">
      <w:pPr>
        <w:pStyle w:val="style0"/>
        <w:keepNext w:val="false"/>
        <w:keepLines w:val="false"/>
        <w:pageBreakBefore w:val="false"/>
        <w:widowControl/>
        <w:numPr>
          <w:ilvl w:val="0"/>
          <w:numId w:val="12"/>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Consistent workflow-state UI component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reused across every portal so “what stage is this application at” always looks and behaves the same way, regardless of persona.</w:t>
      </w:r>
    </w:p>
    <w:p w14:paraId="000001C9">
      <w:pPr>
        <w:pStyle w:val="style0"/>
        <w:rPr/>
      </w:pPr>
      <w:r>
        <w:rPr/>
        <w:pict>
          <v:rect id="1045" fillcolor="#a0a0a0" stroked="f" style="margin-left:0.0pt;margin-top:0.0pt;width:0.0pt;height:1.5pt;mso-wrap-distance-left:0.0pt;mso-wrap-distance-right:0.0pt;visibility:visible;" o:hr="t" o:hralign="center" o:hrstd="t">
            <v:stroke on="f"/>
            <v:fill/>
          </v:rect>
        </w:pict>
      </w:r>
    </w:p>
    <w:bookmarkStart w:id="52" w:name="toeibo9gs2sw" w:colFirst="0" w:colLast="0"/>
    <w:bookmarkEnd w:id="52"/>
    <w:p w14:paraId="000001CA">
      <w:pPr>
        <w:pStyle w:val="style1"/>
        <w:rPr/>
      </w:pPr>
      <w:r>
        <w:rPr/>
        <w:t>22. Backend Architecture [EXPLICIT]</w:t>
      </w:r>
    </w:p>
    <w:p w14:paraId="000001CB">
      <w:pPr>
        <w:pStyle w:val="style0"/>
        <w:keepNext w:val="false"/>
        <w:keepLines w:val="false"/>
        <w:pageBreakBefore w:val="false"/>
        <w:widowControl/>
        <w:numPr>
          <w:ilvl w:val="0"/>
          <w:numId w:val="1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Business logic layered as: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API layer → Application/orchestration layer (workflow engine, §8) → Domain services (rules engine, document handling, etc.) → Data access layer.</w:t>
      </w:r>
    </w:p>
    <w:p w14:paraId="000001CC">
      <w:pPr>
        <w:pStyle w:val="style0"/>
        <w:keepNext w:val="false"/>
        <w:keepLines w:val="false"/>
        <w:pageBreakBefore w:val="false"/>
        <w:widowControl/>
        <w:numPr>
          <w:ilvl w:val="0"/>
          <w:numId w:val="1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Rules engine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 a shared internal library/service consumed by Approval Discovery (§4), Pre-Validation (§7), Risk Scoring (§11), and Scheme Eligibility (§15) — one engine, four consumers, so rule-authoring tooling and versioning is built once.</w:t>
      </w:r>
    </w:p>
    <w:p w14:paraId="000001CD">
      <w:pPr>
        <w:pStyle w:val="style0"/>
        <w:keepNext w:val="false"/>
        <w:keepLines w:val="false"/>
        <w:pageBreakBefore w:val="false"/>
        <w:widowControl/>
        <w:numPr>
          <w:ilvl w:val="0"/>
          <w:numId w:val="1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Background job processing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notification delivery/retry, SLA breach-risk sweeps, document virus scanning, OCR/extraction pipelines, scheduled reminder generation.</w:t>
      </w:r>
    </w:p>
    <w:p w14:paraId="000001CE">
      <w:pPr>
        <w:pStyle w:val="style0"/>
        <w:keepNext w:val="false"/>
        <w:keepLines w:val="false"/>
        <w:pageBreakBefore w:val="false"/>
        <w:widowControl/>
        <w:numPr>
          <w:ilvl w:val="0"/>
          <w:numId w:val="1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Event processing: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domain events (e.g.,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ApplicationSubmitted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QueryRaised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DocumentVerified</w:t>
      </w:r>
      <w:r>
        <w:rPr>
          <w:rFonts w:ascii="Cambria" w:cs="Cambria" w:eastAsia="Cambria" w:hAnsi="Cambria"/>
          <w:b w:val="false"/>
          <w:bCs w:val="false"/>
          <w:i w:val="false"/>
          <w:iCs w:val="false"/>
          <w:smallCaps w:val="false"/>
          <w:color w:val="000000"/>
          <w:sz w:val="24"/>
          <w:szCs w:val="24"/>
          <w:u w:val="none"/>
          <w:shd w:val="clear" w:color="auto" w:fill="auto"/>
          <w:vertAlign w:val="baseline"/>
        </w:rPr>
        <w:t>) published to an internal bus, consumed by Notification, Analytics, and Audit services independently — keeps those cross-cutting concerns decoupled from core workflow logic.</w:t>
      </w:r>
    </w:p>
    <w:p w14:paraId="000001CF">
      <w:pPr>
        <w:pStyle w:val="style0"/>
        <w:keepNext w:val="false"/>
        <w:keepLines w:val="false"/>
        <w:pageBreakBefore w:val="false"/>
        <w:widowControl/>
        <w:numPr>
          <w:ilvl w:val="0"/>
          <w:numId w:val="13"/>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AI services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sit behind a clearly bounded internal API (not scattered inline calls throughout business logic), so model swaps/version upgrades don’t ripple through the codebase, and so every AI call can be uniformly logged for §19’s auditability requirement.</w:t>
      </w:r>
    </w:p>
    <w:p w14:paraId="000001D0">
      <w:pPr>
        <w:pStyle w:val="style0"/>
        <w:rPr/>
      </w:pPr>
      <w:r>
        <w:rPr/>
        <w:pict>
          <v:rect id="1046" fillcolor="#a0a0a0" stroked="f" style="margin-left:0.0pt;margin-top:0.0pt;width:0.0pt;height:1.5pt;mso-wrap-distance-left:0.0pt;mso-wrap-distance-right:0.0pt;visibility:visible;" o:hr="t" o:hralign="center" o:hrstd="t">
            <v:stroke on="f"/>
            <v:fill/>
          </v:rect>
        </w:pict>
      </w:r>
    </w:p>
    <w:bookmarkStart w:id="53" w:name="gysbmqa5r9t6" w:colFirst="0" w:colLast="0"/>
    <w:bookmarkEnd w:id="53"/>
    <w:p w14:paraId="000001D1">
      <w:pPr>
        <w:pStyle w:val="style1"/>
        <w:rPr/>
      </w:pPr>
      <w:r>
        <w:rPr/>
        <w:t>23. Database Design [EXPLICIT]</w:t>
      </w:r>
    </w:p>
    <w:bookmarkStart w:id="54" w:name="n1pi12wsfjqf" w:colFirst="0" w:colLast="0"/>
    <w:bookmarkEnd w:id="54"/>
    <w:p w14:paraId="000001D2">
      <w:pPr>
        <w:pStyle w:val="style2"/>
        <w:rPr/>
      </w:pPr>
      <w:r>
        <w:rPr/>
        <w:t>23.1 Core Entities (logical model)</w:t>
      </w:r>
    </w:p>
    <w:tbl>
      <w:tblPr>
        <w:tblStyle w:val="style4105"/>
        <w:tblW w:w="7920" w:type="dxa"/>
        <w:jc w:val="left"/>
        <w:tblInd w:w="-108" w:type="dxa"/>
        <w:tblLayout w:type="fixed"/>
        <w:tblLook w:val="0020" w:firstRow="1" w:lastRow="0" w:firstColumn="0" w:lastColumn="0" w:noHBand="0" w:noVBand="0"/>
      </w:tblPr>
      <w:tblGrid>
        <w:gridCol w:w="2640"/>
        <w:gridCol w:w="2640"/>
        <w:gridCol w:w="2640"/>
      </w:tblGrid>
      <w:tr w14:paraId="EE86C2F5">
        <w:trPr>
          <w:cantSplit w:val="false"/>
          <w:tblHeader/>
          <w:jc w:val="left"/>
        </w:trPr>
        <w:tc>
          <w:tcPr>
            <w:tcW w:w="0" w:type="auto"/>
            <w:tcBorders/>
          </w:tcPr>
          <w:p w14:paraId="000001D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Entity</w:t>
            </w:r>
          </w:p>
        </w:tc>
        <w:tc>
          <w:tcPr>
            <w:tcW w:w="0" w:type="auto"/>
            <w:tcBorders/>
          </w:tcPr>
          <w:p w14:paraId="000001D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c>
          <w:tcPr>
            <w:tcW w:w="0" w:type="auto"/>
            <w:tcBorders/>
          </w:tcPr>
          <w:p w14:paraId="000001D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Key Relationships</w:t>
            </w:r>
          </w:p>
        </w:tc>
      </w:tr>
      <w:tr w14:paraId="E2AF4D38">
        <w:tblPrEx/>
        <w:trPr>
          <w:cantSplit w:val="false"/>
          <w:tblHeader w:val="false"/>
          <w:jc w:val="left"/>
        </w:trPr>
        <w:tc>
          <w:tcPr>
            <w:tcW w:w="0" w:type="auto"/>
            <w:tcBorders/>
          </w:tcPr>
          <w:p w14:paraId="000001D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w:t>
            </w:r>
          </w:p>
        </w:tc>
        <w:tc>
          <w:tcPr>
            <w:tcW w:w="0" w:type="auto"/>
            <w:tcBorders/>
          </w:tcPr>
          <w:p w14:paraId="000001D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Any platform login</w:t>
            </w:r>
          </w:p>
        </w:tc>
        <w:tc>
          <w:tcPr>
            <w:tcW w:w="0" w:type="auto"/>
            <w:tcBorders/>
          </w:tcPr>
          <w:p w14:paraId="000001D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Role(s), → Enterprise (if applicant-side) or → Department (if officer-side)</w:t>
            </w:r>
          </w:p>
        </w:tc>
      </w:tr>
      <w:tr w14:paraId="5B0466DA">
        <w:tblPrEx/>
        <w:trPr>
          <w:cantSplit w:val="false"/>
          <w:tblHeader w:val="false"/>
          <w:jc w:val="left"/>
        </w:trPr>
        <w:tc>
          <w:tcPr>
            <w:tcW w:w="0" w:type="auto"/>
            <w:tcBorders/>
          </w:tcPr>
          <w:p w14:paraId="000001D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Role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Permission</w:t>
            </w:r>
          </w:p>
        </w:tc>
        <w:tc>
          <w:tcPr>
            <w:tcW w:w="0" w:type="auto"/>
            <w:tcBorders/>
          </w:tcPr>
          <w:p w14:paraId="000001D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RBAC definitions</w:t>
            </w:r>
          </w:p>
        </w:tc>
        <w:tc>
          <w:tcPr>
            <w:tcW w:w="0" w:type="auto"/>
            <w:tcBorders/>
          </w:tcPr>
          <w:p w14:paraId="000001D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Many-to-many User↔Role, Role↔Permission</w:t>
            </w:r>
          </w:p>
        </w:tc>
      </w:tr>
      <w:tr w14:paraId="8B3ABCD1">
        <w:tblPrEx/>
        <w:trPr>
          <w:cantSplit w:val="false"/>
          <w:tblHeader w:val="false"/>
          <w:jc w:val="left"/>
        </w:trPr>
        <w:tc>
          <w:tcPr>
            <w:tcW w:w="0" w:type="auto"/>
            <w:tcBorders/>
          </w:tcPr>
          <w:p w14:paraId="000001D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w:t>
            </w:r>
          </w:p>
        </w:tc>
        <w:tc>
          <w:tcPr>
            <w:tcW w:w="0" w:type="auto"/>
            <w:tcBorders/>
          </w:tcPr>
          <w:p w14:paraId="000001D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The applicant organisation</w:t>
            </w:r>
          </w:p>
        </w:tc>
        <w:tc>
          <w:tcPr>
            <w:tcW w:w="0" w:type="auto"/>
            <w:tcBorders/>
          </w:tcPr>
          <w:p w14:paraId="000001D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1→many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1→many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(applicant admins/reps)</w:t>
            </w:r>
          </w:p>
        </w:tc>
      </w:tr>
      <w:tr w14:paraId="A80D3847">
        <w:tblPrEx/>
        <w:trPr>
          <w:cantSplit w:val="false"/>
          <w:tblHeader w:val="false"/>
          <w:jc w:val="left"/>
        </w:trPr>
        <w:tc>
          <w:tcPr>
            <w:tcW w:w="0" w:type="auto"/>
            <w:tcBorders/>
          </w:tcPr>
          <w:p w14:paraId="000001D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w:t>
            </w:r>
          </w:p>
        </w:tc>
        <w:tc>
          <w:tcPr>
            <w:tcW w:w="0" w:type="auto"/>
            <w:tcBorders/>
          </w:tcPr>
          <w:p w14:paraId="000001E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specific industrial project/expansion under an Enterprise</w:t>
            </w:r>
          </w:p>
        </w:tc>
        <w:tc>
          <w:tcPr>
            <w:tcW w:w="0" w:type="auto"/>
            <w:tcBorders/>
          </w:tcPr>
          <w:p w14:paraId="000001E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1→many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p>
        </w:tc>
      </w:tr>
      <w:tr w14:paraId="B7323C65">
        <w:tblPrEx/>
        <w:trPr>
          <w:cantSplit w:val="false"/>
          <w:tblHeader w:val="false"/>
          <w:jc w:val="left"/>
        </w:trPr>
        <w:tc>
          <w:tcPr>
            <w:tcW w:w="0" w:type="auto"/>
            <w:tcBorders/>
          </w:tcPr>
          <w:p w14:paraId="000001E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Industry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Location</w:t>
            </w:r>
          </w:p>
        </w:tc>
        <w:tc>
          <w:tcPr>
            <w:tcW w:w="0" w:type="auto"/>
            <w:tcBorders/>
          </w:tcPr>
          <w:p w14:paraId="000001E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Reference/master data used by the rule engine</w:t>
            </w:r>
          </w:p>
        </w:tc>
        <w:tc>
          <w:tcPr>
            <w:tcW w:w="0" w:type="auto"/>
            <w:tcBorders/>
          </w:tcPr>
          <w:p w14:paraId="000001E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Referenced by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Project</w:t>
            </w:r>
          </w:p>
        </w:tc>
      </w:tr>
      <w:tr w14:paraId="DABE8E0D">
        <w:tblPrEx/>
        <w:trPr>
          <w:cantSplit w:val="false"/>
          <w:tblHeader w:val="false"/>
          <w:jc w:val="left"/>
        </w:trPr>
        <w:tc>
          <w:tcPr>
            <w:tcW w:w="0" w:type="auto"/>
            <w:tcBorders/>
          </w:tcPr>
          <w:p w14:paraId="000001E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ApprovalType</w:t>
            </w:r>
          </w:p>
        </w:tc>
        <w:tc>
          <w:tcPr>
            <w:tcW w:w="0" w:type="auto"/>
            <w:tcBorders/>
          </w:tcPr>
          <w:p w14:paraId="000001E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specific approval/licence/NOC type, owned by a Department</w:t>
            </w:r>
          </w:p>
        </w:tc>
        <w:tc>
          <w:tcPr>
            <w:tcW w:w="0" w:type="auto"/>
            <w:tcBorders/>
          </w:tcPr>
          <w:p w14:paraId="000001E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1→many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WorkflowDefinition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DocumentRequirement</w:t>
            </w:r>
          </w:p>
        </w:tc>
      </w:tr>
      <w:tr w14:paraId="68EBA49E">
        <w:tblPrEx/>
        <w:trPr>
          <w:cantSplit w:val="false"/>
          <w:tblHeader w:val="false"/>
          <w:jc w:val="left"/>
        </w:trPr>
        <w:tc>
          <w:tcPr>
            <w:tcW w:w="0" w:type="auto"/>
            <w:tcBorders/>
          </w:tcPr>
          <w:p w14:paraId="000001E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p>
        </w:tc>
        <w:tc>
          <w:tcPr>
            <w:tcW w:w="0" w:type="auto"/>
            <w:tcBorders/>
          </w:tcPr>
          <w:p w14:paraId="000001E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One applicant’s request for one ApprovalType on one Project</w:t>
            </w:r>
          </w:p>
        </w:tc>
        <w:tc>
          <w:tcPr>
            <w:tcW w:w="0" w:type="auto"/>
            <w:tcBorders/>
          </w:tcPr>
          <w:p w14:paraId="000001E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(current + history),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(s)</w:t>
            </w:r>
          </w:p>
        </w:tc>
      </w:tr>
      <w:tr w14:paraId="13EC20E5">
        <w:tblPrEx/>
        <w:trPr>
          <w:cantSplit w:val="false"/>
          <w:tblHeader w:val="false"/>
          <w:jc w:val="left"/>
        </w:trPr>
        <w:tc>
          <w:tcPr>
            <w:tcW w:w="0" w:type="auto"/>
            <w:tcBorders/>
          </w:tcPr>
          <w:p w14:paraId="000001E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ApplicationStage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(history table)</w:t>
            </w:r>
          </w:p>
        </w:tc>
        <w:tc>
          <w:tcPr>
            <w:tcW w:w="0" w:type="auto"/>
            <w:tcBorders/>
          </w:tcPr>
          <w:p w14:paraId="000001E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state transition (§3.2)</w:t>
            </w:r>
          </w:p>
        </w:tc>
        <w:tc>
          <w:tcPr>
            <w:tcW w:w="0" w:type="auto"/>
            <w:tcBorders/>
          </w:tcPr>
          <w:p w14:paraId="000001E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FK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timestamped, actor recorded</w:t>
            </w:r>
          </w:p>
        </w:tc>
      </w:tr>
      <w:tr w14:paraId="3F4BB0BC">
        <w:tblPrEx/>
        <w:trPr>
          <w:cantSplit w:val="false"/>
          <w:tblHeader w:val="false"/>
          <w:jc w:val="left"/>
        </w:trPr>
        <w:tc>
          <w:tcPr>
            <w:tcW w:w="0" w:type="auto"/>
            <w:tcBorders/>
          </w:tcPr>
          <w:p w14:paraId="000001E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WorkflowDefinition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WorkflowTask</w:t>
            </w:r>
          </w:p>
        </w:tc>
        <w:tc>
          <w:tcPr>
            <w:tcW w:w="0" w:type="auto"/>
            <w:tcBorders/>
          </w:tcPr>
          <w:p w14:paraId="000001E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Configurable stage graph per ApprovalType (§8.2)</w:t>
            </w:r>
          </w:p>
        </w:tc>
        <w:tc>
          <w:tcPr>
            <w:tcW w:w="0" w:type="auto"/>
            <w:tcBorders/>
          </w:tcPr>
          <w:p w14:paraId="000001F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Referenced by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at runtime</w:t>
            </w:r>
          </w:p>
        </w:tc>
      </w:tr>
      <w:tr w14:paraId="17BC46CC">
        <w:tblPrEx/>
        <w:trPr>
          <w:cantSplit w:val="false"/>
          <w:tblHeader w:val="false"/>
          <w:jc w:val="left"/>
        </w:trPr>
        <w:tc>
          <w:tcPr>
            <w:tcW w:w="0" w:type="auto"/>
            <w:tcBorders/>
          </w:tcPr>
          <w:p w14:paraId="000001F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Officer</w:t>
            </w:r>
          </w:p>
        </w:tc>
        <w:tc>
          <w:tcPr>
            <w:tcW w:w="0" w:type="auto"/>
            <w:tcBorders/>
          </w:tcPr>
          <w:p w14:paraId="000001F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Org structure on the government side</w:t>
            </w:r>
          </w:p>
        </w:tc>
        <w:tc>
          <w:tcPr>
            <w:tcW w:w="0" w:type="auto"/>
            <w:tcBorders/>
          </w:tcPr>
          <w:p w14:paraId="000001F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Officer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w:t>
            </w:r>
          </w:p>
        </w:tc>
      </w:tr>
      <w:tr w14:paraId="803BFD28">
        <w:tblPrEx/>
        <w:trPr>
          <w:cantSplit w:val="false"/>
          <w:tblHeader w:val="false"/>
          <w:jc w:val="left"/>
        </w:trPr>
        <w:tc>
          <w:tcPr>
            <w:tcW w:w="0" w:type="auto"/>
            <w:tcBorders/>
          </w:tcPr>
          <w:p w14:paraId="000001F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DocumentRequirement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DocumentVerification</w:t>
            </w:r>
          </w:p>
        </w:tc>
        <w:tc>
          <w:tcPr>
            <w:tcW w:w="0" w:type="auto"/>
            <w:tcBorders/>
          </w:tcPr>
          <w:p w14:paraId="000001F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lifecycle (§6)</w:t>
            </w:r>
          </w:p>
        </w:tc>
        <w:tc>
          <w:tcPr>
            <w:tcW w:w="0" w:type="auto"/>
            <w:tcBorders/>
          </w:tcPr>
          <w:p w14:paraId="000001F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Enterprise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(owner) or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(issuer), many-to-many with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via a join table so one verified document can serve many applications</w:t>
            </w:r>
          </w:p>
        </w:tc>
      </w:tr>
      <w:tr w14:paraId="17E5A880">
        <w:tblPrEx/>
        <w:trPr>
          <w:cantSplit w:val="false"/>
          <w:tblHeader w:val="false"/>
          <w:jc w:val="left"/>
        </w:trPr>
        <w:tc>
          <w:tcPr>
            <w:tcW w:w="0" w:type="auto"/>
            <w:tcBorders/>
          </w:tcPr>
          <w:p w14:paraId="000001F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InspectionReport</w:t>
            </w:r>
          </w:p>
        </w:tc>
        <w:tc>
          <w:tcPr>
            <w:tcW w:w="0" w:type="auto"/>
            <w:tcBorders/>
          </w:tcPr>
          <w:p w14:paraId="000001F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§10</w:t>
            </w:r>
          </w:p>
        </w:tc>
        <w:tc>
          <w:tcPr>
            <w:tcW w:w="0" w:type="auto"/>
            <w:tcBorders/>
          </w:tcPr>
          <w:p w14:paraId="000001F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FK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Officer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(inspector)</w:t>
            </w:r>
          </w:p>
        </w:tc>
      </w:tr>
      <w:tr w14:paraId="95A1FBEB">
        <w:tblPrEx/>
        <w:trPr>
          <w:cantSplit w:val="false"/>
          <w:tblHeader w:val="false"/>
          <w:jc w:val="left"/>
        </w:trPr>
        <w:tc>
          <w:tcPr>
            <w:tcW w:w="0" w:type="auto"/>
            <w:tcBorders/>
          </w:tcPr>
          <w:p w14:paraId="000001F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ComplianceRequirement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ComplianceRecord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Renewal</w:t>
            </w:r>
          </w:p>
        </w:tc>
        <w:tc>
          <w:tcPr>
            <w:tcW w:w="0" w:type="auto"/>
            <w:tcBorders/>
          </w:tcPr>
          <w:p w14:paraId="000001F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§14</w:t>
            </w:r>
          </w:p>
        </w:tc>
        <w:tc>
          <w:tcPr>
            <w:tcW w:w="0" w:type="auto"/>
            <w:tcBorders/>
          </w:tcPr>
          <w:p w14:paraId="000001F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FK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approval being maintained)</w:t>
            </w:r>
          </w:p>
        </w:tc>
      </w:tr>
      <w:tr w14:paraId="9EC997EC">
        <w:tblPrEx/>
        <w:trPr>
          <w:cantSplit w:val="false"/>
          <w:tblHeader w:val="false"/>
          <w:jc w:val="left"/>
        </w:trPr>
        <w:tc>
          <w:tcPr>
            <w:tcW w:w="0" w:type="auto"/>
            <w:tcBorders/>
          </w:tcPr>
          <w:p w14:paraId="000001F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SchemeEligibility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IncentiveApplication</w:t>
            </w:r>
          </w:p>
        </w:tc>
        <w:tc>
          <w:tcPr>
            <w:tcW w:w="0" w:type="auto"/>
            <w:tcBorders/>
          </w:tcPr>
          <w:p w14:paraId="000001F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§15</w:t>
            </w:r>
          </w:p>
        </w:tc>
        <w:tc>
          <w:tcPr>
            <w:tcW w:w="0" w:type="auto"/>
            <w:tcBorders/>
          </w:tcPr>
          <w:p w14:paraId="000001F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Mirrors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ApprovalType</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pattern</w:t>
            </w:r>
          </w:p>
        </w:tc>
      </w:tr>
      <w:tr w14:paraId="6E98943C">
        <w:tblPrEx/>
        <w:trPr>
          <w:cantSplit w:val="false"/>
          <w:tblHeader w:val="false"/>
          <w:jc w:val="left"/>
        </w:trPr>
        <w:tc>
          <w:tcPr>
            <w:tcW w:w="0" w:type="auto"/>
            <w:tcBorders/>
          </w:tcPr>
          <w:p w14:paraId="0000020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w:t>
            </w:r>
          </w:p>
        </w:tc>
        <w:tc>
          <w:tcPr>
            <w:tcW w:w="0" w:type="auto"/>
            <w:tcBorders/>
          </w:tcPr>
          <w:p w14:paraId="0000020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§16</w:t>
            </w:r>
          </w:p>
        </w:tc>
        <w:tc>
          <w:tcPr>
            <w:tcW w:w="0" w:type="auto"/>
            <w:tcBorders/>
          </w:tcPr>
          <w:p w14:paraId="0000020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Optional FK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p>
        </w:tc>
      </w:tr>
      <w:tr w14:paraId="CEE3CC05">
        <w:tblPrEx/>
        <w:trPr>
          <w:cantSplit w:val="false"/>
          <w:tblHeader w:val="false"/>
          <w:jc w:val="left"/>
        </w:trPr>
        <w:tc>
          <w:tcPr>
            <w:tcW w:w="0" w:type="auto"/>
            <w:tcBorders/>
          </w:tcPr>
          <w:p w14:paraId="0000020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Notification</w:t>
            </w:r>
          </w:p>
        </w:tc>
        <w:tc>
          <w:tcPr>
            <w:tcW w:w="0" w:type="auto"/>
            <w:tcBorders/>
          </w:tcPr>
          <w:p w14:paraId="0000020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§13 delivery log</w:t>
            </w:r>
          </w:p>
        </w:tc>
        <w:tc>
          <w:tcPr>
            <w:tcW w:w="0" w:type="auto"/>
            <w:tcBorders/>
          </w:tcPr>
          <w:p w14:paraId="0000020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FK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User</w:t>
            </w:r>
            <w:r>
              <w:rPr>
                <w:rFonts w:ascii="Cambria" w:cs="Cambria" w:eastAsia="Cambria" w:hAnsi="Cambria"/>
                <w:b w:val="false"/>
                <w:bCs w:val="false"/>
                <w:i w:val="false"/>
                <w:iCs w:val="false"/>
                <w:smallCaps w:val="false"/>
                <w:color w:val="000000"/>
                <w:sz w:val="24"/>
                <w:szCs w:val="24"/>
                <w:u w:val="none"/>
                <w:shd w:val="clear" w:color="auto" w:fill="auto"/>
                <w:vertAlign w:val="baseline"/>
              </w:rPr>
              <w:t>, event type, channel, status</w:t>
            </w:r>
          </w:p>
        </w:tc>
      </w:tr>
      <w:tr w14:paraId="4A8F90ED">
        <w:tblPrEx/>
        <w:trPr>
          <w:cantSplit w:val="false"/>
          <w:tblHeader w:val="false"/>
          <w:jc w:val="left"/>
        </w:trPr>
        <w:tc>
          <w:tcPr>
            <w:tcW w:w="0" w:type="auto"/>
            <w:tcBorders/>
          </w:tcPr>
          <w:p w14:paraId="0000020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SLA</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(definition, per ApprovalType+stage)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SLAInstance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(runtime clock per application-stage)</w:t>
            </w:r>
          </w:p>
        </w:tc>
        <w:tc>
          <w:tcPr>
            <w:tcW w:w="0" w:type="auto"/>
            <w:tcBorders/>
          </w:tcPr>
          <w:p w14:paraId="0000020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§12</w:t>
            </w:r>
          </w:p>
        </w:tc>
        <w:tc>
          <w:tcPr>
            <w:tcW w:w="0" w:type="auto"/>
            <w:tcBorders/>
          </w:tcPr>
          <w:p w14:paraId="0000020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SLAInstance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ApplicationStage</w:t>
            </w:r>
          </w:p>
        </w:tc>
      </w:tr>
      <w:tr w14:paraId="293BFA55">
        <w:tblPrEx/>
        <w:trPr>
          <w:cantSplit w:val="false"/>
          <w:tblHeader w:val="false"/>
          <w:jc w:val="left"/>
        </w:trPr>
        <w:tc>
          <w:tcPr>
            <w:tcW w:w="0" w:type="auto"/>
            <w:tcBorders/>
          </w:tcPr>
          <w:p w14:paraId="0000020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AuditLog</w:t>
            </w:r>
          </w:p>
        </w:tc>
        <w:tc>
          <w:tcPr>
            <w:tcW w:w="0" w:type="auto"/>
            <w:tcBorders/>
          </w:tcPr>
          <w:p w14:paraId="0000020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Append-only, §30</w:t>
            </w:r>
          </w:p>
        </w:tc>
        <w:tc>
          <w:tcPr>
            <w:tcW w:w="0" w:type="auto"/>
            <w:tcBorders/>
          </w:tcPr>
          <w:p w14:paraId="0000020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References any entity by type+id, actor, event, before/after where applicable</w:t>
            </w:r>
          </w:p>
        </w:tc>
      </w:tr>
      <w:tr w14:paraId="8630EE43">
        <w:tblPrEx/>
        <w:trPr>
          <w:cantSplit w:val="false"/>
          <w:tblHeader w:val="false"/>
          <w:jc w:val="left"/>
        </w:trPr>
        <w:tc>
          <w:tcPr>
            <w:tcW w:w="0" w:type="auto"/>
            <w:tcBorders/>
          </w:tcPr>
          <w:p w14:paraId="0000020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RegulatoryRule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RegulatoryVersion</w:t>
            </w:r>
          </w:p>
        </w:tc>
        <w:tc>
          <w:tcPr>
            <w:tcW w:w="0" w:type="auto"/>
            <w:tcBorders/>
          </w:tcPr>
          <w:p w14:paraId="0000020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§5</w:t>
            </w:r>
          </w:p>
        </w:tc>
        <w:tc>
          <w:tcPr>
            <w:tcW w:w="0" w:type="auto"/>
            <w:tcBorders/>
          </w:tcPr>
          <w:p w14:paraId="0000020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Layer-1/Layer-2 link as described in §5.2</w:t>
            </w:r>
          </w:p>
        </w:tc>
      </w:tr>
      <w:bookmarkStart w:id="55" w:name="g4zt21dnbwmh" w:colFirst="0" w:colLast="0"/>
      <w:bookmarkEnd w:id="55"/>
    </w:tbl>
    <w:p w14:paraId="0000020F">
      <w:pPr>
        <w:pStyle w:val="style2"/>
        <w:rPr/>
      </w:pPr>
      <w:r>
        <w:rPr/>
        <w:t>23.2 Design Notes</w:t>
      </w:r>
    </w:p>
    <w:p w14:paraId="00000210">
      <w:pPr>
        <w:pStyle w:val="style0"/>
        <w:keepNext w:val="false"/>
        <w:keepLines w:val="false"/>
        <w:pageBreakBefore w:val="false"/>
        <w:widowControl/>
        <w:numPr>
          <w:ilvl w:val="0"/>
          <w:numId w:val="1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Versioning pattern: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WorkflowDefinition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RegulatoryRule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rule-engine entries (§4.3) all use the same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effective_from</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effective_to</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immutable-version-row pattern, rather than three bespoke versioning schemes — reduces cognitive load for whoever maintains this later.</w:t>
      </w:r>
    </w:p>
    <w:p w14:paraId="00000211">
      <w:pPr>
        <w:pStyle w:val="style0"/>
        <w:keepNext w:val="false"/>
        <w:keepLines w:val="false"/>
        <w:pageBreakBefore w:val="false"/>
        <w:widowControl/>
        <w:numPr>
          <w:ilvl w:val="0"/>
          <w:numId w:val="1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Status fields: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every stateful entity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Inspection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Grievance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IncentiveApplication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has an explicit enum status column plus a full history table — never just a mutable status column with no history, since that would break auditability (§30).</w:t>
      </w:r>
    </w:p>
    <w:p w14:paraId="00000212">
      <w:pPr>
        <w:pStyle w:val="style0"/>
        <w:keepNext w:val="false"/>
        <w:keepLines w:val="false"/>
        <w:pageBreakBefore w:val="false"/>
        <w:widowControl/>
        <w:numPr>
          <w:ilvl w:val="0"/>
          <w:numId w:val="1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Data minimisation [RECOMMENDED, per §26]:</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personal data (Aadhaar-like identifiers, personal addresses) is isolated into a small number of tightly access-controlled tables rather than duplicated across every entity that references a person — supports both least-privilege access and any future data-subject deletion/access request.</w:t>
      </w:r>
    </w:p>
    <w:p w14:paraId="00000213">
      <w:pPr>
        <w:pStyle w:val="style0"/>
        <w:keepNext w:val="false"/>
        <w:keepLines w:val="false"/>
        <w:pageBreakBefore w:val="false"/>
        <w:widowControl/>
        <w:numPr>
          <w:ilvl w:val="0"/>
          <w:numId w:val="14"/>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Indexing priorities: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Application.status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Application.department_id + status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officer queues),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SLAInstance.breach_risk</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dashboards),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Document.enterprise_id + verification_status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the reuse feature, §6.2).</w:t>
      </w:r>
    </w:p>
    <w:bookmarkStart w:id="56" w:name="u0o1sxgg61f1" w:colFirst="0" w:colLast="0"/>
    <w:bookmarkEnd w:id="56"/>
    <w:p w14:paraId="00000214">
      <w:pPr>
        <w:pStyle w:val="style1"/>
        <w:rPr/>
      </w:pPr>
      <w:r>
        <w:rPr/>
        <w:t>24. API Design [EXPLICIT]</w:t>
      </w:r>
    </w:p>
    <w:p w14:paraId="0000021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Representative endpoints (illustrative, not exhaustive — full OpenAPI spec is a build-phase deliverable):</w:t>
      </w:r>
    </w:p>
    <w:tbl>
      <w:tblPr>
        <w:tblStyle w:val="style4106"/>
        <w:tblW w:w="7920" w:type="dxa"/>
        <w:jc w:val="left"/>
        <w:tblInd w:w="-108" w:type="dxa"/>
        <w:tblLayout w:type="fixed"/>
        <w:tblLook w:val="0020" w:firstRow="1" w:lastRow="0" w:firstColumn="0" w:lastColumn="0" w:noHBand="0" w:noVBand="0"/>
      </w:tblPr>
      <w:tblGrid>
        <w:gridCol w:w="1584"/>
        <w:gridCol w:w="1584"/>
        <w:gridCol w:w="1584"/>
        <w:gridCol w:w="1584"/>
        <w:gridCol w:w="1584"/>
      </w:tblGrid>
      <w:tr w14:paraId="FF6E8B28">
        <w:trPr>
          <w:cantSplit w:val="false"/>
          <w:tblHeader/>
          <w:jc w:val="left"/>
        </w:trPr>
        <w:tc>
          <w:tcPr>
            <w:tcW w:w="0" w:type="auto"/>
            <w:tcBorders/>
          </w:tcPr>
          <w:p w14:paraId="0000021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Area</w:t>
            </w:r>
          </w:p>
        </w:tc>
        <w:tc>
          <w:tcPr>
            <w:tcW w:w="0" w:type="auto"/>
            <w:tcBorders/>
          </w:tcPr>
          <w:p w14:paraId="0000021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Endpoint (illustrative)</w:t>
            </w:r>
          </w:p>
        </w:tc>
        <w:tc>
          <w:tcPr>
            <w:tcW w:w="0" w:type="auto"/>
            <w:tcBorders/>
          </w:tcPr>
          <w:p w14:paraId="0000021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Method</w:t>
            </w:r>
          </w:p>
        </w:tc>
        <w:tc>
          <w:tcPr>
            <w:tcW w:w="0" w:type="auto"/>
            <w:tcBorders/>
          </w:tcPr>
          <w:p w14:paraId="0000021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Auth</w:t>
            </w:r>
          </w:p>
        </w:tc>
        <w:tc>
          <w:tcPr>
            <w:tcW w:w="0" w:type="auto"/>
            <w:tcBorders/>
          </w:tcPr>
          <w:p w14:paraId="0000021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Purpose</w:t>
            </w:r>
          </w:p>
        </w:tc>
      </w:tr>
      <w:tr w14:paraId="FB93B53C">
        <w:tblPrEx/>
        <w:trPr>
          <w:cantSplit w:val="false"/>
          <w:tblHeader w:val="false"/>
          <w:jc w:val="left"/>
        </w:trPr>
        <w:tc>
          <w:tcPr>
            <w:tcW w:w="0" w:type="auto"/>
            <w:tcBorders/>
          </w:tcPr>
          <w:p w14:paraId="0000021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Auth</w:t>
            </w:r>
          </w:p>
        </w:tc>
        <w:tc>
          <w:tcPr>
            <w:tcW w:w="0" w:type="auto"/>
            <w:tcBorders/>
          </w:tcPr>
          <w:p w14:paraId="0000021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/api/auth/login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/api/auth/refresh</w:t>
            </w:r>
          </w:p>
        </w:tc>
        <w:tc>
          <w:tcPr>
            <w:tcW w:w="0" w:type="auto"/>
            <w:tcBorders/>
          </w:tcPr>
          <w:p w14:paraId="0000021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1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Public → token issuance</w:t>
            </w:r>
          </w:p>
        </w:tc>
        <w:tc>
          <w:tcPr>
            <w:tcW w:w="0" w:type="auto"/>
            <w:tcBorders/>
          </w:tcPr>
          <w:p w14:paraId="0000021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Session establishment</w:t>
            </w:r>
          </w:p>
        </w:tc>
      </w:tr>
      <w:tr w14:paraId="5CF52739">
        <w:tblPrEx/>
        <w:trPr>
          <w:cantSplit w:val="false"/>
          <w:tblHeader w:val="false"/>
          <w:jc w:val="left"/>
        </w:trPr>
        <w:tc>
          <w:tcPr>
            <w:tcW w:w="0" w:type="auto"/>
            <w:tcBorders/>
          </w:tcPr>
          <w:p w14:paraId="0000022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Profile</w:t>
            </w:r>
          </w:p>
        </w:tc>
        <w:tc>
          <w:tcPr>
            <w:tcW w:w="0" w:type="auto"/>
            <w:tcBorders/>
          </w:tcPr>
          <w:p w14:paraId="0000022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/api/enterprises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/api/enterprises/{id}/projects</w:t>
            </w:r>
          </w:p>
        </w:tc>
        <w:tc>
          <w:tcPr>
            <w:tcW w:w="0" w:type="auto"/>
            <w:tcBorders/>
          </w:tcPr>
          <w:p w14:paraId="0000022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GET/POST</w:t>
            </w:r>
          </w:p>
        </w:tc>
        <w:tc>
          <w:tcPr>
            <w:tcW w:w="0" w:type="auto"/>
            <w:tcBorders/>
          </w:tcPr>
          <w:p w14:paraId="0000022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Applicant/Admin scope</w:t>
            </w:r>
          </w:p>
        </w:tc>
        <w:tc>
          <w:tcPr>
            <w:tcW w:w="0" w:type="auto"/>
            <w:tcBorders/>
          </w:tcPr>
          <w:p w14:paraId="0000022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Enterprise &amp; project management</w:t>
            </w:r>
          </w:p>
        </w:tc>
      </w:tr>
      <w:tr w14:paraId="AA00AE0C">
        <w:tblPrEx/>
        <w:trPr>
          <w:cantSplit w:val="false"/>
          <w:tblHeader w:val="false"/>
          <w:jc w:val="left"/>
        </w:trPr>
        <w:tc>
          <w:tcPr>
            <w:tcW w:w="0" w:type="auto"/>
            <w:tcBorders/>
          </w:tcPr>
          <w:p w14:paraId="0000022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Discovery</w:t>
            </w:r>
          </w:p>
        </w:tc>
        <w:tc>
          <w:tcPr>
            <w:tcW w:w="0" w:type="auto"/>
            <w:tcBorders/>
          </w:tcPr>
          <w:p w14:paraId="0000022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/api/discovery/assess</w:t>
            </w:r>
          </w:p>
        </w:tc>
        <w:tc>
          <w:tcPr>
            <w:tcW w:w="0" w:type="auto"/>
            <w:tcBorders/>
          </w:tcPr>
          <w:p w14:paraId="0000022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2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scope</w:t>
            </w:r>
          </w:p>
        </w:tc>
        <w:tc>
          <w:tcPr>
            <w:tcW w:w="0" w:type="auto"/>
            <w:tcBorders/>
          </w:tcPr>
          <w:p w14:paraId="0000022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Runs rule engine (§4) against a Project Profile, returns applicable ApprovalTypes + checklist</w:t>
            </w:r>
          </w:p>
        </w:tc>
      </w:tr>
      <w:tr w14:paraId="0B18CB6E">
        <w:tblPrEx/>
        <w:trPr>
          <w:cantSplit w:val="false"/>
          <w:tblHeader w:val="false"/>
          <w:jc w:val="left"/>
        </w:trPr>
        <w:tc>
          <w:tcPr>
            <w:tcW w:w="0" w:type="auto"/>
            <w:tcBorders/>
          </w:tcPr>
          <w:p w14:paraId="0000022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w:t>
            </w:r>
          </w:p>
        </w:tc>
        <w:tc>
          <w:tcPr>
            <w:tcW w:w="0" w:type="auto"/>
            <w:tcBorders/>
          </w:tcPr>
          <w:p w14:paraId="0000022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/api/applications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/api/applications/{id}</w:t>
            </w:r>
          </w:p>
        </w:tc>
        <w:tc>
          <w:tcPr>
            <w:tcW w:w="0" w:type="auto"/>
            <w:tcBorders/>
          </w:tcPr>
          <w:p w14:paraId="0000022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GET/POST/PATCH</w:t>
            </w:r>
          </w:p>
        </w:tc>
        <w:tc>
          <w:tcPr>
            <w:tcW w:w="0" w:type="auto"/>
            <w:tcBorders/>
          </w:tcPr>
          <w:p w14:paraId="0000022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(own) / Officer (assigned)</w:t>
            </w:r>
          </w:p>
        </w:tc>
        <w:tc>
          <w:tcPr>
            <w:tcW w:w="0" w:type="auto"/>
            <w:tcBorders/>
          </w:tcPr>
          <w:p w14:paraId="0000022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CRUD + stage transitions</w:t>
            </w:r>
          </w:p>
        </w:tc>
      </w:tr>
      <w:tr w14:paraId="5041526E">
        <w:tblPrEx/>
        <w:trPr>
          <w:cantSplit w:val="false"/>
          <w:tblHeader w:val="false"/>
          <w:jc w:val="left"/>
        </w:trPr>
        <w:tc>
          <w:tcPr>
            <w:tcW w:w="0" w:type="auto"/>
            <w:tcBorders/>
          </w:tcPr>
          <w:p w14:paraId="0000022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Documents</w:t>
            </w:r>
          </w:p>
        </w:tc>
        <w:tc>
          <w:tcPr>
            <w:tcW w:w="0" w:type="auto"/>
            <w:tcBorders/>
          </w:tcPr>
          <w:p w14:paraId="0000023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/api/documents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/api/documents/{id}/verify</w:t>
            </w:r>
          </w:p>
        </w:tc>
        <w:tc>
          <w:tcPr>
            <w:tcW w:w="0" w:type="auto"/>
            <w:tcBorders/>
          </w:tcPr>
          <w:p w14:paraId="0000023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POST/PATCH</w:t>
            </w:r>
          </w:p>
        </w:tc>
        <w:tc>
          <w:tcPr>
            <w:tcW w:w="0" w:type="auto"/>
            <w:tcBorders/>
          </w:tcPr>
          <w:p w14:paraId="0000023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(upload) / Officer (verify)</w:t>
            </w:r>
          </w:p>
        </w:tc>
        <w:tc>
          <w:tcPr>
            <w:tcW w:w="0" w:type="auto"/>
            <w:tcBorders/>
          </w:tcPr>
          <w:p w14:paraId="0000023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Document lifecycle (§6)</w:t>
            </w:r>
          </w:p>
        </w:tc>
      </w:tr>
      <w:tr w14:paraId="331E7845">
        <w:tblPrEx/>
        <w:trPr>
          <w:cantSplit w:val="false"/>
          <w:tblHeader w:val="false"/>
          <w:jc w:val="left"/>
        </w:trPr>
        <w:tc>
          <w:tcPr>
            <w:tcW w:w="0" w:type="auto"/>
            <w:tcBorders/>
          </w:tcPr>
          <w:p w14:paraId="0000023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Validation</w:t>
            </w:r>
          </w:p>
        </w:tc>
        <w:tc>
          <w:tcPr>
            <w:tcW w:w="0" w:type="auto"/>
            <w:tcBorders/>
          </w:tcPr>
          <w:p w14:paraId="0000023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/api/applications/{id}/pre-validate</w:t>
            </w:r>
          </w:p>
        </w:tc>
        <w:tc>
          <w:tcPr>
            <w:tcW w:w="0" w:type="auto"/>
            <w:tcBorders/>
          </w:tcPr>
          <w:p w14:paraId="0000023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3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Applicant/Officer</w:t>
            </w:r>
          </w:p>
        </w:tc>
        <w:tc>
          <w:tcPr>
            <w:tcW w:w="0" w:type="auto"/>
            <w:tcBorders/>
          </w:tcPr>
          <w:p w14:paraId="0000023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Runs §7 checks, returns tiered results</w:t>
            </w:r>
          </w:p>
        </w:tc>
      </w:tr>
      <w:tr w14:paraId="9FE0F16B">
        <w:tblPrEx/>
        <w:trPr>
          <w:cantSplit w:val="false"/>
          <w:tblHeader w:val="false"/>
          <w:jc w:val="left"/>
        </w:trPr>
        <w:tc>
          <w:tcPr>
            <w:tcW w:w="0" w:type="auto"/>
            <w:tcBorders/>
          </w:tcPr>
          <w:p w14:paraId="0000023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Workflow</w:t>
            </w:r>
          </w:p>
        </w:tc>
        <w:tc>
          <w:tcPr>
            <w:tcW w:w="0" w:type="auto"/>
            <w:tcBorders/>
          </w:tcPr>
          <w:p w14:paraId="0000023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/api/applications/{id}/transition</w:t>
            </w:r>
          </w:p>
        </w:tc>
        <w:tc>
          <w:tcPr>
            <w:tcW w:w="0" w:type="auto"/>
            <w:tcBorders/>
          </w:tcPr>
          <w:p w14:paraId="0000023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POST</w:t>
            </w:r>
          </w:p>
        </w:tc>
        <w:tc>
          <w:tcPr>
            <w:tcW w:w="0" w:type="auto"/>
            <w:tcBorders/>
          </w:tcPr>
          <w:p w14:paraId="0000023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Officer (role-scoped per transition)</w:t>
            </w:r>
          </w:p>
        </w:tc>
        <w:tc>
          <w:tcPr>
            <w:tcW w:w="0" w:type="auto"/>
            <w:tcBorders/>
          </w:tcPr>
          <w:p w14:paraId="0000023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Advances state machine (§3.2), logs audit event</w:t>
            </w:r>
          </w:p>
        </w:tc>
      </w:tr>
      <w:tr w14:paraId="8573623C">
        <w:tblPrEx/>
        <w:trPr>
          <w:cantSplit w:val="false"/>
          <w:tblHeader w:val="false"/>
          <w:jc w:val="left"/>
        </w:trPr>
        <w:tc>
          <w:tcPr>
            <w:tcW w:w="0" w:type="auto"/>
            <w:tcBorders/>
          </w:tcPr>
          <w:p w14:paraId="0000023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Inspection</w:t>
            </w:r>
          </w:p>
        </w:tc>
        <w:tc>
          <w:tcPr>
            <w:tcW w:w="0" w:type="auto"/>
            <w:tcBorders/>
          </w:tcPr>
          <w:p w14:paraId="0000023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/api/inspections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/api/inspections/{id}/report</w:t>
            </w:r>
          </w:p>
        </w:tc>
        <w:tc>
          <w:tcPr>
            <w:tcW w:w="0" w:type="auto"/>
            <w:tcBorders/>
          </w:tcPr>
          <w:p w14:paraId="0000024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GET/POST</w:t>
            </w:r>
          </w:p>
        </w:tc>
        <w:tc>
          <w:tcPr>
            <w:tcW w:w="0" w:type="auto"/>
            <w:tcBorders/>
          </w:tcPr>
          <w:p w14:paraId="0000024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Inspector/Officer</w:t>
            </w:r>
          </w:p>
        </w:tc>
        <w:tc>
          <w:tcPr>
            <w:tcW w:w="0" w:type="auto"/>
            <w:tcBorders/>
          </w:tcPr>
          <w:p w14:paraId="0000024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§10</w:t>
            </w:r>
          </w:p>
        </w:tc>
      </w:tr>
      <w:tr w14:paraId="205D1086">
        <w:tblPrEx/>
        <w:trPr>
          <w:cantSplit w:val="false"/>
          <w:tblHeader w:val="false"/>
          <w:jc w:val="left"/>
        </w:trPr>
        <w:tc>
          <w:tcPr>
            <w:tcW w:w="0" w:type="auto"/>
            <w:tcBorders/>
          </w:tcPr>
          <w:p w14:paraId="0000024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Compliance</w:t>
            </w:r>
          </w:p>
        </w:tc>
        <w:tc>
          <w:tcPr>
            <w:tcW w:w="0" w:type="auto"/>
            <w:tcBorders/>
          </w:tcPr>
          <w:p w14:paraId="0000024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/api/applications/{id}/compliance</w:t>
            </w:r>
          </w:p>
        </w:tc>
        <w:tc>
          <w:tcPr>
            <w:tcW w:w="0" w:type="auto"/>
            <w:tcBorders/>
          </w:tcPr>
          <w:p w14:paraId="0000024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4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Applicant/Officer</w:t>
            </w:r>
          </w:p>
        </w:tc>
        <w:tc>
          <w:tcPr>
            <w:tcW w:w="0" w:type="auto"/>
            <w:tcBorders/>
          </w:tcPr>
          <w:p w14:paraId="0000024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§14 status</w:t>
            </w:r>
          </w:p>
        </w:tc>
      </w:tr>
      <w:tr w14:paraId="341D76C5">
        <w:tblPrEx/>
        <w:trPr>
          <w:cantSplit w:val="false"/>
          <w:tblHeader w:val="false"/>
          <w:jc w:val="left"/>
        </w:trPr>
        <w:tc>
          <w:tcPr>
            <w:tcW w:w="0" w:type="auto"/>
            <w:tcBorders/>
          </w:tcPr>
          <w:p w14:paraId="0000024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Schemes</w:t>
            </w:r>
          </w:p>
        </w:tc>
        <w:tc>
          <w:tcPr>
            <w:tcW w:w="0" w:type="auto"/>
            <w:tcBorders/>
          </w:tcPr>
          <w:p w14:paraId="0000024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/api/schemes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/api/schemes/recommendations</w:t>
            </w:r>
          </w:p>
        </w:tc>
        <w:tc>
          <w:tcPr>
            <w:tcW w:w="0" w:type="auto"/>
            <w:tcBorders/>
          </w:tcPr>
          <w:p w14:paraId="0000024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4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w:t>
            </w:r>
          </w:p>
        </w:tc>
        <w:tc>
          <w:tcPr>
            <w:tcW w:w="0" w:type="auto"/>
            <w:tcBorders/>
          </w:tcPr>
          <w:p w14:paraId="0000024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§15</w:t>
            </w:r>
          </w:p>
        </w:tc>
      </w:tr>
      <w:tr w14:paraId="A0299AFB">
        <w:tblPrEx/>
        <w:trPr>
          <w:cantSplit w:val="false"/>
          <w:tblHeader w:val="false"/>
          <w:jc w:val="left"/>
        </w:trPr>
        <w:tc>
          <w:tcPr>
            <w:tcW w:w="0" w:type="auto"/>
            <w:tcBorders/>
          </w:tcPr>
          <w:p w14:paraId="0000024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Grievances</w:t>
            </w:r>
          </w:p>
        </w:tc>
        <w:tc>
          <w:tcPr>
            <w:tcW w:w="0" w:type="auto"/>
            <w:tcBorders/>
          </w:tcPr>
          <w:p w14:paraId="0000024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/api/grievances</w:t>
            </w:r>
          </w:p>
        </w:tc>
        <w:tc>
          <w:tcPr>
            <w:tcW w:w="0" w:type="auto"/>
            <w:tcBorders/>
          </w:tcPr>
          <w:p w14:paraId="0000024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GET/POST/PATCH</w:t>
            </w:r>
          </w:p>
        </w:tc>
        <w:tc>
          <w:tcPr>
            <w:tcW w:w="0" w:type="auto"/>
            <w:tcBorders/>
          </w:tcPr>
          <w:p w14:paraId="0000025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Applicant/Grievance Officer</w:t>
            </w:r>
          </w:p>
        </w:tc>
        <w:tc>
          <w:tcPr>
            <w:tcW w:w="0" w:type="auto"/>
            <w:tcBorders/>
          </w:tcPr>
          <w:p w14:paraId="0000025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§16</w:t>
            </w:r>
          </w:p>
        </w:tc>
      </w:tr>
      <w:tr w14:paraId="B8C526D5">
        <w:tblPrEx/>
        <w:trPr>
          <w:cantSplit w:val="false"/>
          <w:tblHeader w:val="false"/>
          <w:jc w:val="left"/>
        </w:trPr>
        <w:tc>
          <w:tcPr>
            <w:tcW w:w="0" w:type="auto"/>
            <w:tcBorders/>
          </w:tcPr>
          <w:p w14:paraId="0000025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Notifications</w:t>
            </w:r>
          </w:p>
        </w:tc>
        <w:tc>
          <w:tcPr>
            <w:tcW w:w="0" w:type="auto"/>
            <w:tcBorders/>
          </w:tcPr>
          <w:p w14:paraId="0000025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/api/notifications/preferences</w:t>
            </w:r>
          </w:p>
        </w:tc>
        <w:tc>
          <w:tcPr>
            <w:tcW w:w="0" w:type="auto"/>
            <w:tcBorders/>
          </w:tcPr>
          <w:p w14:paraId="0000025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GET/PATCH</w:t>
            </w:r>
          </w:p>
        </w:tc>
        <w:tc>
          <w:tcPr>
            <w:tcW w:w="0" w:type="auto"/>
            <w:tcBorders/>
          </w:tcPr>
          <w:p w14:paraId="0000025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Any user</w:t>
            </w:r>
          </w:p>
        </w:tc>
        <w:tc>
          <w:tcPr>
            <w:tcW w:w="0" w:type="auto"/>
            <w:tcBorders/>
          </w:tcPr>
          <w:p w14:paraId="0000025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§13</w:t>
            </w:r>
          </w:p>
        </w:tc>
      </w:tr>
      <w:tr w14:paraId="0F374855">
        <w:tblPrEx/>
        <w:trPr>
          <w:cantSplit w:val="false"/>
          <w:tblHeader w:val="false"/>
          <w:jc w:val="left"/>
        </w:trPr>
        <w:tc>
          <w:tcPr>
            <w:tcW w:w="0" w:type="auto"/>
            <w:tcBorders/>
          </w:tcPr>
          <w:p w14:paraId="0000025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Analytics</w:t>
            </w:r>
          </w:p>
        </w:tc>
        <w:tc>
          <w:tcPr>
            <w:tcW w:w="0" w:type="auto"/>
            <w:tcBorders/>
          </w:tcPr>
          <w:p w14:paraId="0000025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onsolas" w:cs="Consolas" w:eastAsia="Consolas" w:hAnsi="Consolas"/>
                <w:b w:val="false"/>
                <w:bCs w:val="false"/>
                <w:i w:val="false"/>
                <w:iCs w:val="false"/>
                <w:smallCaps w:val="false"/>
                <w:color w:val="000000"/>
                <w:sz w:val="22"/>
                <w:szCs w:val="22"/>
                <w:u w:val="none"/>
                <w:shd w:val="clear" w:color="auto" w:fill="auto"/>
                <w:vertAlign w:val="baseline"/>
              </w:rPr>
              <w:t>/api/analytics/kpis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/api/analytics/export</w:t>
            </w:r>
          </w:p>
        </w:tc>
        <w:tc>
          <w:tcPr>
            <w:tcW w:w="0" w:type="auto"/>
            <w:tcBorders/>
          </w:tcPr>
          <w:p w14:paraId="0000025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GET</w:t>
            </w:r>
          </w:p>
        </w:tc>
        <w:tc>
          <w:tcPr>
            <w:tcW w:w="0" w:type="auto"/>
            <w:tcBorders/>
          </w:tcPr>
          <w:p w14:paraId="0000025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Admin/Leadership (export logged)</w:t>
            </w:r>
          </w:p>
        </w:tc>
        <w:tc>
          <w:tcPr>
            <w:tcW w:w="0" w:type="auto"/>
            <w:tcBorders/>
          </w:tcPr>
          <w:p w14:paraId="0000025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§19</w:t>
            </w:r>
          </w:p>
        </w:tc>
      </w:tr>
    </w:tbl>
    <w:p w14:paraId="0000025C">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Every write endpoint validates authorization at the </w:t>
      </w:r>
      <w:r>
        <w:rPr>
          <w:rFonts w:ascii="Cambria" w:cs="Cambria" w:eastAsia="Cambria" w:hAnsi="Cambria"/>
          <w:b/>
          <w:bCs/>
          <w:i w:val="false"/>
          <w:iCs w:val="false"/>
          <w:smallCaps w:val="false"/>
          <w:color w:val="000000"/>
          <w:sz w:val="24"/>
          <w:szCs w:val="24"/>
          <w:u w:val="none"/>
          <w:shd w:val="clear" w:color="auto" w:fill="auto"/>
          <w:vertAlign w:val="baseline"/>
        </w:rPr>
        <w:t>object-instance level</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(e.g., an Officer can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PATCH</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only applications assigned to their department/queue), not just at the role level — this distinction matters enormously for a multi-department system and is elaborated in §28’s ABAC discussion.</w:t>
      </w:r>
    </w:p>
    <w:p w14:paraId="0000025D">
      <w:pPr>
        <w:pStyle w:val="style0"/>
        <w:rPr/>
      </w:pPr>
      <w:r>
        <w:rPr/>
        <w:pict>
          <v:rect id="1047" fillcolor="#a0a0a0" stroked="f" style="margin-left:0.0pt;margin-top:0.0pt;width:0.0pt;height:1.5pt;mso-wrap-distance-left:0.0pt;mso-wrap-distance-right:0.0pt;visibility:visible;" o:hr="t" o:hralign="center" o:hrstd="t">
            <v:stroke on="f"/>
            <v:fill/>
          </v:rect>
        </w:pict>
      </w:r>
    </w:p>
    <w:bookmarkStart w:id="57" w:name="yuj7z8sk1apo" w:colFirst="0" w:colLast="0"/>
    <w:bookmarkEnd w:id="57"/>
    <w:p w14:paraId="0000025E">
      <w:pPr>
        <w:pStyle w:val="style1"/>
        <w:rPr/>
      </w:pPr>
      <w:r>
        <w:rPr/>
        <w:t>25. Government Integrations [EXPLICIT — “Do NOT claim that a specific API exists unless verified”]</w:t>
      </w:r>
    </w:p>
    <w:tbl>
      <w:tblPr>
        <w:tblStyle w:val="style4107"/>
        <w:tblW w:w="7920" w:type="dxa"/>
        <w:jc w:val="left"/>
        <w:tblInd w:w="-108" w:type="dxa"/>
        <w:tblLayout w:type="fixed"/>
        <w:tblLook w:val="0020" w:firstRow="1" w:lastRow="0" w:firstColumn="0" w:lastColumn="0" w:noHBand="0" w:noVBand="0"/>
      </w:tblPr>
      <w:tblGrid>
        <w:gridCol w:w="2640"/>
        <w:gridCol w:w="2640"/>
        <w:gridCol w:w="2640"/>
      </w:tblGrid>
      <w:tr w14:paraId="FAA4C5FE">
        <w:trPr>
          <w:cantSplit w:val="false"/>
          <w:tblHeader/>
          <w:jc w:val="left"/>
        </w:trPr>
        <w:tc>
          <w:tcPr>
            <w:tcW w:w="0" w:type="auto"/>
            <w:tcBorders/>
          </w:tcPr>
          <w:p w14:paraId="0000025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Category</w:t>
            </w:r>
          </w:p>
        </w:tc>
        <w:tc>
          <w:tcPr>
            <w:tcW w:w="0" w:type="auto"/>
            <w:tcBorders/>
          </w:tcPr>
          <w:p w14:paraId="0000026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Example Purpose</w:t>
            </w:r>
          </w:p>
        </w:tc>
        <w:tc>
          <w:tcPr>
            <w:tcW w:w="0" w:type="auto"/>
            <w:tcBorders/>
          </w:tcPr>
          <w:p w14:paraId="0000026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Status</w:t>
            </w:r>
          </w:p>
        </w:tc>
      </w:tr>
      <w:tr w14:paraId="4997B2CD">
        <w:tblPrEx/>
        <w:trPr>
          <w:cantSplit w:val="false"/>
          <w:tblHeader w:val="false"/>
          <w:jc w:val="left"/>
        </w:trPr>
        <w:tc>
          <w:tcPr>
            <w:tcW w:w="0" w:type="auto"/>
            <w:tcBorders/>
          </w:tcPr>
          <w:p w14:paraId="0000026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Identity verification</w:t>
            </w:r>
          </w:p>
        </w:tc>
        <w:tc>
          <w:tcPr>
            <w:tcW w:w="0" w:type="auto"/>
            <w:tcBorders/>
          </w:tcPr>
          <w:p w14:paraId="0000026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Applicant identity confirmation</w:t>
            </w:r>
          </w:p>
        </w:tc>
        <w:tc>
          <w:tcPr>
            <w:tcW w:w="0" w:type="auto"/>
            <w:tcBorders/>
          </w:tcPr>
          <w:p w14:paraId="0000026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Likely but Requires Confirmation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exact identity system and integration method To Be Validated with Government Department</w:t>
            </w:r>
          </w:p>
        </w:tc>
      </w:tr>
      <w:tr w14:paraId="1C34D514">
        <w:tblPrEx/>
        <w:trPr>
          <w:cantSplit w:val="false"/>
          <w:tblHeader w:val="false"/>
          <w:jc w:val="left"/>
        </w:trPr>
        <w:tc>
          <w:tcPr>
            <w:tcW w:w="0" w:type="auto"/>
            <w:tcBorders/>
          </w:tcPr>
          <w:p w14:paraId="0000026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Digital signature / e-Sign</w:t>
            </w:r>
          </w:p>
        </w:tc>
        <w:tc>
          <w:tcPr>
            <w:tcW w:w="0" w:type="auto"/>
            <w:tcBorders/>
          </w:tcPr>
          <w:p w14:paraId="0000026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Certificate issuance, officer sign-off</w:t>
            </w:r>
          </w:p>
        </w:tc>
        <w:tc>
          <w:tcPr>
            <w:tcW w:w="0" w:type="auto"/>
            <w:tcBorders/>
          </w:tcPr>
          <w:p w14:paraId="0000026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Likely but Requires Confirmation</w:t>
            </w:r>
          </w:p>
        </w:tc>
      </w:tr>
      <w:tr w14:paraId="C4F07FBE">
        <w:tblPrEx/>
        <w:trPr>
          <w:cantSplit w:val="false"/>
          <w:tblHeader w:val="false"/>
          <w:jc w:val="left"/>
        </w:trPr>
        <w:tc>
          <w:tcPr>
            <w:tcW w:w="0" w:type="auto"/>
            <w:tcBorders/>
          </w:tcPr>
          <w:p w14:paraId="0000026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Payment gateway</w:t>
            </w:r>
          </w:p>
        </w:tc>
        <w:tc>
          <w:tcPr>
            <w:tcW w:w="0" w:type="auto"/>
            <w:tcBorders/>
          </w:tcPr>
          <w:p w14:paraId="0000026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Application/scheme fees</w:t>
            </w:r>
          </w:p>
        </w:tc>
        <w:tc>
          <w:tcPr>
            <w:tcW w:w="0" w:type="auto"/>
            <w:tcBorders/>
          </w:tcPr>
          <w:p w14:paraId="0000026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Likely but Requires Confirmation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fee structure itself To Be Validated</w:t>
            </w:r>
          </w:p>
        </w:tc>
      </w:tr>
      <w:tr w14:paraId="0DB1D94D">
        <w:tblPrEx/>
        <w:trPr>
          <w:cantSplit w:val="false"/>
          <w:tblHeader w:val="false"/>
          <w:jc w:val="left"/>
        </w:trPr>
        <w:tc>
          <w:tcPr>
            <w:tcW w:w="0" w:type="auto"/>
            <w:tcBorders/>
          </w:tcPr>
          <w:p w14:paraId="0000026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Business/enterprise registries (e.g., existing MSME/company registration records)</w:t>
            </w:r>
          </w:p>
        </w:tc>
        <w:tc>
          <w:tcPr>
            <w:tcW w:w="0" w:type="auto"/>
            <w:tcBorders/>
          </w:tcPr>
          <w:p w14:paraId="0000026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Pre-fill enterprise data, avoid re-entry</w:t>
            </w:r>
          </w:p>
        </w:tc>
        <w:tc>
          <w:tcPr>
            <w:tcW w:w="0" w:type="auto"/>
            <w:tcBorders/>
          </w:tcPr>
          <w:p w14:paraId="0000026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Likely but Requires Confirmation</w:t>
            </w:r>
          </w:p>
        </w:tc>
      </w:tr>
      <w:tr w14:paraId="B301D0AF">
        <w:tblPrEx/>
        <w:trPr>
          <w:cantSplit w:val="false"/>
          <w:tblHeader w:val="false"/>
          <w:jc w:val="left"/>
        </w:trPr>
        <w:tc>
          <w:tcPr>
            <w:tcW w:w="0" w:type="auto"/>
            <w:tcBorders/>
          </w:tcPr>
          <w:p w14:paraId="0000026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Existing department approval systems</w:t>
            </w:r>
          </w:p>
        </w:tc>
        <w:tc>
          <w:tcPr>
            <w:tcW w:w="0" w:type="auto"/>
            <w:tcBorders/>
          </w:tcPr>
          <w:p w14:paraId="0000026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Avoid duplicate systems of record; fetch status/history</w:t>
            </w:r>
          </w:p>
        </w:tc>
        <w:tc>
          <w:tcPr>
            <w:tcW w:w="0" w:type="auto"/>
            <w:tcBorders/>
          </w:tcPr>
          <w:p w14:paraId="0000027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To Be Validated per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this is the single most important integration question in the whole project and cannot be assumed</w:t>
            </w:r>
          </w:p>
        </w:tc>
      </w:tr>
      <w:tr w14:paraId="8A2CA194">
        <w:tblPrEx/>
        <w:trPr>
          <w:cantSplit w:val="false"/>
          <w:tblHeader w:val="false"/>
          <w:jc w:val="left"/>
        </w:trPr>
        <w:tc>
          <w:tcPr>
            <w:tcW w:w="0" w:type="auto"/>
            <w:tcBorders/>
          </w:tcPr>
          <w:p w14:paraId="0000027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SMS/Email gateway</w:t>
            </w:r>
          </w:p>
        </w:tc>
        <w:tc>
          <w:tcPr>
            <w:tcW w:w="0" w:type="auto"/>
            <w:tcBorders/>
          </w:tcPr>
          <w:p w14:paraId="0000027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Notifications (§13)</w:t>
            </w:r>
          </w:p>
        </w:tc>
        <w:tc>
          <w:tcPr>
            <w:tcW w:w="0" w:type="auto"/>
            <w:tcBorders/>
          </w:tcPr>
          <w:p w14:paraId="0000027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Future Integration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any government-empanelled gateway; specific vendor To Be Validated</w:t>
            </w:r>
          </w:p>
        </w:tc>
      </w:tr>
      <w:tr w14:paraId="6834A986">
        <w:tblPrEx/>
        <w:trPr>
          <w:cantSplit w:val="false"/>
          <w:tblHeader w:val="false"/>
          <w:jc w:val="left"/>
        </w:trPr>
        <w:tc>
          <w:tcPr>
            <w:tcW w:w="0" w:type="auto"/>
            <w:tcBorders/>
          </w:tcPr>
          <w:p w14:paraId="0000027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GIS/location services</w:t>
            </w:r>
          </w:p>
        </w:tc>
        <w:tc>
          <w:tcPr>
            <w:tcW w:w="0" w:type="auto"/>
            <w:tcBorders/>
          </w:tcPr>
          <w:p w14:paraId="0000027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Site location capture, jurisdiction routing</w:t>
            </w:r>
          </w:p>
        </w:tc>
        <w:tc>
          <w:tcPr>
            <w:tcW w:w="0" w:type="auto"/>
            <w:tcBorders/>
          </w:tcPr>
          <w:p w14:paraId="0000027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Future Integration</w:t>
            </w:r>
          </w:p>
        </w:tc>
      </w:tr>
      <w:tr w14:paraId="88857623">
        <w:tblPrEx/>
        <w:trPr>
          <w:cantSplit w:val="false"/>
          <w:tblHeader w:val="false"/>
          <w:jc w:val="left"/>
        </w:trPr>
        <w:tc>
          <w:tcPr>
            <w:tcW w:w="0" w:type="auto"/>
            <w:tcBorders/>
          </w:tcPr>
          <w:p w14:paraId="0000027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Scheme/incentive databases</w:t>
            </w:r>
          </w:p>
        </w:tc>
        <w:tc>
          <w:tcPr>
            <w:tcW w:w="0" w:type="auto"/>
            <w:tcBorders/>
          </w:tcPr>
          <w:p w14:paraId="0000027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Scheme catalogue sourcing</w:t>
            </w:r>
          </w:p>
        </w:tc>
        <w:tc>
          <w:tcPr>
            <w:tcW w:w="0" w:type="auto"/>
            <w:tcBorders/>
          </w:tcPr>
          <w:p w14:paraId="0000027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Likely but Requires Confirmation</w:t>
            </w:r>
          </w:p>
        </w:tc>
      </w:tr>
    </w:tbl>
    <w:p w14:paraId="0000027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For every integration ultimately confirmed: purpose, exact data exchanged (with a data-minimisation review, §27), direction, authentication method, retry/failure handling, and audit logging are all mandatory before go-live — none of these can be “TBD” once an integration is live in production, only during design.</w:t>
      </w:r>
    </w:p>
    <w:p w14:paraId="0000027B">
      <w:pPr>
        <w:pStyle w:val="style0"/>
        <w:rPr/>
      </w:pPr>
      <w:r>
        <w:rPr/>
        <w:pict>
          <v:rect id="1048" fillcolor="#a0a0a0" stroked="f" style="margin-left:0.0pt;margin-top:0.0pt;width:0.0pt;height:1.5pt;mso-wrap-distance-left:0.0pt;mso-wrap-distance-right:0.0pt;visibility:visible;" o:hr="t" o:hralign="center" o:hrstd="t">
            <v:stroke on="f"/>
            <v:fill/>
          </v:rect>
        </w:pict>
      </w:r>
    </w:p>
    <w:bookmarkStart w:id="58" w:name="i18m2sn0njer" w:colFirst="0" w:colLast="0"/>
    <w:bookmarkEnd w:id="58"/>
    <w:p w14:paraId="0000027C">
      <w:pPr>
        <w:pStyle w:val="style1"/>
        <w:rPr/>
      </w:pPr>
      <w:r>
        <w:rPr/>
        <w:t>26. Security Architecture [EXPLICIT — “Treat this as a government-grade system”]</w:t>
      </w:r>
    </w:p>
    <w:p w14:paraId="0000027D">
      <w:pPr>
        <w:pStyle w:val="style0"/>
        <w:keepNext w:val="false"/>
        <w:keepLines w:val="false"/>
        <w:pageBreakBefore w:val="false"/>
        <w:widowControl/>
        <w:numPr>
          <w:ilvl w:val="0"/>
          <w:numId w:val="1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Authentication: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strong password policy + </w:t>
      </w:r>
      <w:r>
        <w:rPr>
          <w:rFonts w:ascii="Cambria" w:cs="Cambria" w:eastAsia="Cambria" w:hAnsi="Cambria"/>
          <w:b/>
          <w:bCs/>
          <w:i w:val="false"/>
          <w:iCs w:val="false"/>
          <w:smallCaps w:val="false"/>
          <w:color w:val="000000"/>
          <w:sz w:val="24"/>
          <w:szCs w:val="24"/>
          <w:u w:val="none"/>
          <w:shd w:val="clear" w:color="auto" w:fill="auto"/>
          <w:vertAlign w:val="baseline"/>
        </w:rPr>
        <w:t>MFA mandatory for all officer/admin roles</w:t>
      </w:r>
      <w:r>
        <w:rPr>
          <w:rFonts w:ascii="Cambria" w:cs="Cambria" w:eastAsia="Cambria" w:hAnsi="Cambria"/>
          <w:b w:val="false"/>
          <w:bCs w:val="false"/>
          <w:i w:val="false"/>
          <w:iCs w:val="false"/>
          <w:smallCaps w:val="false"/>
          <w:color w:val="000000"/>
          <w:sz w:val="24"/>
          <w:szCs w:val="24"/>
          <w:u w:val="none"/>
          <w:shd w:val="clear" w:color="auto" w:fill="auto"/>
          <w:vertAlign w:val="baseline"/>
        </w:rPr>
        <w:t>, recommended (not yet mandatory pending policy) for applicants [RECOMMENDED].</w:t>
      </w:r>
    </w:p>
    <w:p w14:paraId="0000027E">
      <w:pPr>
        <w:pStyle w:val="style0"/>
        <w:keepNext w:val="false"/>
        <w:keepLines w:val="false"/>
        <w:pageBreakBefore w:val="false"/>
        <w:widowControl/>
        <w:numPr>
          <w:ilvl w:val="0"/>
          <w:numId w:val="1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Authorization: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RBAC for coarse role-based permissions (§28 matrix) layered with </w:t>
      </w:r>
      <w:r>
        <w:rPr>
          <w:rFonts w:ascii="Cambria" w:cs="Cambria" w:eastAsia="Cambria" w:hAnsi="Cambria"/>
          <w:b/>
          <w:bCs/>
          <w:i w:val="false"/>
          <w:iCs w:val="false"/>
          <w:smallCaps w:val="false"/>
          <w:color w:val="000000"/>
          <w:sz w:val="24"/>
          <w:szCs w:val="24"/>
          <w:u w:val="none"/>
          <w:shd w:val="clear" w:color="auto" w:fill="auto"/>
          <w:vertAlign w:val="baseline"/>
        </w:rPr>
        <w:t>ABAC</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for instance-level checks (e.g., “this officer’s department_id matches this application’s routed department_id”) — RBAC alone is insufficient in a multi-department system.</w:t>
      </w:r>
    </w:p>
    <w:p w14:paraId="0000027F">
      <w:pPr>
        <w:pStyle w:val="style0"/>
        <w:keepNext w:val="false"/>
        <w:keepLines w:val="false"/>
        <w:pageBreakBefore w:val="false"/>
        <w:widowControl/>
        <w:numPr>
          <w:ilvl w:val="0"/>
          <w:numId w:val="1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Session management: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short-lived access tokens + refresh tokens, forced re-auth for high-sensitivity actions (e.g., final approval, permission changes).</w:t>
      </w:r>
    </w:p>
    <w:p w14:paraId="00000280">
      <w:pPr>
        <w:pStyle w:val="style0"/>
        <w:keepNext w:val="false"/>
        <w:keepLines w:val="false"/>
        <w:pageBreakBefore w:val="false"/>
        <w:widowControl/>
        <w:numPr>
          <w:ilvl w:val="0"/>
          <w:numId w:val="1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Encryption: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TLS in transit everywhere; encryption at rest for the database and document store, with </w:t>
      </w:r>
      <w:r>
        <w:rPr>
          <w:rFonts w:ascii="Cambria" w:cs="Cambria" w:eastAsia="Cambria" w:hAnsi="Cambria"/>
          <w:b/>
          <w:bCs/>
          <w:i w:val="false"/>
          <w:iCs w:val="false"/>
          <w:smallCaps w:val="false"/>
          <w:color w:val="000000"/>
          <w:sz w:val="24"/>
          <w:szCs w:val="24"/>
          <w:u w:val="none"/>
          <w:shd w:val="clear" w:color="auto" w:fill="auto"/>
          <w:vertAlign w:val="baseline"/>
        </w:rPr>
        <w:t>envelope encryption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and a managed Key Management Service — keys never stored alongside the data they protect.</w:t>
      </w:r>
    </w:p>
    <w:p w14:paraId="00000281">
      <w:pPr>
        <w:pStyle w:val="style0"/>
        <w:keepNext w:val="false"/>
        <w:keepLines w:val="false"/>
        <w:pageBreakBefore w:val="false"/>
        <w:widowControl/>
        <w:numPr>
          <w:ilvl w:val="0"/>
          <w:numId w:val="1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API security: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rate limiting per user/IP, input validation at the gateway, WAF in front of all public-facing endpoints.</w:t>
      </w:r>
    </w:p>
    <w:p w14:paraId="00000282">
      <w:pPr>
        <w:pStyle w:val="style0"/>
        <w:keepNext w:val="false"/>
        <w:keepLines w:val="false"/>
        <w:pageBreakBefore w:val="false"/>
        <w:widowControl/>
        <w:numPr>
          <w:ilvl w:val="0"/>
          <w:numId w:val="1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File security: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mandatory malware scan on every upload before it is stored or made visible to any officer.</w:t>
      </w:r>
    </w:p>
    <w:p w14:paraId="00000283">
      <w:pPr>
        <w:pStyle w:val="style0"/>
        <w:keepNext w:val="false"/>
        <w:keepLines w:val="false"/>
        <w:pageBreakBefore w:val="false"/>
        <w:widowControl/>
        <w:numPr>
          <w:ilvl w:val="0"/>
          <w:numId w:val="1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Audit logs: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append-only, tamper-evident (e.g., hash-chained log entries), replicated separately from operational data.</w:t>
      </w:r>
    </w:p>
    <w:p w14:paraId="00000284">
      <w:pPr>
        <w:pStyle w:val="style0"/>
        <w:keepNext w:val="false"/>
        <w:keepLines w:val="false"/>
        <w:pageBreakBefore w:val="false"/>
        <w:widowControl/>
        <w:numPr>
          <w:ilvl w:val="0"/>
          <w:numId w:val="1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Monitoring: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security event monitoring/alerting, scheduled vulnerability scanning, and a documented patch-management cadence.</w:t>
      </w:r>
    </w:p>
    <w:p w14:paraId="00000285">
      <w:pPr>
        <w:pStyle w:val="style0"/>
        <w:keepNext w:val="false"/>
        <w:keepLines w:val="false"/>
        <w:pageBreakBefore w:val="false"/>
        <w:widowControl/>
        <w:numPr>
          <w:ilvl w:val="0"/>
          <w:numId w:val="1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Backup &amp; Disaster Recovery: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defined RPO/RTO targets </w:t>
      </w:r>
      <w:r>
        <w:rPr>
          <w:rFonts w:ascii="Cambria" w:cs="Cambria" w:eastAsia="Cambria" w:hAnsi="Cambria"/>
          <w:b/>
          <w:bCs/>
          <w:i w:val="false"/>
          <w:iCs w:val="false"/>
          <w:smallCaps w:val="false"/>
          <w:color w:val="000000"/>
          <w:sz w:val="24"/>
          <w:szCs w:val="24"/>
          <w:u w:val="none"/>
          <w:shd w:val="clear" w:color="auto" w:fill="auto"/>
          <w:vertAlign w:val="baseline"/>
        </w:rPr>
        <w:t>[ASSUMPTION – TBV: exact RPO/RTO should be set per government IT policy, not assumed]</w:t>
      </w:r>
      <w:r>
        <w:rPr>
          <w:rFonts w:ascii="Cambria" w:cs="Cambria" w:eastAsia="Cambria" w:hAnsi="Cambria"/>
          <w:b w:val="false"/>
          <w:bCs w:val="false"/>
          <w:i w:val="false"/>
          <w:iCs w:val="false"/>
          <w:smallCaps w:val="false"/>
          <w:color w:val="000000"/>
          <w:sz w:val="24"/>
          <w:szCs w:val="24"/>
          <w:u w:val="none"/>
          <w:shd w:val="clear" w:color="auto" w:fill="auto"/>
          <w:vertAlign w:val="baseline"/>
        </w:rPr>
        <w:t>, regular restore testing (an untested backup is not a backup).</w:t>
      </w:r>
    </w:p>
    <w:p w14:paraId="00000286">
      <w:pPr>
        <w:pStyle w:val="style0"/>
        <w:keepNext w:val="false"/>
        <w:keepLines w:val="false"/>
        <w:pageBreakBefore w:val="false"/>
        <w:widowControl/>
        <w:numPr>
          <w:ilvl w:val="0"/>
          <w:numId w:val="15"/>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OWASP-relevant risks to explicitly design against: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broken access control (the #1 risk in a multi-tenant, multi-department system like this), injection, security misconfiguration, vulnerable/outdated components, insufficient logging &amp; monitoring, and — specific to this system — </w:t>
      </w:r>
      <w:r>
        <w:rPr>
          <w:rFonts w:ascii="Cambria" w:cs="Cambria" w:eastAsia="Cambria" w:hAnsi="Cambria"/>
          <w:b/>
          <w:bCs/>
          <w:i w:val="false"/>
          <w:iCs w:val="false"/>
          <w:smallCaps w:val="false"/>
          <w:color w:val="000000"/>
          <w:sz w:val="24"/>
          <w:szCs w:val="24"/>
          <w:u w:val="none"/>
          <w:shd w:val="clear" w:color="auto" w:fill="auto"/>
          <w:vertAlign w:val="baseline"/>
        </w:rPr>
        <w:t>insecure direct object references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across applications belonging to different enterprises/departments.</w:t>
      </w:r>
    </w:p>
    <w:p w14:paraId="00000287">
      <w:pPr>
        <w:pStyle w:val="style0"/>
        <w:rPr/>
      </w:pPr>
      <w:r>
        <w:rPr/>
        <w:pict>
          <v:rect id="1049" fillcolor="#a0a0a0" stroked="f" style="margin-left:0.0pt;margin-top:0.0pt;width:0.0pt;height:1.5pt;mso-wrap-distance-left:0.0pt;mso-wrap-distance-right:0.0pt;visibility:visible;" o:hr="t" o:hralign="center" o:hrstd="t">
            <v:stroke on="f"/>
            <v:fill/>
          </v:rect>
        </w:pict>
      </w:r>
    </w:p>
    <w:bookmarkStart w:id="59" w:name="6azt40abkoed" w:colFirst="0" w:colLast="0"/>
    <w:bookmarkEnd w:id="59"/>
    <w:p w14:paraId="00000288">
      <w:pPr>
        <w:pStyle w:val="style1"/>
        <w:rPr/>
      </w:pPr>
      <w:r>
        <w:rPr/>
        <w:t>27. Privacy and Data Governance [EXPLICIT]</w:t>
      </w:r>
    </w:p>
    <w:p w14:paraId="00000289">
      <w:pPr>
        <w:pStyle w:val="style0"/>
        <w:keepNext w:val="false"/>
        <w:keepLines w:val="false"/>
        <w:pageBreakBefore w:val="false"/>
        <w:widowControl/>
        <w:numPr>
          <w:ilvl w:val="0"/>
          <w:numId w:val="1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Data classification: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PII (applicant personal identifiers), business-sensitive (financials, project details), and government-sensitive (internal scrutiny notes, risk scores) are classified and access-controlled distinctly (§23.2, §28).</w:t>
      </w:r>
    </w:p>
    <w:p w14:paraId="0000028A">
      <w:pPr>
        <w:pStyle w:val="style0"/>
        <w:keepNext w:val="false"/>
        <w:keepLines w:val="false"/>
        <w:pageBreakBefore w:val="false"/>
        <w:widowControl/>
        <w:numPr>
          <w:ilvl w:val="0"/>
          <w:numId w:val="1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Purpose limitation &amp; data minimisation: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collect only what a given ApprovalType’s checklist genuinely requires; avoid a single “collect everything up front” master form.</w:t>
      </w:r>
    </w:p>
    <w:p w14:paraId="0000028B">
      <w:pPr>
        <w:pStyle w:val="style0"/>
        <w:keepNext w:val="false"/>
        <w:keepLines w:val="false"/>
        <w:pageBreakBefore w:val="false"/>
        <w:widowControl/>
        <w:numPr>
          <w:ilvl w:val="0"/>
          <w:numId w:val="1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Retention &amp; deletion: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per §6.4, configurable and policy-driven, not hard-coded.</w:t>
      </w:r>
    </w:p>
    <w:p w14:paraId="0000028C">
      <w:pPr>
        <w:pStyle w:val="style0"/>
        <w:keepNext w:val="false"/>
        <w:keepLines w:val="false"/>
        <w:pageBreakBefore w:val="false"/>
        <w:widowControl/>
        <w:numPr>
          <w:ilvl w:val="0"/>
          <w:numId w:val="1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Access requests &amp; auditability: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 mechanism for an applicant to see what data is held about them, and for every access to sensitive data to be logged (§30).</w:t>
      </w:r>
    </w:p>
    <w:p w14:paraId="0000028D">
      <w:pPr>
        <w:pStyle w:val="style0"/>
        <w:keepNext w:val="false"/>
        <w:keepLines w:val="false"/>
        <w:pageBreakBefore w:val="false"/>
        <w:widowControl/>
        <w:numPr>
          <w:ilvl w:val="0"/>
          <w:numId w:val="1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Data residency: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ambria" w:cs="Cambria" w:eastAsia="Cambria" w:hAnsi="Cambria"/>
          <w:b/>
          <w:bCs/>
          <w:i w:val="false"/>
          <w:iCs w:val="false"/>
          <w:smallCaps w:val="false"/>
          <w:color w:val="000000"/>
          <w:sz w:val="24"/>
          <w:szCs w:val="24"/>
          <w:u w:val="none"/>
          <w:shd w:val="clear" w:color="auto" w:fill="auto"/>
          <w:vertAlign w:val="baseline"/>
        </w:rPr>
        <w:t>[ASSUMPTION – TBV: hosting location/data-residency requirements for a Maharashtra government system must be confirmed against applicable government IT/cloud policy before infrastructure is finalised.]</w:t>
      </w:r>
    </w:p>
    <w:p w14:paraId="0000028E">
      <w:pPr>
        <w:pStyle w:val="style0"/>
        <w:keepNext w:val="false"/>
        <w:keepLines w:val="false"/>
        <w:pageBreakBefore w:val="false"/>
        <w:widowControl/>
        <w:numPr>
          <w:ilvl w:val="0"/>
          <w:numId w:val="16"/>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Applicable legal framework:</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India’s data protection law (Digital Personal Data Protection Act) and any Maharashtra-specific government data-handling circulars are relevant here, but </w:t>
      </w:r>
      <w:r>
        <w:rPr>
          <w:rFonts w:ascii="Cambria" w:cs="Cambria" w:eastAsia="Cambria" w:hAnsi="Cambria"/>
          <w:b/>
          <w:bCs/>
          <w:i w:val="false"/>
          <w:iCs w:val="false"/>
          <w:smallCaps w:val="false"/>
          <w:color w:val="000000"/>
          <w:sz w:val="24"/>
          <w:szCs w:val="24"/>
          <w:u w:val="none"/>
          <w:shd w:val="clear" w:color="auto" w:fill="auto"/>
          <w:vertAlign w:val="baseline"/>
        </w:rPr>
        <w:t>this document does not offer legal advice or claim compliance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a formal legal/compliance review against the applicable framework is required before production go-live, and is called out as its own workstream in §31.</w:t>
      </w:r>
    </w:p>
    <w:bookmarkStart w:id="60" w:name="32hc2nixa66r" w:colFirst="0" w:colLast="0"/>
    <w:bookmarkEnd w:id="60"/>
    <w:p w14:paraId="0000028F">
      <w:pPr>
        <w:pStyle w:val="style1"/>
        <w:rPr/>
      </w:pPr>
      <w:r>
        <w:rPr/>
        <w:t>28. Access Control Matrix [EXPLICIT]</w:t>
      </w:r>
    </w:p>
    <w:p w14:paraId="00000290">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Permissions below (View / Create / Edit / Submit / Verify / Assign / Approve / Reject / Escalate / Download / Export / Configure) are shown per role. All grants are for </w:t>
      </w:r>
      <w:r>
        <w:rPr>
          <w:rFonts w:ascii="Cambria" w:cs="Cambria" w:eastAsia="Cambria" w:hAnsi="Cambria"/>
          <w:b/>
          <w:bCs/>
          <w:i w:val="false"/>
          <w:iCs w:val="false"/>
          <w:smallCaps w:val="false"/>
          <w:color w:val="000000"/>
          <w:sz w:val="24"/>
          <w:szCs w:val="24"/>
          <w:u w:val="none"/>
          <w:shd w:val="clear" w:color="auto" w:fill="auto"/>
          <w:vertAlign w:val="baseline"/>
        </w:rPr>
        <w:t>own/assigned/department scope only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unless marked “(all)” — the ABAC layer (§26) enforces this scope boundary at the object-instance level regardless of role, so a role grant here is never a blanket cross-department grant.</w:t>
      </w:r>
    </w:p>
    <w:p w14:paraId="00000291">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Applicant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(own), Create, Edit (own, pre-submit), Submit, Escalate (raise grievance), Download (own).</w:t>
      </w:r>
    </w:p>
    <w:p w14:paraId="00000292">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Applicant Admin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(org), Create, Edit (org), Submit, Assign (internal, within org), Escalate, Download (org).</w:t>
      </w:r>
    </w:p>
    <w:p w14:paraId="00000293">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Consultant / Authorized Representative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Create, Edit, Submit, Download — all scoped to the specific applicant(s) they are authorized for.</w:t>
      </w:r>
    </w:p>
    <w:p w14:paraId="00000294">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Scrutiny Officer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(assigned queue), Verify, Reject (forward-only — cannot issue a final rejection), Escalate, Download.</w:t>
      </w:r>
    </w:p>
    <w:p w14:paraId="00000295">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Inspector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(assigned inspections), Submit (inspection report), Download.</w:t>
      </w:r>
    </w:p>
    <w:p w14:paraId="00000296">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Approving Authority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(department), Verify, Assign, Approve (final), Reject (final), Escalate, Download.</w:t>
      </w:r>
    </w:p>
    <w:p w14:paraId="00000297">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Department Admin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(department), Assign, Escalate, Download, Export, Configure (department-scoped workflow/SLA settings).</w:t>
      </w:r>
    </w:p>
    <w:p w14:paraId="00000298">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Grievance Officer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(scoped), Assign, Approve (resolve), Reject (invalid grievance), Escalate, Download.</w:t>
      </w:r>
    </w:p>
    <w:p w14:paraId="00000299">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Scheme Officer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(schemes), Create/Edit (catalogue), Submit, Verify, Approve, Reject, Download, Configure (catalogue).</w:t>
      </w:r>
    </w:p>
    <w:p w14:paraId="0000029A">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System Administrator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View/Create/Edit (technical: users, not business data), Assign (roles), Export (technical logs), Configure (technical).</w:t>
      </w:r>
    </w:p>
    <w:p w14:paraId="0000029B">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Super Administrator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View/Create/Edit (all, incl. master data), Assign, Escalate, Download, Export, Configure (platform-wide) — notably </w:t>
      </w:r>
      <w:r>
        <w:rPr>
          <w:rFonts w:ascii="Cambria" w:cs="Cambria" w:eastAsia="Cambria" w:hAnsi="Cambria"/>
          <w:b/>
          <w:bCs/>
          <w:i w:val="false"/>
          <w:iCs w:val="false"/>
          <w:smallCaps w:val="false"/>
          <w:color w:val="000000"/>
          <w:sz w:val="24"/>
          <w:szCs w:val="24"/>
          <w:u w:val="none"/>
          <w:shd w:val="clear" w:color="auto" w:fill="auto"/>
          <w:vertAlign w:val="baseline"/>
        </w:rPr>
        <w:t>no</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Approve/Reject on business applications, preserving separation between platform administration and statutory decision-making.</w:t>
      </w:r>
    </w:p>
    <w:p w14:paraId="0000029C">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Auditor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(all, read-only), Download, Export. No Create/Edit/Approve/Reject rights anywhere.</w:t>
      </w:r>
    </w:p>
    <w:p w14:paraId="0000029D">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Government Leadership</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(aggregated, read-only), Export. No access to individual application detail by default.</w:t>
      </w:r>
    </w:p>
    <w:p w14:paraId="0000029E">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Legal / Compliance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View/Create/Edit (regulatory content only), Verify (approve regulatory content for publication), Approve/Reject (regulatory content, not applications), Download, Configure (regulatory).</w:t>
      </w:r>
    </w:p>
    <w:p w14:paraId="0000029F">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Integration Administrator</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(integration logs), Export, Configure (integrations). No business-data access.</w:t>
      </w:r>
    </w:p>
    <w:p w14:paraId="000002A0">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Helpdesk / Support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View (read-only, applicant applications, for support purposes only), Escalate (raise internal ticket).</w:t>
      </w:r>
    </w:p>
    <w:p w14:paraId="000002A1">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[ASSUMPTION – TBV]</w:t>
      </w:r>
      <w:r>
        <w:rPr>
          <w:rFonts w:ascii="Cambria" w:cs="Cambria" w:eastAsia="Cambria" w:hAnsi="Cambria"/>
          <w:b w:val="false"/>
          <w:bCs w:val="false"/>
          <w:i w:val="false"/>
          <w:iCs w:val="false"/>
          <w:smallCaps w:val="false"/>
          <w:color w:val="000000"/>
          <w:sz w:val="24"/>
          <w:szCs w:val="24"/>
          <w:u w:val="none"/>
          <w:shd w:val="clear" w:color="auto" w:fill="auto"/>
          <w:vertAlign w:val="baseline"/>
        </w:rPr>
        <w:t>: the exact split of Approve/Reject authority between a Scrutiny Officer and an Approving Authority (i.e., can a Scrutiny Officer reject outright, or only forward with a recommendation?) is department-specific and must be confirmed rather than standardised across all departments.</w:t>
      </w:r>
    </w:p>
    <w:p w14:paraId="000002A2">
      <w:pPr>
        <w:pStyle w:val="style0"/>
        <w:rPr/>
      </w:pPr>
      <w:r>
        <w:rPr/>
        <w:pict>
          <v:rect id="1050" fillcolor="#a0a0a0" stroked="f" style="margin-left:0.0pt;margin-top:0.0pt;width:0.0pt;height:1.5pt;mso-wrap-distance-left:0.0pt;mso-wrap-distance-right:0.0pt;visibility:visible;" o:hr="t" o:hralign="center" o:hrstd="t">
            <v:stroke on="f"/>
            <v:fill/>
          </v:rect>
        </w:pict>
      </w:r>
    </w:p>
    <w:bookmarkStart w:id="61" w:name="xctb8b9l3bx" w:colFirst="0" w:colLast="0"/>
    <w:bookmarkEnd w:id="61"/>
    <w:p w14:paraId="000002A3">
      <w:pPr>
        <w:pStyle w:val="style1"/>
        <w:rPr/>
      </w:pPr>
      <w:r>
        <w:rPr/>
        <w:t>29. Auditability [EXPLICIT — “Every legally or operationally significant action must be traceable”]</w:t>
      </w:r>
    </w:p>
    <w:bookmarkStart w:id="62" w:name="dz7jj3xbzo5w" w:colFirst="0" w:colLast="0"/>
    <w:bookmarkEnd w:id="62"/>
    <w:p w14:paraId="000002A4">
      <w:pPr>
        <w:pStyle w:val="style2"/>
        <w:rPr/>
      </w:pPr>
      <w:r>
        <w:rPr/>
        <w:t>29.1 Mandatory Audit Events</w:t>
      </w:r>
    </w:p>
    <w:p w14:paraId="000002A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Login/logout (incl. failed attempts), application create/modify/submit, document upload/verify, officer assignment/reassignment, query raised/responded, inspection scheduled/completed, approval/rejection decisions, rule/workflow/SLA/regulatory content modification, permission/role changes, every data export.</w:t>
      </w:r>
    </w:p>
    <w:bookmarkStart w:id="63" w:name="jccj77pd1mqd" w:colFirst="0" w:colLast="0"/>
    <w:bookmarkEnd w:id="63"/>
    <w:p w14:paraId="000002A6">
      <w:pPr>
        <w:pStyle w:val="style2"/>
        <w:rPr/>
      </w:pPr>
      <w:r>
        <w:rPr/>
        <w:t>29.2 Requirements</w:t>
      </w:r>
    </w:p>
    <w:p w14:paraId="000002A7">
      <w:pPr>
        <w:pStyle w:val="style0"/>
        <w:keepNext w:val="false"/>
        <w:keepLines w:val="false"/>
        <w:pageBreakBefore w:val="false"/>
        <w:widowControl/>
        <w:numPr>
          <w:ilvl w:val="0"/>
          <w:numId w:val="1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Immutability: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the </w:t>
      </w:r>
      <w:r>
        <w:rPr>
          <w:rFonts w:ascii="Consolas" w:cs="Consolas" w:eastAsia="Consolas" w:hAnsi="Consolas"/>
          <w:b w:val="false"/>
          <w:bCs w:val="false"/>
          <w:i w:val="false"/>
          <w:iCs w:val="false"/>
          <w:smallCaps w:val="false"/>
          <w:color w:val="000000"/>
          <w:sz w:val="22"/>
          <w:szCs w:val="22"/>
          <w:u w:val="none"/>
          <w:shd w:val="clear" w:color="auto" w:fill="auto"/>
          <w:vertAlign w:val="baseline"/>
        </w:rPr>
        <w:t>AuditLog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table is append-only at the database-permission level (no application role, including Super Admin, has UPDATE/DELETE on it); corrections are new entries, never edits of history.</w:t>
      </w:r>
    </w:p>
    <w:p w14:paraId="000002A8">
      <w:pPr>
        <w:pStyle w:val="style0"/>
        <w:keepNext w:val="false"/>
        <w:keepLines w:val="false"/>
        <w:pageBreakBefore w:val="false"/>
        <w:widowControl/>
        <w:numPr>
          <w:ilvl w:val="0"/>
          <w:numId w:val="1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Content per entry:</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actor, timestamp, action, affected entity (type+id), before/after state where applicable, and — for AI-influenced actions — the model/rule version used (§19, §4.3).</w:t>
      </w:r>
    </w:p>
    <w:p w14:paraId="000002A9">
      <w:pPr>
        <w:pStyle w:val="style0"/>
        <w:keepNext w:val="false"/>
        <w:keepLines w:val="false"/>
        <w:pageBreakBefore w:val="false"/>
        <w:widowControl/>
        <w:numPr>
          <w:ilvl w:val="0"/>
          <w:numId w:val="1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Tamper-evidence [RECOMMENDED]:</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hash-chaining or an equivalent mechanism so any post-hoc alteration of the log itself is detectable.</w:t>
      </w:r>
    </w:p>
    <w:p w14:paraId="000002AA">
      <w:pPr>
        <w:pStyle w:val="style0"/>
        <w:keepNext w:val="false"/>
        <w:keepLines w:val="false"/>
        <w:pageBreakBefore w:val="false"/>
        <w:widowControl/>
        <w:numPr>
          <w:ilvl w:val="0"/>
          <w:numId w:val="18"/>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Retention: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audit logs are retained at least as long as the longest-retained business record they relate to — </w:t>
      </w:r>
      <w:r>
        <w:rPr>
          <w:rFonts w:ascii="Cambria" w:cs="Cambria" w:eastAsia="Cambria" w:hAnsi="Cambria"/>
          <w:b/>
          <w:bCs/>
          <w:i w:val="false"/>
          <w:iCs w:val="false"/>
          <w:smallCaps w:val="false"/>
          <w:color w:val="000000"/>
          <w:sz w:val="24"/>
          <w:szCs w:val="24"/>
          <w:u w:val="none"/>
          <w:shd w:val="clear" w:color="auto" w:fill="auto"/>
          <w:vertAlign w:val="baseline"/>
        </w:rPr>
        <w:t>[ASSUMPTION – TBV: exact figure per government record-keeping policy]</w:t>
      </w:r>
      <w:r>
        <w:rPr>
          <w:rFonts w:ascii="Cambria" w:cs="Cambria" w:eastAsia="Cambria" w:hAnsi="Cambria"/>
          <w:b w:val="false"/>
          <w:bCs w:val="false"/>
          <w:i w:val="false"/>
          <w:iCs w:val="false"/>
          <w:smallCaps w:val="false"/>
          <w:color w:val="000000"/>
          <w:sz w:val="24"/>
          <w:szCs w:val="24"/>
          <w:u w:val="none"/>
          <w:shd w:val="clear" w:color="auto" w:fill="auto"/>
          <w:vertAlign w:val="baseline"/>
        </w:rPr>
        <w:t>.</w:t>
      </w:r>
    </w:p>
    <w:p w14:paraId="000002AB">
      <w:pPr>
        <w:pStyle w:val="style0"/>
        <w:rPr/>
      </w:pPr>
      <w:r>
        <w:rPr/>
        <w:pict>
          <v:rect id="1051" fillcolor="#a0a0a0" stroked="f" style="margin-left:0.0pt;margin-top:0.0pt;width:0.0pt;height:1.5pt;mso-wrap-distance-left:0.0pt;mso-wrap-distance-right:0.0pt;visibility:visible;" o:hr="t" o:hralign="center" o:hrstd="t">
            <v:stroke on="f"/>
            <v:fill/>
          </v:rect>
        </w:pict>
      </w:r>
    </w:p>
    <w:bookmarkStart w:id="64" w:name="txhcrmieuewa" w:colFirst="0" w:colLast="0"/>
    <w:bookmarkEnd w:id="64"/>
    <w:p w14:paraId="000002AC">
      <w:pPr>
        <w:pStyle w:val="style1"/>
        <w:rPr/>
      </w:pPr>
      <w:r>
        <w:rPr/>
        <w:t>30. Non-Functional Requirements [EXPLICIT]</w:t>
      </w:r>
    </w:p>
    <w:tbl>
      <w:tblPr>
        <w:tblStyle w:val="style4108"/>
        <w:tblW w:w="7920" w:type="dxa"/>
        <w:jc w:val="left"/>
        <w:tblInd w:w="-108" w:type="dxa"/>
        <w:tblLayout w:type="fixed"/>
        <w:tblLook w:val="0020" w:firstRow="1" w:lastRow="0" w:firstColumn="0" w:lastColumn="0" w:noHBand="0" w:noVBand="0"/>
      </w:tblPr>
      <w:tblGrid>
        <w:gridCol w:w="3960"/>
        <w:gridCol w:w="3960"/>
      </w:tblGrid>
      <w:tr w14:paraId="2333DC9F">
        <w:trPr>
          <w:cantSplit w:val="false"/>
          <w:tblHeader/>
          <w:jc w:val="left"/>
        </w:trPr>
        <w:tc>
          <w:tcPr>
            <w:tcW w:w="0" w:type="auto"/>
            <w:tcBorders/>
          </w:tcPr>
          <w:p w14:paraId="000002A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Category</w:t>
            </w:r>
          </w:p>
        </w:tc>
        <w:tc>
          <w:tcPr>
            <w:tcW w:w="0" w:type="auto"/>
            <w:tcBorders/>
          </w:tcPr>
          <w:p w14:paraId="000002A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Requirement (draft targets — to be sized against real usage projections)</w:t>
            </w:r>
          </w:p>
        </w:tc>
      </w:tr>
      <w:tr w14:paraId="D61D4E5B">
        <w:tblPrEx/>
        <w:trPr>
          <w:cantSplit w:val="false"/>
          <w:tblHeader w:val="false"/>
          <w:jc w:val="left"/>
        </w:trPr>
        <w:tc>
          <w:tcPr>
            <w:tcW w:w="0" w:type="auto"/>
            <w:tcBorders/>
          </w:tcPr>
          <w:p w14:paraId="000002AF">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Performance</w:t>
            </w:r>
          </w:p>
        </w:tc>
        <w:tc>
          <w:tcPr>
            <w:tcW w:w="0" w:type="auto"/>
            <w:tcBorders/>
          </w:tcPr>
          <w:p w14:paraId="000002B0">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Page load &lt; 3s on average broadband; API response &lt; 500ms for read endpoints, &lt; 2s for write/validation endpoints; file upload supports up to a configurable max size (e.g., 10MB/document) with progress feedback; search results &lt; 1s for typical queries; standard reports generate &lt; 10s, heavy exports run as an async background job with a notification on completion</w:t>
            </w:r>
          </w:p>
        </w:tc>
      </w:tr>
      <w:tr w14:paraId="B5D38F49">
        <w:tblPrEx/>
        <w:trPr>
          <w:cantSplit w:val="false"/>
          <w:tblHeader w:val="false"/>
          <w:jc w:val="left"/>
        </w:trPr>
        <w:tc>
          <w:tcPr>
            <w:tcW w:w="0" w:type="auto"/>
            <w:tcBorders/>
          </w:tcPr>
          <w:p w14:paraId="000002B1">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Scalability</w:t>
            </w:r>
          </w:p>
        </w:tc>
        <w:tc>
          <w:tcPr>
            <w:tcW w:w="0" w:type="auto"/>
            <w:tcBorders/>
          </w:tcPr>
          <w:p w14:paraId="000002B2">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Designed to scale horizontally at the API tier; initial target concurrency </w:t>
            </w:r>
            <w:r>
              <w:rPr>
                <w:rFonts w:ascii="Cambria" w:cs="Cambria" w:eastAsia="Cambria" w:hAnsi="Cambria"/>
                <w:b/>
                <w:bCs/>
                <w:i w:val="false"/>
                <w:iCs w:val="false"/>
                <w:smallCaps w:val="false"/>
                <w:color w:val="000000"/>
                <w:sz w:val="24"/>
                <w:szCs w:val="24"/>
                <w:u w:val="none"/>
                <w:shd w:val="clear" w:color="auto" w:fill="auto"/>
                <w:vertAlign w:val="baseline"/>
              </w:rPr>
              <w:t>[ASSUMPTION – TBV: needs real usage projections from MSInS — a Maharashtra-wide rollout has a materially different load profile than a pilot in a few districts]</w:t>
            </w:r>
          </w:p>
        </w:tc>
      </w:tr>
      <w:tr w14:paraId="4CBDBD22">
        <w:tblPrEx/>
        <w:trPr>
          <w:cantSplit w:val="false"/>
          <w:tblHeader w:val="false"/>
          <w:jc w:val="left"/>
        </w:trPr>
        <w:tc>
          <w:tcPr>
            <w:tcW w:w="0" w:type="auto"/>
            <w:tcBorders/>
          </w:tcPr>
          <w:p w14:paraId="000002B3">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Availability</w:t>
            </w:r>
          </w:p>
        </w:tc>
        <w:tc>
          <w:tcPr>
            <w:tcW w:w="0" w:type="auto"/>
            <w:tcBorders/>
          </w:tcPr>
          <w:p w14:paraId="000002B4">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Target uptime </w:t>
            </w:r>
            <w:r>
              <w:rPr>
                <w:rFonts w:ascii="Cambria" w:cs="Cambria" w:eastAsia="Cambria" w:hAnsi="Cambria"/>
                <w:b/>
                <w:bCs/>
                <w:i w:val="false"/>
                <w:iCs w:val="false"/>
                <w:smallCaps w:val="false"/>
                <w:color w:val="000000"/>
                <w:sz w:val="24"/>
                <w:szCs w:val="24"/>
                <w:u w:val="none"/>
                <w:shd w:val="clear" w:color="auto" w:fill="auto"/>
                <w:vertAlign w:val="baseline"/>
              </w:rPr>
              <w:t>[ASSUMPTION – TBV, typically 99.5%+ for a citizen-facing government service, to be confirmed against policy]</w:t>
            </w:r>
            <w:r>
              <w:rPr>
                <w:rFonts w:ascii="Cambria" w:cs="Cambria" w:eastAsia="Cambria" w:hAnsi="Cambria"/>
                <w:b w:val="false"/>
                <w:bCs w:val="false"/>
                <w:i w:val="false"/>
                <w:iCs w:val="false"/>
                <w:smallCaps w:val="false"/>
                <w:color w:val="000000"/>
                <w:sz w:val="24"/>
                <w:szCs w:val="24"/>
                <w:u w:val="none"/>
                <w:shd w:val="clear" w:color="auto" w:fill="auto"/>
                <w:vertAlign w:val="baseline"/>
              </w:rPr>
              <w:t>; scheduled-maintenance windows communicated in advance</w:t>
            </w:r>
          </w:p>
        </w:tc>
      </w:tr>
      <w:tr w14:paraId="0EA3B617">
        <w:tblPrEx/>
        <w:trPr>
          <w:cantSplit w:val="false"/>
          <w:tblHeader w:val="false"/>
          <w:jc w:val="left"/>
        </w:trPr>
        <w:tc>
          <w:tcPr>
            <w:tcW w:w="0" w:type="auto"/>
            <w:tcBorders/>
          </w:tcPr>
          <w:p w14:paraId="000002B5">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Reliability</w:t>
            </w:r>
          </w:p>
        </w:tc>
        <w:tc>
          <w:tcPr>
            <w:tcW w:w="0" w:type="auto"/>
            <w:tcBorders/>
          </w:tcPr>
          <w:p w14:paraId="000002B6">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Automated backups (§26), tested restore procedure, graceful degradation (e.g., AI features fail open to manual paths, per §19, rather than blocking core workflow)</w:t>
            </w:r>
          </w:p>
        </w:tc>
      </w:tr>
      <w:tr w14:paraId="EED44D9C">
        <w:tblPrEx/>
        <w:trPr>
          <w:cantSplit w:val="false"/>
          <w:tblHeader w:val="false"/>
          <w:jc w:val="left"/>
        </w:trPr>
        <w:tc>
          <w:tcPr>
            <w:tcW w:w="0" w:type="auto"/>
            <w:tcBorders/>
          </w:tcPr>
          <w:p w14:paraId="000002B7">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Usability/Accessibility</w:t>
            </w:r>
          </w:p>
        </w:tc>
        <w:tc>
          <w:tcPr>
            <w:tcW w:w="0" w:type="auto"/>
            <w:tcBorders/>
          </w:tcPr>
          <w:p w14:paraId="000002B8">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WCAG 2.1 AA target for applicant-facing screens (§22); multi-language support </w:t>
            </w:r>
            <w:r>
              <w:rPr>
                <w:rFonts w:ascii="Cambria" w:cs="Cambria" w:eastAsia="Cambria" w:hAnsi="Cambria"/>
                <w:b/>
                <w:bCs/>
                <w:i w:val="false"/>
                <w:iCs w:val="false"/>
                <w:smallCaps w:val="false"/>
                <w:color w:val="000000"/>
                <w:sz w:val="24"/>
                <w:szCs w:val="24"/>
                <w:u w:val="none"/>
                <w:shd w:val="clear" w:color="auto" w:fill="auto"/>
                <w:vertAlign w:val="baseline"/>
              </w:rPr>
              <w:t>[ASSUMPTION – TBV: confirm required languages]</w:t>
            </w:r>
          </w:p>
        </w:tc>
      </w:tr>
      <w:tr w14:paraId="3BBF9C5C">
        <w:tblPrEx/>
        <w:trPr>
          <w:cantSplit w:val="false"/>
          <w:tblHeader w:val="false"/>
          <w:jc w:val="left"/>
        </w:trPr>
        <w:tc>
          <w:tcPr>
            <w:tcW w:w="0" w:type="auto"/>
            <w:tcBorders/>
          </w:tcPr>
          <w:p w14:paraId="000002B9">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Maintainability</w:t>
            </w:r>
          </w:p>
        </w:tc>
        <w:tc>
          <w:tcPr>
            <w:tcW w:w="0" w:type="auto"/>
            <w:tcBorders/>
          </w:tcPr>
          <w:p w14:paraId="000002BA">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Modular monolith with clear internal boundaries (§20) so any single module can be modified/extracted with contained blast radius</w:t>
            </w:r>
          </w:p>
        </w:tc>
      </w:tr>
      <w:tr w14:paraId="DCAB044B">
        <w:tblPrEx/>
        <w:trPr>
          <w:cantSplit w:val="false"/>
          <w:tblHeader w:val="false"/>
          <w:jc w:val="left"/>
        </w:trPr>
        <w:tc>
          <w:tcPr>
            <w:tcW w:w="0" w:type="auto"/>
            <w:tcBorders/>
          </w:tcPr>
          <w:p w14:paraId="000002BB">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Auditability/Compliance</w:t>
            </w:r>
          </w:p>
        </w:tc>
        <w:tc>
          <w:tcPr>
            <w:tcW w:w="0" w:type="auto"/>
            <w:tcBorders/>
          </w:tcPr>
          <w:p w14:paraId="000002BC">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Per §29–§30; independently reviewable</w:t>
            </w:r>
          </w:p>
        </w:tc>
      </w:tr>
      <w:tr w14:paraId="4A618540">
        <w:tblPrEx/>
        <w:trPr>
          <w:cantSplit w:val="false"/>
          <w:tblHeader w:val="false"/>
          <w:jc w:val="left"/>
        </w:trPr>
        <w:tc>
          <w:tcPr>
            <w:tcW w:w="0" w:type="auto"/>
            <w:tcBorders/>
          </w:tcPr>
          <w:p w14:paraId="000002BD">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Security</w:t>
            </w:r>
          </w:p>
        </w:tc>
        <w:tc>
          <w:tcPr>
            <w:tcW w:w="0" w:type="auto"/>
            <w:tcBorders/>
          </w:tcPr>
          <w:p w14:paraId="000002BE">
            <w:pPr>
              <w:pStyle w:val="style0"/>
              <w:keepNext w:val="false"/>
              <w:keepLines w:val="false"/>
              <w:pageBreakBefore w:val="false"/>
              <w:widowControl/>
              <w:pBdr>
                <w:left w:val="nil"/>
                <w:right w:val="nil"/>
                <w:top w:val="nil"/>
                <w:bottom w:val="nil"/>
                <w:between w:val="nil"/>
              </w:pBdr>
              <w:shd w:val="clear" w:color="auto" w:fill="auto"/>
              <w:spacing w:before="36" w:after="36"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Per §26</w:t>
            </w:r>
          </w:p>
        </w:tc>
      </w:tr>
    </w:tbl>
    <w:p w14:paraId="000002BF">
      <w:pPr>
        <w:pStyle w:val="style0"/>
        <w:rPr/>
      </w:pPr>
      <w:r>
        <w:rPr/>
        <w:pict>
          <v:rect id="1052" fillcolor="#a0a0a0" stroked="f" style="margin-left:0.0pt;margin-top:0.0pt;width:0.0pt;height:1.5pt;mso-wrap-distance-left:0.0pt;mso-wrap-distance-right:0.0pt;visibility:visible;" o:hr="t" o:hralign="center" o:hrstd="t">
            <v:stroke on="f"/>
            <v:fill/>
          </v:rect>
        </w:pict>
      </w:r>
    </w:p>
    <w:bookmarkStart w:id="65" w:name="87o4h34wcr3" w:colFirst="0" w:colLast="0"/>
    <w:bookmarkEnd w:id="65"/>
    <w:p w14:paraId="000002C0">
      <w:pPr>
        <w:pStyle w:val="style1"/>
        <w:rPr/>
      </w:pPr>
      <w:r>
        <w:rPr/>
        <w:t>31. Implementation Phasing (Indicative) [RECOMMENDED]</w:t>
      </w:r>
    </w:p>
    <w:p w14:paraId="000002C1">
      <w:pPr>
        <w:pStyle w:val="style0"/>
        <w:keepNext w:val="false"/>
        <w:keepLines w:val="false"/>
        <w:pageBreakBefore w:val="false"/>
        <w:widowControl/>
        <w:numPr>
          <w:ilvl w:val="0"/>
          <w:numId w:val="1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Phase 0 — Foundation: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Identity/RBAC, core data model (§23), one pilot ApprovalType end-to-end (discovery → submission → scrutiny → approval), audit logging from day one (not bolted on later).</w:t>
      </w:r>
    </w:p>
    <w:p w14:paraId="000002C2">
      <w:pPr>
        <w:pStyle w:val="style0"/>
        <w:keepNext w:val="false"/>
        <w:keepLines w:val="false"/>
        <w:pageBreakBefore w:val="false"/>
        <w:widowControl/>
        <w:numPr>
          <w:ilvl w:val="0"/>
          <w:numId w:val="1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Phase 1 — Core Workflow Breadth:</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Multiple ApprovalTypes via the configurable workflow engine (§8.2), document reuse (§6.2), pre-validation (§7), SLA tracking (§12), notifications (§13).</w:t>
      </w:r>
    </w:p>
    <w:p w14:paraId="000002C3">
      <w:pPr>
        <w:pStyle w:val="style0"/>
        <w:keepNext w:val="false"/>
        <w:keepLines w:val="false"/>
        <w:pageBreakBefore w:val="false"/>
        <w:widowControl/>
        <w:numPr>
          <w:ilvl w:val="0"/>
          <w:numId w:val="1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Phase 2 — Coordination Features: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Parallel/dependent workflows, common inspection scheduling (§10), risk-based scrutiny (§11), department dashboards (§17).</w:t>
      </w:r>
    </w:p>
    <w:p w14:paraId="000002C4">
      <w:pPr>
        <w:pStyle w:val="style0"/>
        <w:keepNext w:val="false"/>
        <w:keepLines w:val="false"/>
        <w:pageBreakBefore w:val="false"/>
        <w:widowControl/>
        <w:numPr>
          <w:ilvl w:val="0"/>
          <w:numId w:val="1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Phase 3 — Citizen Value-Adds:</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Regulatory knowledge engine + RAG assistant (§5), scheme discovery (§15), grievance management (§16), leadership analytics (§18).</w:t>
      </w:r>
    </w:p>
    <w:p w14:paraId="000002C5">
      <w:pPr>
        <w:pStyle w:val="style0"/>
        <w:keepNext w:val="false"/>
        <w:keepLines w:val="false"/>
        <w:pageBreakBefore w:val="false"/>
        <w:widowControl/>
        <w:numPr>
          <w:ilvl w:val="0"/>
          <w:numId w:val="19"/>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Phase 4 — Hardening &amp; Scale: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Full integration rollout (§25, as each is confirmed), extraction of any module that needs independent scaling (§20.1), formal security/privacy audit against §26–§27, load testing against confirmed NFR targets (§30).</w:t>
      </w:r>
    </w:p>
    <w:p w14:paraId="000002C6">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 hackathon prototype realistically demonstrates a vertical slice of Phase 0–1 for one or two representative approval types, plus mocked/illustrative versions of the dashboards and regulatory assistant — this is called out explicitly so the demo’s scope is honest about what’s real vs. illustrative.</w:t>
      </w:r>
    </w:p>
    <w:p w14:paraId="000002C7">
      <w:pPr>
        <w:pStyle w:val="style0"/>
        <w:rPr/>
      </w:pPr>
      <w:r>
        <w:rPr/>
        <w:pict>
          <v:rect id="1053" fillcolor="#a0a0a0" stroked="f" style="margin-left:0.0pt;margin-top:0.0pt;width:0.0pt;height:1.5pt;mso-wrap-distance-left:0.0pt;mso-wrap-distance-right:0.0pt;visibility:visible;" o:hr="t" o:hralign="center" o:hrstd="t">
            <v:stroke on="f"/>
            <v:fill/>
          </v:rect>
        </w:pict>
      </w:r>
    </w:p>
    <w:bookmarkStart w:id="66" w:name="jbek6lb1qar" w:colFirst="0" w:colLast="0"/>
    <w:bookmarkEnd w:id="66"/>
    <w:p w14:paraId="000002C8">
      <w:pPr>
        <w:pStyle w:val="style1"/>
        <w:rPr/>
      </w:pPr>
      <w:r>
        <w:rPr/>
        <w:t>32. Consolidated Assumptions Register (Must Be Validated with Government Department)</w:t>
      </w:r>
    </w:p>
    <w:p w14:paraId="000002C9">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Whether MahaUdyam One is an orchestration layer over existing department systems, or a system of record in its own right — </w:t>
      </w:r>
      <w:r>
        <w:rPr>
          <w:rFonts w:ascii="Cambria" w:cs="Cambria" w:eastAsia="Cambria" w:hAnsi="Cambria"/>
          <w:b/>
          <w:bCs/>
          <w:i w:val="false"/>
          <w:iCs w:val="false"/>
          <w:smallCaps w:val="false"/>
          <w:color w:val="000000"/>
          <w:sz w:val="24"/>
          <w:szCs w:val="24"/>
          <w:u w:val="none"/>
          <w:shd w:val="clear" w:color="auto" w:fill="auto"/>
          <w:vertAlign w:val="baseline"/>
        </w:rPr>
        <w:t>per department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(§1.3).</w:t>
      </w:r>
    </w:p>
    <w:p w14:paraId="000002CA">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Actual approval types, owning departments, and true eligibility conditions for the rule engine (§4.4).</w:t>
      </w:r>
    </w:p>
    <w:p w14:paraId="000002CB">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Whether environmental/hazardous classification is self-declared or third-party certified (§4.4).</w:t>
      </w:r>
    </w:p>
    <w:p w14:paraId="000002CC">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Whether AI regulatory guidance requires per-answer human pre-approval before being shown to applicants (§5.3).</w:t>
      </w:r>
    </w:p>
    <w:p w14:paraId="000002CD">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Exact document retention periods per document/application type (§6.4).</w:t>
      </w:r>
    </w:p>
    <w:p w14:paraId="000002CE">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Legality/consent requirements for geo-tagging inspection evidence (§10).</w:t>
      </w:r>
    </w:p>
    <w:p w14:paraId="000002CF">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Whether prior (pre-platform) violation history can be legally imported into risk scoring (§11.2).</w:t>
      </w:r>
    </w:p>
    <w:p w14:paraId="000002D0">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Exact SLA pause/resume rules per approval type (§12).</w:t>
      </w:r>
    </w:p>
    <w:p w14:paraId="000002D1">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Required notification languages (§13, §30).</w:t>
      </w:r>
    </w:p>
    <w:p w14:paraId="000002D2">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Renewal reminder windows/grace periods per approval type (§14).</w:t>
      </w:r>
    </w:p>
    <w:p w14:paraId="000002D3">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Split of reject authority between Scrutiny Officer and Approving Authority, per department (§28).</w:t>
      </w:r>
    </w:p>
    <w:p w14:paraId="000002D4">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Exact statutory backup/DR RPO/RTO targets (§26, §30).</w:t>
      </w:r>
    </w:p>
    <w:p w14:paraId="000002D5">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Data residency requirements for hosting (§27).</w:t>
      </w:r>
    </w:p>
    <w:p w14:paraId="000002D6">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Applicable data-protection legal framework compliance review — requires formal legal sign-off, not engineering assumption (§27).</w:t>
      </w:r>
    </w:p>
    <w:p w14:paraId="000002D7">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Real usage/concurrency projections for scalability sizing (§30).</w:t>
      </w:r>
    </w:p>
    <w:p w14:paraId="000002D8">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Target uptime SLA for the platform itself (§30).</w:t>
      </w:r>
    </w:p>
    <w:p w14:paraId="000002D9">
      <w:pPr>
        <w:pStyle w:val="style0"/>
        <w:keepNext w:val="false"/>
        <w:keepLines w:val="false"/>
        <w:pageBreakBefore w:val="false"/>
        <w:widowControl/>
        <w:numPr>
          <w:ilvl w:val="0"/>
          <w:numId w:val="20"/>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Audit log retention period (§29).</w:t>
      </w:r>
    </w:p>
    <w:p w14:paraId="000002DA">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Every item above should be closed out with the relevant department/Legal-Compliance/MSInS before its dependent feature moves from design to build.</w:t>
      </w:r>
    </w:p>
    <w:p w14:paraId="000002DB">
      <w:pPr>
        <w:pStyle w:val="style0"/>
        <w:rPr/>
      </w:pPr>
      <w:r>
        <w:rPr/>
        <w:pict>
          <v:rect id="1054" fillcolor="#a0a0a0" stroked="f" style="margin-left:0.0pt;margin-top:0.0pt;width:0.0pt;height:1.5pt;mso-wrap-distance-left:0.0pt;mso-wrap-distance-right:0.0pt;visibility:visible;" o:hr="t" o:hralign="center" o:hrstd="t">
            <v:stroke on="f"/>
            <v:fill/>
          </v:rect>
        </w:pict>
      </w:r>
    </w:p>
    <w:bookmarkStart w:id="67" w:name="eph7s5xorkj3" w:colFirst="0" w:colLast="0"/>
    <w:bookmarkEnd w:id="67"/>
    <w:p w14:paraId="000002DC">
      <w:pPr>
        <w:pStyle w:val="style1"/>
        <w:rPr/>
      </w:pPr>
      <w:r>
        <w:rPr/>
        <w:t>33. Glossary</w:t>
      </w:r>
    </w:p>
    <w:p w14:paraId="000002DD">
      <w:pPr>
        <w:pStyle w:val="style0"/>
        <w:keepNext w:val="false"/>
        <w:keepLines w:val="false"/>
        <w:pageBreakBefore w:val="false"/>
        <w:widowControl/>
        <w:numPr>
          <w:ilvl w:val="0"/>
          <w:numId w:val="2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ApprovalType</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a specific registration/licence/NOC/permission issued by one department (e.g., a specific NOC).</w:t>
      </w:r>
    </w:p>
    <w:p w14:paraId="000002DE">
      <w:pPr>
        <w:pStyle w:val="style0"/>
        <w:keepNext w:val="false"/>
        <w:keepLines w:val="false"/>
        <w:pageBreakBefore w:val="false"/>
        <w:widowControl/>
        <w:numPr>
          <w:ilvl w:val="0"/>
          <w:numId w:val="2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Application</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one applicant’s request for one ApprovalType on one Project.</w:t>
      </w:r>
    </w:p>
    <w:p w14:paraId="000002DF">
      <w:pPr>
        <w:pStyle w:val="style0"/>
        <w:keepNext w:val="false"/>
        <w:keepLines w:val="false"/>
        <w:pageBreakBefore w:val="false"/>
        <w:widowControl/>
        <w:numPr>
          <w:ilvl w:val="0"/>
          <w:numId w:val="2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Checklist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the applicant-specific set of required approvals and documents generated by the Discovery Engine (§4).</w:t>
      </w:r>
    </w:p>
    <w:p w14:paraId="000002E0">
      <w:pPr>
        <w:pStyle w:val="style0"/>
        <w:keepNext w:val="false"/>
        <w:keepLines w:val="false"/>
        <w:pageBreakBefore w:val="false"/>
        <w:widowControl/>
        <w:numPr>
          <w:ilvl w:val="0"/>
          <w:numId w:val="2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Layer-1 / Layer-2 (regulatory content)</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see §5.2: the authoritative source text vs. the human-derived operational rule.</w:t>
      </w:r>
    </w:p>
    <w:p w14:paraId="000002E1">
      <w:pPr>
        <w:pStyle w:val="style0"/>
        <w:keepNext w:val="false"/>
        <w:keepLines w:val="false"/>
        <w:pageBreakBefore w:val="false"/>
        <w:widowControl/>
        <w:numPr>
          <w:ilvl w:val="0"/>
          <w:numId w:val="2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NOC</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No-Objection Certificate.</w:t>
      </w:r>
    </w:p>
    <w:p w14:paraId="000002E2">
      <w:pPr>
        <w:pStyle w:val="style0"/>
        <w:keepNext w:val="false"/>
        <w:keepLines w:val="false"/>
        <w:pageBreakBefore w:val="false"/>
        <w:widowControl/>
        <w:numPr>
          <w:ilvl w:val="0"/>
          <w:numId w:val="2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RAG</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Retrieval-Augmented Generation, the AI pattern used for the regulatory assistant (§5.3).</w:t>
      </w:r>
    </w:p>
    <w:p w14:paraId="000002E3">
      <w:pPr>
        <w:pStyle w:val="style0"/>
        <w:keepNext w:val="false"/>
        <w:keepLines w:val="false"/>
        <w:pageBreakBefore w:val="false"/>
        <w:widowControl/>
        <w:numPr>
          <w:ilvl w:val="0"/>
          <w:numId w:val="2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SLA</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Service-Level Agreement/statutory timeline for a processing stage.</w:t>
      </w:r>
    </w:p>
    <w:p w14:paraId="000002E4">
      <w:pPr>
        <w:pStyle w:val="style0"/>
        <w:keepNext w:val="false"/>
        <w:keepLines w:val="false"/>
        <w:pageBreakBefore w:val="false"/>
        <w:widowControl/>
        <w:numPr>
          <w:ilvl w:val="0"/>
          <w:numId w:val="21"/>
        </w:numPr>
        <w:pBdr>
          <w:left w:val="nil"/>
          <w:right w:val="nil"/>
          <w:top w:val="nil"/>
          <w:bottom w:val="nil"/>
          <w:between w:val="nil"/>
        </w:pBdr>
        <w:shd w:val="clear" w:color="auto" w:fill="auto"/>
        <w:spacing w:before="36" w:after="36" w:lineRule="auto" w:line="240"/>
        <w:ind w:left="720" w:right="0" w:hanging="480"/>
        <w:jc w:val="left"/>
        <w:rPr/>
      </w:pPr>
      <w:r>
        <w:rPr>
          <w:rFonts w:ascii="Cambria" w:cs="Cambria" w:eastAsia="Cambria" w:hAnsi="Cambria"/>
          <w:b/>
          <w:bCs/>
          <w:i w:val="false"/>
          <w:iCs w:val="false"/>
          <w:smallCaps w:val="false"/>
          <w:color w:val="000000"/>
          <w:sz w:val="24"/>
          <w:szCs w:val="24"/>
          <w:u w:val="none"/>
          <w:shd w:val="clear" w:color="auto" w:fill="auto"/>
          <w:vertAlign w:val="baseline"/>
        </w:rPr>
        <w:t>TBV</w:t>
      </w: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 To Be Validated (with the concerned government department).</w:t>
      </w:r>
    </w:p>
    <w:p w14:paraId="000002E5">
      <w:pPr>
        <w:pStyle w:val="style0"/>
        <w:keepNext w:val="false"/>
        <w:keepLines w:val="false"/>
        <w:pageBreakBefore w:val="false"/>
        <w:widowControl/>
        <w:pBdr>
          <w:left w:val="nil"/>
          <w:right w:val="nil"/>
          <w:top w:val="nil"/>
          <w:bottom w:val="nil"/>
          <w:between w:val="nil"/>
        </w:pBdr>
        <w:shd w:val="clear" w:color="auto" w:fill="auto"/>
        <w:spacing w:before="180" w:after="18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iCs/>
          <w:smallCaps w:val="false"/>
          <w:color w:val="000000"/>
          <w:sz w:val="24"/>
          <w:szCs w:val="24"/>
          <w:u w:val="none"/>
          <w:shd w:val="clear" w:color="auto" w:fill="auto"/>
          <w:vertAlign w:val="baseline"/>
        </w:rPr>
        <w:t>— End of Document —</w:t>
      </w:r>
    </w:p>
    <w:sectPr>
      <w:pgSz w:w="12240" w:h="15840" w:orient="portrait"/>
      <w:pgMar w:top="1440" w:right="1440" w:bottom="1440" w:left="1440" w:header="360" w:footer="36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
    <w:nsid w:val="00000001"/>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2">
    <w:nsid w:val="00000002"/>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3">
    <w:nsid w:val="00000003"/>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4">
    <w:nsid w:val="00000004"/>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5">
    <w:nsid w:val="00000005"/>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6">
    <w:nsid w:val="00000006"/>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7">
    <w:nsid w:val="00000007"/>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8">
    <w:nsid w:val="00000008"/>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9">
    <w:nsid w:val="00000009"/>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0">
    <w:nsid w:val="0000000A"/>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nsid w:val="0000000B"/>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2">
    <w:nsid w:val="0000000C"/>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3">
    <w:nsid w:val="0000000D"/>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4">
    <w:nsid w:val="0000000E"/>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5">
    <w:nsid w:val="0000000F"/>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6">
    <w:nsid w:val="00000010"/>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7">
    <w:nsid w:val="00000011"/>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18">
    <w:nsid w:val="00000012"/>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nsid w:val="00000013"/>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nsid w:val="00000014"/>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21">
    <w:nsid w:val="00000015"/>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22">
    <w:nsid w:val="00000016"/>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23">
    <w:nsid w:val="00000017"/>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4">
    <w:nsid w:val="00000018"/>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25">
    <w:nsid w:val="00000019"/>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26">
    <w:nsid w:val="0000001A"/>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27">
    <w:nsid w:val="0000001B"/>
    <w:multiLevelType w:val="multilevel"/>
    <w:tmpl w:val="FFFFFFFF"/>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num w:numId="1">
    <w:abstractNumId w:val="10"/>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Cambria" w:eastAsia="Cambria" w:hAnsi="Cambria"/>
        <w:sz w:val="24"/>
        <w:szCs w:val="24"/>
      </w:rPr>
    </w:rPrDefault>
    <w:pPrDefault>
      <w:pPr>
        <w:spacing w:after="200"/>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0"/>
    </w:pPr>
    <w:rPr>
      <w:rFonts w:ascii="Calibri" w:cs="Calibri" w:eastAsia="Calibri" w:hAnsi="Calibri"/>
      <w:b/>
      <w:bCs/>
      <w:color w:val="4f81bd"/>
      <w:sz w:val="32"/>
      <w:szCs w:val="32"/>
    </w:rPr>
  </w:style>
  <w:style w:type="paragraph" w:styleId="style2">
    <w:name w:val="heading 2"/>
    <w:basedOn w:val="style4098"/>
    <w:next w:val="style4098"/>
    <w:pPr>
      <w:keepNext/>
      <w:keepLines/>
      <w:spacing w:before="200" w:after="0"/>
    </w:pPr>
    <w:rPr>
      <w:rFonts w:ascii="Calibri" w:cs="Calibri" w:eastAsia="Calibri" w:hAnsi="Calibri"/>
      <w:b/>
      <w:bCs/>
      <w:color w:val="4f81bd"/>
      <w:sz w:val="28"/>
      <w:szCs w:val="28"/>
    </w:rPr>
  </w:style>
  <w:style w:type="paragraph" w:styleId="style3">
    <w:name w:val="heading 3"/>
    <w:basedOn w:val="style4098"/>
    <w:next w:val="style4098"/>
    <w:pPr>
      <w:keepNext/>
      <w:keepLines/>
      <w:spacing w:before="200" w:after="0"/>
    </w:pPr>
    <w:rPr>
      <w:rFonts w:ascii="Calibri" w:cs="Calibri" w:eastAsia="Calibri" w:hAnsi="Calibri"/>
      <w:b/>
      <w:bCs/>
      <w:color w:val="4f81bd"/>
      <w:sz w:val="24"/>
      <w:szCs w:val="24"/>
    </w:rPr>
  </w:style>
  <w:style w:type="paragraph" w:styleId="style4">
    <w:name w:val="heading 4"/>
    <w:basedOn w:val="style4098"/>
    <w:next w:val="style4098"/>
    <w:pPr>
      <w:keepNext/>
      <w:keepLines/>
      <w:spacing w:before="200" w:after="0"/>
    </w:pPr>
    <w:rPr>
      <w:rFonts w:ascii="Calibri" w:cs="Calibri" w:eastAsia="Calibri" w:hAnsi="Calibri"/>
      <w:i/>
      <w:iCs/>
      <w:color w:val="4f81bd"/>
      <w:sz w:val="24"/>
      <w:szCs w:val="24"/>
    </w:rPr>
  </w:style>
  <w:style w:type="paragraph" w:styleId="style5">
    <w:name w:val="heading 5"/>
    <w:basedOn w:val="style4098"/>
    <w:next w:val="style4098"/>
    <w:pPr>
      <w:keepNext/>
      <w:keepLines/>
      <w:spacing w:before="200" w:after="0"/>
    </w:pPr>
    <w:rPr>
      <w:rFonts w:ascii="Calibri" w:cs="Calibri" w:eastAsia="Calibri" w:hAnsi="Calibri"/>
      <w:color w:val="4f81bd"/>
      <w:sz w:val="24"/>
      <w:szCs w:val="24"/>
    </w:rPr>
  </w:style>
  <w:style w:type="paragraph" w:styleId="style6">
    <w:name w:val="heading 6"/>
    <w:basedOn w:val="style4098"/>
    <w:next w:val="style4098"/>
    <w:pPr>
      <w:keepNext/>
      <w:keepLines/>
      <w:spacing w:before="200" w:after="0"/>
    </w:pPr>
    <w:rPr>
      <w:rFonts w:ascii="Calibri" w:cs="Calibri" w:eastAsia="Calibri" w:hAnsi="Calibri"/>
      <w:color w:val="4f81bd"/>
      <w:sz w:val="24"/>
      <w:szCs w:val="24"/>
    </w:rPr>
  </w:style>
  <w:style w:type="paragraph" w:styleId="style62">
    <w:name w:val="Title"/>
    <w:basedOn w:val="style4098"/>
    <w:next w:val="style4098"/>
    <w:pPr>
      <w:keepNext/>
      <w:keepLines/>
      <w:spacing w:before="480" w:after="240"/>
      <w:jc w:val="center"/>
    </w:pPr>
    <w:rPr>
      <w:rFonts w:ascii="Calibri" w:cs="Calibri" w:eastAsia="Calibri" w:hAnsi="Calibri"/>
      <w:b/>
      <w:bCs/>
      <w:color w:val="335b8a"/>
      <w:sz w:val="36"/>
      <w:szCs w:val="36"/>
    </w:rPr>
  </w:style>
  <w:style w:type="paragraph" w:styleId="style74">
    <w:name w:val="Subtitle"/>
    <w:basedOn w:val="style4098"/>
    <w:next w:val="style4098"/>
    <w:pPr>
      <w:keepNext/>
      <w:keepLines/>
      <w:spacing w:before="240" w:after="240"/>
      <w:jc w:val="center"/>
    </w:pPr>
    <w:rPr>
      <w:rFonts w:ascii="Calibri" w:cs="Calibri" w:eastAsia="Calibri" w:hAnsi="Calibri"/>
      <w:b/>
      <w:bCs/>
      <w:color w:val="335b8a"/>
      <w:sz w:val="30"/>
      <w:szCs w:val="30"/>
    </w:rPr>
  </w:style>
  <w:style w:type="table" w:customStyle="1" w:styleId="style4099">
    <w:basedOn w:val="style4097"/>
    <w:next w:val="style4099"/>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0">
    <w:basedOn w:val="style4097"/>
    <w:next w:val="style4100"/>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1">
    <w:basedOn w:val="style4097"/>
    <w:next w:val="style4101"/>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2">
    <w:basedOn w:val="style4097"/>
    <w:next w:val="style4102"/>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3">
    <w:basedOn w:val="style4097"/>
    <w:next w:val="style4103"/>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4">
    <w:basedOn w:val="style4097"/>
    <w:next w:val="style4104"/>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5">
    <w:basedOn w:val="style4097"/>
    <w:next w:val="style4105"/>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6">
    <w:basedOn w:val="style4097"/>
    <w:next w:val="style4106"/>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7">
    <w:basedOn w:val="style4097"/>
    <w:next w:val="style4107"/>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table" w:customStyle="1" w:styleId="style4108">
    <w:basedOn w:val="style4097"/>
    <w:next w:val="style4108"/>
    <w:pPr/>
    <w:rPr/>
    <w:tblPr>
      <w:tblStyleRowBandSize w:val="1"/>
      <w:tblStyleColBandSize w:val="1"/>
      <w:tblCellMar>
        <w:top w:w="0" w:type="dxa"/>
        <w:left w:w="108" w:type="dxa"/>
        <w:bottom w:w="0" w:type="dxa"/>
        <w:right w:w="108" w:type="dxa"/>
      </w:tblCellMar>
    </w:tblPr>
    <w:tblStylePr w:type="firstRow">
      <w:pPr/>
      <w:tblPr/>
      <w:tcPr>
        <w:tcBorders>
          <w:bottom w:val="nil"/>
        </w:tcBorders>
        <w:vAlign w:val="bottom"/>
      </w:tcPr>
    </w:tblStyle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7469</Words>
  <Characters>50266</Characters>
  <Application>WPS Office</Application>
  <Paragraphs>850</Paragraphs>
  <CharactersWithSpaces>57253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2026-09-17T15:41:21Z</dcterms:created>
  <dc:creator>WPS Office</dc:creator>
  <lastModifiedBy>CPH2467</lastModifiedBy>
  <dcterms:modified xsi:type="dcterms:W3CDTF">2026-09-17T15:41:22Z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05ea19c828fa48c69e490b8271e47538_23</vt:lpwstr>
  </property>
</Properties>
</file>