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Grid-Aware Spatio-Temporal Load Shaping for Geo-Distributed Data Centers via Deep Reinforcement Learning:</w:t>
      </w:r>
    </w:p>
    <w:p>
      <w:pPr>
        <w:spacing w:after="160"/>
        <w:jc w:val="center"/>
      </w:pPr>
      <w:r>
        <w:rPr>
          <w:b/>
          <w:i w:val="0"/>
          <w:sz w:val="26"/>
        </w:rPr>
        <w:t>A Cell-Aggregate Study on Google ClusterData 2019</w:t>
      </w:r>
    </w:p>
    <w:p>
      <w:pPr>
        <w:spacing w:after="40"/>
        <w:jc w:val="center"/>
      </w:pPr>
      <w:r>
        <w:rPr>
          <w:b w:val="0"/>
          <w:i w:val="0"/>
          <w:sz w:val="22"/>
        </w:rPr>
        <w:t>Janusz Gal</w:t>
      </w:r>
    </w:p>
    <w:p>
      <w:pPr>
        <w:spacing w:after="200"/>
        <w:jc w:val="center"/>
      </w:pPr>
      <w:r>
        <w:rPr>
          <w:b w:val="0"/>
          <w:i/>
          <w:sz w:val="16"/>
        </w:rPr>
        <w:t>Master's Thesis Draft — generated working paper; numbers correspond to the multi-seed review campaign (5 seeds/config) on the corrected environment.</w:t>
      </w:r>
    </w:p>
    <w:p>
      <w:pPr>
        <w:spacing w:after="60"/>
      </w:pPr>
      <w:r>
        <w:rPr>
          <w:b w:val="0"/>
          <w:i w:val="0"/>
          <w:sz w:val="18"/>
        </w:rPr>
        <w:t>Abstract — Hyperscale data centers are now grid-scale electrical loads whose consumption coincides with regional net-demand peaks (the “duck curve”). We study whether a reinforcement-learning agent can route workload across geographically distributed data centers — spatially (where) and temporally (when, for deferrable batch work) — to minimize electricity cost while reducing the fleet's contribution to grid stress. Following the aggregate load-shaping paradigm of Google's production Carbon-Intelligent Computing System rather than job-level scheduling, we model four Borg cells from the Google ClusterData 2019 trace as proxy data centers: measured per-tier demand curves (service vs. no-SLO batch, extracted from instance-level usage by priority tier), per-cell power models calibrated on the companion PowerData2019 measurements (R² = 0.75–0.80 per cell vs. 0.43 pooled), real EIA-930 net-demand series, and documented synthetic regional price series (see provenance note, Sec. IV-D). Across five training seeds per configuration, a continuous-action PPO policy controlling routing fractions, batch drain rates, and batch placement beats the grid-unaware status quo by 2.7–12.9%, a foresighted lookahead heuristic by 5.0–14.8%, and the best discrete DQN variant by 2.5–9.9% (winning 19 of 20 seed-paired comparisons), and sits within 1.1–5.6% of a clairvoyant convex-QP lower bound — with zero deadline violations and 100% of service demand served. A three-stage generalization study shows transfer succeeds along the observed axis (a real 2019→2024 net-demand shift) but fails along an unobserved one (held-out cells), until domain randomization restores it; and the spatial advantage survives inter-site movement costs up to ~0.35–0.53× the energy cost of serving a unit. We additionally contribute three experimentally validated modeling lessons — deadline penalties must scale with the energy value of deferred work; capacity-blocked work must queue, not expire; and synthetic workload generators must conserve the demand-presentation process (requests ≠ usage) — each of which, while uncorrected, inverted the experimental ranking.</w:t>
      </w:r>
    </w:p>
    <w:p>
      <w:pPr>
        <w:spacing w:after="200"/>
      </w:pPr>
      <w:r>
        <w:rPr>
          <w:b w:val="0"/>
          <w:i/>
          <w:sz w:val="18"/>
        </w:rPr>
        <w:t>Index Terms — data centers, demand response, reinforcement learning, workload scheduling, duck curve, Google cluster trace, load shaping.</w:t>
      </w:r>
    </w:p>
    <w:p>
      <w:pPr>
        <w:sectPr>
          <w:pgSz w:w="12240" w:h="15840"/>
          <w:pgMar w:top="1080" w:right="1080" w:bottom="1080" w:left="1080" w:header="720" w:footer="720" w:gutter="0"/>
          <w:cols w:space="720"/>
          <w:docGrid w:linePitch="360"/>
        </w:sectPr>
      </w:pPr>
    </w:p>
    <w:p>
      <w:pPr>
        <w:spacing w:after="80"/>
        <w:jc w:val="center"/>
      </w:pPr>
      <w:r>
        <w:rPr>
          <w:b/>
          <w:i w:val="0"/>
          <w:sz w:val="21"/>
        </w:rPr>
        <w:t>I. INTRODUCTION</w:t>
      </w:r>
    </w:p>
    <w:p>
      <w:pPr>
        <w:spacing w:after="60"/>
      </w:pPr>
      <w:r>
        <w:rPr>
          <w:b w:val="0"/>
          <w:i w:val="0"/>
          <w:sz w:val="19"/>
        </w:rPr>
        <w:t>Data centers consumed roughly 415 TWh of electricity in 2024, and the IEA projects consumption to more than double to ~950 TWh — about 3% of global electricity demand — by 2030 [28]; the geographic concentration of hyperscale campuses turns individual operators into grid-scale loads. Simultaneously, solar-heavy grids exhibit the duck curve: midday renewable generation depresses net demand, followed by a steep evening ramp during which prices spike and grid stress peaks. A data-center fleet that concentrates its draw during these ramps contributes directly to system peaks; a fleet that shifts flexible work across locations and hours can instead smooth them. Google's production Carbon-Intelligent Computing System (CICS) demonstrates that this lever is real at hyperscale [3]. Open RL environments for sustainable data-center scheduling now exist — SustainDC for within-DC multi-agent control [26] and SustainCluster for geo-distributed per-task dispatch [27] — but none provides measured per-tier (flexible vs. inflexible) demand decomposition of a hyperscale trace, power models calibrated on companion power measurements, or a grid net-demand (duck-curve) objective; those are the gaps this thesis fills.</w:t>
      </w:r>
    </w:p>
    <w:p>
      <w:pPr>
        <w:spacing w:after="60"/>
      </w:pPr>
      <w:r>
        <w:rPr>
          <w:b w:val="0"/>
          <w:i w:val="0"/>
          <w:sz w:val="19"/>
        </w:rPr>
        <w:t>This thesis asks: can a model-free reinforcement-learning agent, observing only per-site demand, prices, and grid net demand, learn a joint spatial-temporal load-shaping policy that beats both the grid-unaware status quo and foresighted scheduling heuristics? We answer affirmatively, on an environment built end-to-end from measured data, and we document — unusually, as a first-class contribution — the modeling errors we made on the way, each of which inverted the experimental ranking until found and fixed.</w:t>
      </w:r>
    </w:p>
    <w:p>
      <w:pPr>
        <w:spacing w:after="60"/>
      </w:pPr>
      <w:r>
        <w:rPr>
          <w:b w:val="0"/>
          <w:i w:val="0"/>
          <w:sz w:val="19"/>
        </w:rPr>
        <w:t>Contributions. (C1) A reproducible Gymnasium environment for multi-data-center grid-aware load shaping at cell-aggregate granularity, grounded in Google ClusterData 2019 [1], PowerData2019 [2], EIA-930 net demand, and documented synthetic regional prices. (C2) Ground-truth measured per-tier demand decomposition (SLO service vs. no-SLO batch) of four trace cells, with the finding that resource requests overestimate the deferrable usage share by 3–5×. (C3) A continuous-action PPO formulation (routing + drain + batch placement) that, across five seeds per configuration, wins every evaluated configuration against heuristic, DQN, and status-quo baselines with zero deadline violations, and lands within 1.1–5.6% of a clairvoyant QP lower bound. (C4) Identification of marginal-power (slope) arbitrage as an emergent routing strategy enabled by per-cell power calibration. (C5) A three-stage generalization result establishing that transfer tracks observability, with domain randomization closing the unobserved axis. (C6) Three transferable modeling lessons for deferral-with-deadlines simulators, each validated by ranking inversion.</w:t>
      </w:r>
    </w:p>
    <w:p>
      <w:pPr>
        <w:spacing w:after="80"/>
        <w:jc w:val="center"/>
      </w:pPr>
      <w:r>
        <w:rPr>
          <w:b/>
          <w:i w:val="0"/>
          <w:sz w:val="21"/>
        </w:rPr>
        <w:t>II. RELATED WORK AND METHODOLOGICAL LINEAGE</w:t>
      </w:r>
    </w:p>
    <w:p>
      <w:pPr>
        <w:spacing w:after="60"/>
      </w:pPr>
      <w:r>
        <w:rPr>
          <w:b w:val="0"/>
          <w:i w:val="0"/>
          <w:sz w:val="19"/>
        </w:rPr>
        <w:t>This work deliberately assembles its methodology from prior art; this section states precisely what is taken from where.</w:t>
      </w:r>
    </w:p>
    <w:p>
      <w:pPr>
        <w:spacing w:after="40"/>
      </w:pPr>
      <w:r>
        <w:rPr>
          <w:b/>
          <w:i/>
          <w:sz w:val="20"/>
        </w:rPr>
        <w:t>A. The trace and its semantics</w:t>
      </w:r>
    </w:p>
    <w:p>
      <w:pPr>
        <w:spacing w:after="60"/>
      </w:pPr>
      <w:r>
        <w:rPr>
          <w:b w:val="0"/>
          <w:i w:val="0"/>
          <w:sz w:val="19"/>
        </w:rPr>
        <w:t>ClusterData 2019, documented by Tirmazi et al. [1], covers eight Borg cells for May 2019 (~96k machines). We adopt three of its definitions wholesale: the cell as the natural management unit (§2 of [1]); priority tiers, from which we define deferrable work as the union of the two no-SLO tiers — free (priority ≤ 99) and best-effort batch (100–115, per the trace documentation [22], which corrects the 110–115 range mistakenly reported in [1]) — production work (120–359) is explicitly protected by eviction of lower tiers and is never deferred; and Normalized Compute Units. The companion PowerData2019 [2] provides measured per-PDU power utilization, used here for calibration. Tirmazi's heavy-tail observation (top 1% of jobs consume &gt;99% of resources) informs our distribution fits; notably we find the tail does not survive aggregation (Sec. VII).</w:t>
      </w:r>
    </w:p>
    <w:p>
      <w:pPr>
        <w:spacing w:after="40"/>
      </w:pPr>
      <w:r>
        <w:rPr>
          <w:b/>
          <w:i/>
          <w:sz w:val="20"/>
        </w:rPr>
        <w:t>B. Workload-generation lineage</w:t>
      </w:r>
    </w:p>
    <w:p>
      <w:pPr>
        <w:spacing w:after="60"/>
      </w:pPr>
      <w:r>
        <w:rPr>
          <w:b w:val="0"/>
          <w:i w:val="0"/>
          <w:sz w:val="19"/>
        </w:rPr>
        <w:t>Our synthetic batch generator descends directly from Da Costa, Grange &amp; De Courchelle [5], instantiated as the scipy-based Listing 1 of Grange et al. [4], in the Feitelson workload-modeling tradition [21]. We reproduce Listing 1 verbatim (scripts/grange_generator.py recovers their published lognormal s = 1.634, scale = 447), then extend it: distributions are re-fit to the 2019 trace under the no-SLO definition, selected by minimum Kolmogorov–Smirnov distance (the p-value saturates at n ≈ 10⁵), with discrete negative-binomial task counts. Grange's SLA-flexibility knob becomes our deadline model, Eq. (5). Critically, in the final environment the generator is demoted to sensitivity analysis: measured per-tier curves are the primary input, after we found single-timestep job pulses inflated batch burstiness by two orders of magnitude (Sec. VII).</w:t>
      </w:r>
    </w:p>
    <w:p>
      <w:pPr>
        <w:spacing w:after="40"/>
      </w:pPr>
      <w:r>
        <w:rPr>
          <w:b/>
          <w:i/>
          <w:sz w:val="20"/>
        </w:rPr>
        <w:t>C. Geographic load balancing for electricity cost</w:t>
      </w:r>
    </w:p>
    <w:p>
      <w:pPr>
        <w:spacing w:after="60"/>
      </w:pPr>
      <w:r>
        <w:rPr>
          <w:b w:val="0"/>
          <w:i w:val="0"/>
          <w:sz w:val="19"/>
        </w:rPr>
        <w:t>Spatial electricity-price arbitrage across internet-scale systems predates the renewable-aware literature: Qureshi et al. quantified the savings from routing request load toward cheap electricity markets [23]; Rao et al. formalized cost minimization for distributed data centers across multiple electricity markets [24]; and Liu, Lin, Wierman, Low and Andrew gave the optimization treatment of geographical load balancing with renewable supply, characterizing when 'follow the renewables' routing is optimal [25]. Our spatial lever is a direct descendant of this lineage — with two displacements: the objective targets grid net demand (the duck-curve quantity) rather than price alone, and the routed quantity is measured aggregate tier demand rather than request traffic.</w:t>
      </w:r>
    </w:p>
    <w:p>
      <w:pPr>
        <w:spacing w:after="40"/>
      </w:pPr>
      <w:r>
        <w:rPr>
          <w:b/>
          <w:i/>
          <w:sz w:val="20"/>
        </w:rPr>
        <w:t>D. Single-DC renewable-aware scheduling</w:t>
      </w:r>
    </w:p>
    <w:p>
      <w:pPr>
        <w:spacing w:after="60"/>
      </w:pPr>
      <w:r>
        <w:rPr>
          <w:b w:val="0"/>
          <w:i w:val="0"/>
          <w:sz w:val="19"/>
        </w:rPr>
        <w:t>The deferral-with-deadlines pattern originates in single-DC work: GreenSlot [10] delays jobs toward predicted cheap/green slots; Grange et al. [4] add due-date constraints and an infrastructure-agnostic objective signal (49% brown-energy reduction); Xu et al. [7] split workloads into brownout-able interactive and deferrable batch; Haghshenas et al. [8] schedule heterogeneous workloads against rate structures; Liu et al. [9] forecast-then-plan. We benchmark against this lineage at the level of objectives and effects — cost, peak contribution, deferral value — not mechanism: our Trough-Slot baseline retargets GreenSlot's slot valuation from solar supply to grid net demand, and our service/batch split operationalizes Xu's taxonomy via measured tiers.</w:t>
      </w:r>
    </w:p>
    <w:p>
      <w:pPr>
        <w:spacing w:after="40"/>
      </w:pPr>
      <w:r>
        <w:rPr>
          <w:b/>
          <w:i/>
          <w:sz w:val="20"/>
        </w:rPr>
        <w:t>E. Aggregate load shaping at hyperscale</w:t>
      </w:r>
    </w:p>
    <w:p>
      <w:pPr>
        <w:spacing w:after="60"/>
      </w:pPr>
      <w:r>
        <w:rPr>
          <w:b w:val="0"/>
          <w:i w:val="0"/>
          <w:sz w:val="19"/>
        </w:rPr>
        <w:t>Radovanović et al. [3] describe CICS, which shapes aggregate cluster load via day-ahead Virtual Capacity Curves and explicitly supersedes job-level deadline optimization (“aggregate cluster-specific resource demand forecasts … rather than stylized models for job-level resource demand modeling”). Our environment is a CICS-shaped formulation made reproducible: aggregate flexible/inflexible demand curves per cluster, power models trained separately per cluster, and both spatial and temporal shifting — retargeted from carbon to grid demand smoothing, on public data.</w:t>
      </w:r>
    </w:p>
    <w:p>
      <w:pPr>
        <w:spacing w:after="40"/>
      </w:pPr>
      <w:r>
        <w:rPr>
          <w:b/>
          <w:i/>
          <w:sz w:val="20"/>
        </w:rPr>
        <w:t>F. Reinforcement learning and open environments</w:t>
      </w:r>
    </w:p>
    <w:p>
      <w:pPr>
        <w:spacing w:after="60"/>
      </w:pPr>
      <w:r>
        <w:rPr>
          <w:b w:val="0"/>
          <w:i w:val="0"/>
          <w:sz w:val="19"/>
        </w:rPr>
        <w:t>RL for DC energy management is surveyed in [15]; DeepEE [16] jointly schedules jobs and cooling with DRL (cooling is excluded from our scope). Closest to our setting, CFWS [6] applies DQN with a flattened-index action encoding to VM migration across four geo-distributed DCs. We do not reimplement CFWS (it operates per-VM/per-PM); instead we port its action-encoding philosophy to a 48-action variant and benchmark it, alongside a 759-action routing grid, against continuous-action PPO [18] (DQN [19]; implementations via Stable-Baselines3 [20]). Energy-model form follows the linear idle+slope server model surveyed in [14] and canonicalized by Fan et al. [17]; the demand-response framing follows [13]; broader green-DC context in [11], geo-distributed scheduling in [12].</w:t>
      </w:r>
    </w:p>
    <w:p>
      <w:pPr>
        <w:spacing w:after="60"/>
      </w:pPr>
      <w:r>
        <w:rPr>
          <w:b w:val="0"/>
          <w:i w:val="0"/>
          <w:sz w:val="19"/>
        </w:rPr>
        <w:t>Open benchmark environments for this problem class have recently emerged. SustainDC [26] provides multi-agent Gymnasium environments for control *within* a data center (workload shifting, cooling, battery). SustainCluster [27] is its geo-distributed successor: a centralized scheduler dispatches or defers *individual tasks* of the Alibaba 2020 GPU trace across 20+ global locations every 15 minutes, optimizing energy cost, carbon, SLA, and per-GB transmission overheads. Our environment is complementary on three axes: granularity (CICS-style measured aggregate per-tier curves rather than per-task dispatch), data grounding (Google ClusterData 2019 with PowerData2019-calibrated per-cell power, rather than Alibaba GPU jobs with carbon-intensity feeds), and objective (grid net-demand peak contribution rather than carbon). We deliberately do not run our experiments inside SustainCluster: answering our question there would require replacing both its objective (carbon → grid net demand) and its action model (per-task dispatch → aggregate tier control, the granularity Sec. II-E argues for), while abandoning the Google-trace data contributions — at which point the environment would no longer be SustainCluster. The two environments are complementary benchmarks; SustainCluster's transmission-cost model is the natural template for the movement-cost sensitivity analysis of Sec. VIII, and cross-validation of our policies inside it is listed as future work.</w:t>
      </w:r>
    </w:p>
    <w:p>
      <w:pPr>
        <w:spacing w:after="80"/>
        <w:jc w:val="center"/>
      </w:pPr>
      <w:r>
        <w:rPr>
          <w:b/>
          <w:i w:val="0"/>
          <w:sz w:val="21"/>
        </w:rPr>
        <w:t>III. SYSTEM MODEL</w:t>
      </w:r>
    </w:p>
    <w:p>
      <w:pPr>
        <w:spacing w:after="60"/>
      </w:pPr>
      <w:r>
        <w:rPr>
          <w:b w:val="0"/>
          <w:i w:val="0"/>
          <w:sz w:val="19"/>
        </w:rPr>
        <w:t>N = 4 data centers indexed by i operate over T = 8,917 five-minute steps (Δ = 300 s, Δh = 1/12 h). Site i has measured aggregate demand curve wᵢ,ₜ ∈ [0,1] (fraction of cell capacity), decomposed by measured priority tier into non-deferrable service demand vᵢ,ₜ and deferrable batch arrivals aᵢ,ₜ with v + a = w exactly. Site inputs further include electricity price πᵢ,ₜ ($/kWh), normalized grid net demand dᵢ,ₜ ∈ [0,1], and capacity κᵢ from fleet machine data.</w:t>
      </w:r>
    </w:p>
    <w:p>
      <w:pPr>
        <w:spacing w:after="40"/>
      </w:pPr>
      <w:r>
        <w:rPr>
          <w:b/>
          <w:i/>
          <w:sz w:val="20"/>
        </w:rPr>
        <w:t>A. Power and cost</w:t>
      </w:r>
    </w:p>
    <w:p>
      <w:pPr>
        <w:spacing w:after="60"/>
      </w:pPr>
      <w:r>
        <w:rPr>
          <w:b w:val="0"/>
          <w:i w:val="0"/>
          <w:sz w:val="19"/>
        </w:rPr>
        <w:t>Each site has a per-cell calibrated linear power model:</w:t>
      </w:r>
    </w:p>
    <w:p>
      <w:pPr>
        <w:spacing w:after="80"/>
        <w:jc w:val="center"/>
      </w:pPr>
      <w:r>
        <w:rPr>
          <w:i/>
          <w:sz w:val="19"/>
        </w:rPr>
        <w:t>Pᵢ(u) = Pᵢⁱᵈˡᵉ + sᵢ · u        (1)</w:t>
      </w:r>
    </w:p>
    <w:p>
      <w:pPr>
        <w:spacing w:after="80"/>
        <w:jc w:val="center"/>
      </w:pPr>
      <w:r>
        <w:rPr>
          <w:i/>
          <w:sz w:val="19"/>
        </w:rPr>
        <w:t>gᵢ,ₜ = Pᵢ(uᵢ,ₜ) · R,   R = 100 MW        (2)</w:t>
      </w:r>
    </w:p>
    <w:p>
      <w:pPr>
        <w:spacing w:after="60"/>
      </w:pPr>
      <w:r>
        <w:rPr>
          <w:b w:val="0"/>
          <w:i w:val="0"/>
          <w:sz w:val="19"/>
        </w:rPr>
        <w:t>where uᵢ,ₜ is served CPU and g the grid draw (sites are pure grid loads; no on-site generation). Energy cost and the quadratic, net-demand-weighted peak-contribution penalty are</w:t>
      </w:r>
    </w:p>
    <w:p>
      <w:pPr>
        <w:spacing w:after="80"/>
        <w:jc w:val="center"/>
      </w:pPr>
      <w:r>
        <w:rPr>
          <w:i/>
          <w:sz w:val="19"/>
        </w:rPr>
        <w:t>Eₜ = Σᵢ πᵢ,ₜ · gᵢ,ₜ · 1000 · Δh        (3)</w:t>
      </w:r>
    </w:p>
    <w:p>
      <w:pPr>
        <w:spacing w:after="80"/>
        <w:jc w:val="center"/>
      </w:pPr>
      <w:r>
        <w:rPr>
          <w:i/>
          <w:sz w:val="19"/>
        </w:rPr>
        <w:t>Φₜ = α · Σᵢ gᵢ,ₜ² · dᵢ,ₜ,   α = 0.015        (4)</w:t>
      </w:r>
    </w:p>
    <w:p>
      <w:pPr>
        <w:spacing w:after="60"/>
      </w:pPr>
      <w:r>
        <w:rPr>
          <w:b w:val="0"/>
          <w:i w:val="0"/>
          <w:sz w:val="19"/>
        </w:rPr>
        <w:t>The quadratic form penalizes concentration; the d-weighting makes draw near the duck-curve neck expensive and slack-hour draw nearly free [13].</w:t>
      </w:r>
    </w:p>
    <w:p>
      <w:pPr>
        <w:spacing w:after="40"/>
      </w:pPr>
      <w:r>
        <w:rPr>
          <w:b/>
          <w:i/>
          <w:sz w:val="20"/>
        </w:rPr>
        <w:t>B. Deferrable batch dynamics</w:t>
      </w:r>
    </w:p>
    <w:p>
      <w:pPr>
        <w:spacing w:after="60"/>
      </w:pPr>
      <w:r>
        <w:rPr>
          <w:b w:val="0"/>
          <w:i w:val="0"/>
          <w:sz w:val="19"/>
        </w:rPr>
        <w:t>Each site maintains a pool Qᵢ,ₜ of batch work with per-entry deadlines. Arrivals enter with deadline offset from the fitted mean duration μᵢ and flexibility factor φ = 1 (after [4]):</w:t>
      </w:r>
    </w:p>
    <w:p>
      <w:pPr>
        <w:spacing w:after="80"/>
        <w:jc w:val="center"/>
      </w:pPr>
      <w:r>
        <w:rPr>
          <w:i/>
          <w:sz w:val="19"/>
        </w:rPr>
        <w:t>τ = t + ⌈ μᵢ (1 + φ) / Δ ⌉        (5)</w:t>
      </w:r>
    </w:p>
    <w:p>
      <w:pPr>
        <w:spacing w:after="80"/>
        <w:jc w:val="center"/>
      </w:pPr>
      <w:r>
        <w:rPr>
          <w:i/>
          <w:sz w:val="19"/>
        </w:rPr>
        <w:t>Qᵢ,ₜ₊₁ = Qᵢ,ₜ + aᵢ,ₜ − Sᵢ,ₜ − Xᵢ,ₜ        (6)</w:t>
      </w:r>
    </w:p>
    <w:p>
      <w:pPr>
        <w:spacing w:after="60"/>
      </w:pPr>
      <w:r>
        <w:rPr>
          <w:b w:val="0"/>
          <w:i w:val="0"/>
          <w:sz w:val="19"/>
        </w:rPr>
        <w:t>where S is batch actually served and X expired work. Two semantics are essential and were validated by invariant (Sec. V-C): the drain action is an intended release — only served work leaves the pool — and capacity-blocked work retains its original deadline (it queues, as Borg's batch scheduler does [1], rather than expiring on a one-step fuse).</w:t>
      </w:r>
    </w:p>
    <w:p>
      <w:pPr>
        <w:spacing w:after="40"/>
      </w:pPr>
      <w:r>
        <w:rPr>
          <w:b/>
          <w:i/>
          <w:sz w:val="20"/>
        </w:rPr>
        <w:t>C. Action, serving, and reward</w:t>
      </w:r>
    </w:p>
    <w:p>
      <w:pPr>
        <w:spacing w:after="60"/>
      </w:pPr>
      <w:r>
        <w:rPr>
          <w:b w:val="0"/>
          <w:i w:val="0"/>
          <w:sz w:val="19"/>
        </w:rPr>
        <w:t>The agent outputs a ∈ [−3,3]³ᴺ, decoded as service routing fractions f = softmax(a₁:ₙ), drain rates δ = σ(aₙ₊₁:₂ₙ), and batch placement h = softmax(a₂ₙ₊₁:₃ₙ) — batch work, having no latency SLO, may execute anywhere:</w:t>
      </w:r>
    </w:p>
    <w:p>
      <w:pPr>
        <w:spacing w:after="80"/>
        <w:jc w:val="center"/>
      </w:pPr>
      <w:r>
        <w:rPr>
          <w:i/>
          <w:sz w:val="19"/>
        </w:rPr>
        <w:t>uᵢ,ₜ = min( fᵢ Dₜ + Bᵢ,ₜ + hᵢ Σⱼ δⱼ Qⱼ,ₜ ,  κᵢ )        (7)</w:t>
      </w:r>
    </w:p>
    <w:p>
      <w:pPr>
        <w:spacing w:after="60"/>
      </w:pPr>
      <w:r>
        <w:rPr>
          <w:b w:val="0"/>
          <w:i w:val="0"/>
          <w:sz w:val="19"/>
        </w:rPr>
        <w:t>with Dₜ total service demand, B backlog (unserved service, penalized), and service strictly prioritized over batch. The ±3 action bound (not the SB3 default ±1) matters: SB3 clips actions to the action box before the decode, so ±1 would cap every routing share to [4.3%, 71%] and every drain rate to [27%, 73%], making full concentration and multi-hour holding impossible by construction; ±3 restores parity with the discrete baselines (shares to ~98.5%). The reward is</w:t>
      </w:r>
    </w:p>
    <w:p>
      <w:pPr>
        <w:spacing w:after="80"/>
        <w:jc w:val="center"/>
      </w:pPr>
      <w:r>
        <w:rPr>
          <w:i/>
          <w:sz w:val="19"/>
        </w:rPr>
        <w:t>rₜ = −[ Eₜ + Φₜ + λ_b Σ B + λ_κ Σ max(0, u−κ) + w Σ X ]        (8)</w:t>
      </w:r>
    </w:p>
    <w:p>
      <w:pPr>
        <w:spacing w:after="60"/>
      </w:pPr>
      <w:r>
        <w:rPr>
          <w:b w:val="0"/>
          <w:i w:val="0"/>
          <w:sz w:val="19"/>
        </w:rPr>
        <w:t>with capacity weight λ_κ = 5, deadline weight w = 250, and service-backlog weight λ_b = 25. Both w and λ_b are calibrated to the energy value of the work they protect (Sec. VII, L1): w sits safely above both the ~$150 cost of serving a deferred unit and the analytic ranking-inversion point w ≈ 183, and λ_b is set so that parking SLO service in the backlog to dodge a price spike is never profitable (at the SB3-typical λ_b = 1.5 a three-hour hold costs only ~$54 against ~$180 of arbitrage, an exploit the audit in Sec. VI confirms is closed). The demand-smoothing metric reported alongside cost is the fleet load factor LF = mean(g)/max(g).</w:t>
      </w:r>
    </w:p>
    <w:p>
      <w:pPr>
        <w:spacing w:after="80"/>
        <w:jc w:val="center"/>
      </w:pPr>
      <w:r>
        <w:rPr>
          <w:b/>
          <w:i w:val="0"/>
          <w:sz w:val="21"/>
        </w:rPr>
        <w:t>IV. DATA AND CALIBRATION</w:t>
      </w:r>
    </w:p>
    <w:p>
      <w:pPr>
        <w:spacing w:after="40"/>
      </w:pPr>
      <w:r>
        <w:rPr>
          <w:b/>
          <w:i/>
          <w:sz w:val="20"/>
        </w:rPr>
        <w:t>A. Cells as proxy data centers</w:t>
      </w:r>
    </w:p>
    <w:p>
      <w:pPr>
        <w:spacing w:after="60"/>
      </w:pPr>
      <w:r>
        <w:rPr>
          <w:b w:val="0"/>
          <w:i w:val="0"/>
          <w:sz w:val="19"/>
        </w:rPr>
        <w:t>Cells a–d serve as four proxy DCs. Cell locations in the trace are anonymized; the geographic assignment is a modeling choice (US scenario: a CAISO-exposed Western DC + MISO/Southern/Duke territories; Global scenario: US-West/US-Central/NL/Singapore). Tirmazi documents considerable inter-cell workload variation but no geography. The normalized curve provides the demand shape; R = 100 MW sets hyperscale magnitude (a real cell is ~3–5 MW, invisible to a regional grid). Sensitivity to R is future work.</w:t>
      </w:r>
    </w:p>
    <w:p>
      <w:pPr>
        <w:spacing w:after="40"/>
      </w:pPr>
      <w:r>
        <w:rPr>
          <w:b/>
          <w:i/>
          <w:sz w:val="20"/>
        </w:rPr>
        <w:t>B. Measured per-tier demand</w:t>
      </w:r>
    </w:p>
    <w:p>
      <w:pPr>
        <w:spacing w:after="60"/>
      </w:pPr>
      <w:r>
        <w:rPr>
          <w:b w:val="0"/>
          <w:i w:val="0"/>
          <w:sz w:val="19"/>
        </w:rPr>
        <w:t>The service/batch split is measured, not modeled: instance_usage is joined to collection priority and aggregated per 5-minute bucket into service (SLO tiers) and batch (no-SLO tiers, priority ≤ 115) curves with v + a = w to machine precision (Fig. 2). Measured deferrable usage shares are 16.6% (a), 15.7% (b), 22.3% (c), 26.4% (d) — consistent with the ~20%-of-capacity best-effort average reported for the trace [1]. Request-weighted proxies (job counts × requested CPU) suggest 63–85%, an overestimate of 3–5×, consistent with Borg's over-allocation of best-effort tiers. Requests measure intent; usage measures schedulable reality.</w:t>
      </w:r>
    </w:p>
    <w:p>
      <w:pPr>
        <w:jc w:val="center"/>
      </w:pPr>
      <w:r>
        <w:drawing>
          <wp:inline xmlns:a="http://schemas.openxmlformats.org/drawingml/2006/main" xmlns:pic="http://schemas.openxmlformats.org/drawingml/2006/picture">
            <wp:extent cx="2926080" cy="1996463"/>
            <wp:docPr id="1" name="Picture 1"/>
            <wp:cNvGraphicFramePr>
              <a:graphicFrameLocks noChangeAspect="1"/>
            </wp:cNvGraphicFramePr>
            <a:graphic>
              <a:graphicData uri="http://schemas.openxmlformats.org/drawingml/2006/picture">
                <pic:pic>
                  <pic:nvPicPr>
                    <pic:cNvPr id="0" name="fig2_tiers.png"/>
                    <pic:cNvPicPr/>
                  </pic:nvPicPr>
                  <pic:blipFill>
                    <a:blip r:embed="rId9"/>
                    <a:stretch>
                      <a:fillRect/>
                    </a:stretch>
                  </pic:blipFill>
                  <pic:spPr>
                    <a:xfrm>
                      <a:off x="0" y="0"/>
                      <a:ext cx="2926080" cy="1996463"/>
                    </a:xfrm>
                    <a:prstGeom prst="rect"/>
                  </pic:spPr>
                </pic:pic>
              </a:graphicData>
            </a:graphic>
          </wp:inline>
        </w:drawing>
      </w:r>
    </w:p>
    <w:p>
      <w:pPr>
        <w:spacing w:after="120"/>
        <w:jc w:val="center"/>
      </w:pPr>
      <w:r>
        <w:rPr>
          <w:sz w:val="16"/>
        </w:rPr>
        <w:t>Fig. 2. Measured per-tier decomposition of cell b (3 of 31 days): service + batch equals the measured aggregate at every step.</w:t>
      </w:r>
    </w:p>
    <w:p>
      <w:pPr>
        <w:spacing w:after="40"/>
      </w:pPr>
      <w:r>
        <w:rPr>
          <w:b/>
          <w:i/>
          <w:sz w:val="20"/>
        </w:rPr>
        <w:t>C. Per-cell power calibration</w:t>
      </w:r>
    </w:p>
    <w:p>
      <w:pPr>
        <w:spacing w:after="60"/>
      </w:pPr>
      <w:r>
        <w:rPr>
          <w:b w:val="0"/>
          <w:i w:val="0"/>
          <w:sz w:val="19"/>
        </w:rPr>
        <w:t>Joining hourly PowerData2019 measured power with aggregate CPU yields 2,980 (cell, hour) samples. A pooled linear fit gives idle 0.479, slope 0.444, R² = 0.43 — but the residual is between-cell heterogeneity, not noise: per-cell fits reach R² = 0.75–0.80 (Fig. 3, Table II), and adding memory as a regressor contributes only +0.03. The environment therefore uses per-cell models, mirroring CICS's per-cluster power models [3]. The cells span a meaningful proportionality range: cell d (idle 0.38, slope 0.57) is far more energy-proportional than cell a (0.53, 0.34) — a real routing signal (Sec. VI-B).</w:t>
      </w:r>
    </w:p>
    <w:p>
      <w:pPr>
        <w:jc w:val="center"/>
      </w:pPr>
      <w:r>
        <w:rPr>
          <w:b/>
          <w:sz w:val="16"/>
        </w:rPr>
        <w:t>TABLE II. POWER MODEL CALIBRATION (POWERDATA2019)</w:t>
      </w:r>
    </w:p>
    <w:tbl>
      <w:tblPr>
        <w:tblStyle w:val="LightGrid-Accent1"/>
        <w:tblW w:type="auto" w:w="0"/>
        <w:tblLook w:firstColumn="1" w:firstRow="1" w:lastColumn="0" w:lastRow="0" w:noHBand="0" w:noVBand="1" w:val="04A0"/>
      </w:tblPr>
      <w:tblGrid>
        <w:gridCol w:w="2520"/>
        <w:gridCol w:w="2520"/>
        <w:gridCol w:w="2520"/>
        <w:gridCol w:w="2520"/>
      </w:tblGrid>
      <w:tr>
        <w:tc>
          <w:tcPr>
            <w:tcW w:type="dxa" w:w="864"/>
          </w:tcPr>
          <w:p>
            <w:r>
              <w:rPr>
                <w:b/>
                <w:sz w:val="16"/>
              </w:rPr>
              <w:t>Cell</w:t>
            </w:r>
          </w:p>
        </w:tc>
        <w:tc>
          <w:tcPr>
            <w:tcW w:type="dxa" w:w="1008"/>
          </w:tcPr>
          <w:p>
            <w:r>
              <w:rPr>
                <w:b/>
                <w:sz w:val="16"/>
              </w:rPr>
              <w:t>idle</w:t>
            </w:r>
          </w:p>
        </w:tc>
        <w:tc>
          <w:tcPr>
            <w:tcW w:type="dxa" w:w="1008"/>
          </w:tcPr>
          <w:p>
            <w:r>
              <w:rPr>
                <w:b/>
                <w:sz w:val="16"/>
              </w:rPr>
              <w:t>slope</w:t>
            </w:r>
          </w:p>
        </w:tc>
        <w:tc>
          <w:tcPr>
            <w:tcW w:type="dxa" w:w="864"/>
          </w:tcPr>
          <w:p>
            <w:r>
              <w:rPr>
                <w:b/>
                <w:sz w:val="16"/>
              </w:rPr>
              <w:t>R²</w:t>
            </w:r>
          </w:p>
        </w:tc>
      </w:tr>
      <w:tr>
        <w:tc>
          <w:tcPr>
            <w:tcW w:type="dxa" w:w="864"/>
          </w:tcPr>
          <w:p>
            <w:r>
              <w:rPr>
                <w:sz w:val="16"/>
              </w:rPr>
              <w:t>a</w:t>
            </w:r>
          </w:p>
        </w:tc>
        <w:tc>
          <w:tcPr>
            <w:tcW w:type="dxa" w:w="1008"/>
          </w:tcPr>
          <w:p>
            <w:r>
              <w:rPr>
                <w:sz w:val="16"/>
              </w:rPr>
              <w:t>0.528</w:t>
            </w:r>
          </w:p>
        </w:tc>
        <w:tc>
          <w:tcPr>
            <w:tcW w:type="dxa" w:w="1008"/>
          </w:tcPr>
          <w:p>
            <w:r>
              <w:rPr>
                <w:sz w:val="16"/>
              </w:rPr>
              <w:t>0.340</w:t>
            </w:r>
          </w:p>
        </w:tc>
        <w:tc>
          <w:tcPr>
            <w:tcW w:type="dxa" w:w="864"/>
          </w:tcPr>
          <w:p>
            <w:r>
              <w:rPr>
                <w:sz w:val="16"/>
              </w:rPr>
              <w:t>0.79</w:t>
            </w:r>
          </w:p>
        </w:tc>
      </w:tr>
      <w:tr>
        <w:tc>
          <w:tcPr>
            <w:tcW w:type="dxa" w:w="864"/>
          </w:tcPr>
          <w:p>
            <w:r>
              <w:rPr>
                <w:sz w:val="16"/>
              </w:rPr>
              <w:t>b</w:t>
            </w:r>
          </w:p>
        </w:tc>
        <w:tc>
          <w:tcPr>
            <w:tcW w:type="dxa" w:w="1008"/>
          </w:tcPr>
          <w:p>
            <w:r>
              <w:rPr>
                <w:sz w:val="16"/>
              </w:rPr>
              <w:t>0.548</w:t>
            </w:r>
          </w:p>
        </w:tc>
        <w:tc>
          <w:tcPr>
            <w:tcW w:type="dxa" w:w="1008"/>
          </w:tcPr>
          <w:p>
            <w:r>
              <w:rPr>
                <w:sz w:val="16"/>
              </w:rPr>
              <w:t>0.376</w:t>
            </w:r>
          </w:p>
        </w:tc>
        <w:tc>
          <w:tcPr>
            <w:tcW w:type="dxa" w:w="864"/>
          </w:tcPr>
          <w:p>
            <w:r>
              <w:rPr>
                <w:sz w:val="16"/>
              </w:rPr>
              <w:t>0.75</w:t>
            </w:r>
          </w:p>
        </w:tc>
      </w:tr>
      <w:tr>
        <w:tc>
          <w:tcPr>
            <w:tcW w:type="dxa" w:w="864"/>
          </w:tcPr>
          <w:p>
            <w:r>
              <w:rPr>
                <w:sz w:val="16"/>
              </w:rPr>
              <w:t>c</w:t>
            </w:r>
          </w:p>
        </w:tc>
        <w:tc>
          <w:tcPr>
            <w:tcW w:type="dxa" w:w="1008"/>
          </w:tcPr>
          <w:p>
            <w:r>
              <w:rPr>
                <w:sz w:val="16"/>
              </w:rPr>
              <w:t>0.440</w:t>
            </w:r>
          </w:p>
        </w:tc>
        <w:tc>
          <w:tcPr>
            <w:tcW w:type="dxa" w:w="1008"/>
          </w:tcPr>
          <w:p>
            <w:r>
              <w:rPr>
                <w:sz w:val="16"/>
              </w:rPr>
              <w:t>0.526</w:t>
            </w:r>
          </w:p>
        </w:tc>
        <w:tc>
          <w:tcPr>
            <w:tcW w:type="dxa" w:w="864"/>
          </w:tcPr>
          <w:p>
            <w:r>
              <w:rPr>
                <w:sz w:val="16"/>
              </w:rPr>
              <w:t>0.76</w:t>
            </w:r>
          </w:p>
        </w:tc>
      </w:tr>
      <w:tr>
        <w:tc>
          <w:tcPr>
            <w:tcW w:type="dxa" w:w="864"/>
          </w:tcPr>
          <w:p>
            <w:r>
              <w:rPr>
                <w:sz w:val="16"/>
              </w:rPr>
              <w:t>d</w:t>
            </w:r>
          </w:p>
        </w:tc>
        <w:tc>
          <w:tcPr>
            <w:tcW w:type="dxa" w:w="1008"/>
          </w:tcPr>
          <w:p>
            <w:r>
              <w:rPr>
                <w:sz w:val="16"/>
              </w:rPr>
              <w:t>0.382</w:t>
            </w:r>
          </w:p>
        </w:tc>
        <w:tc>
          <w:tcPr>
            <w:tcW w:type="dxa" w:w="1008"/>
          </w:tcPr>
          <w:p>
            <w:r>
              <w:rPr>
                <w:sz w:val="16"/>
              </w:rPr>
              <w:t>0.570</w:t>
            </w:r>
          </w:p>
        </w:tc>
        <w:tc>
          <w:tcPr>
            <w:tcW w:type="dxa" w:w="864"/>
          </w:tcPr>
          <w:p>
            <w:r>
              <w:rPr>
                <w:sz w:val="16"/>
              </w:rPr>
              <w:t>0.80</w:t>
            </w:r>
          </w:p>
        </w:tc>
      </w:tr>
      <w:tr>
        <w:tc>
          <w:tcPr>
            <w:tcW w:type="dxa" w:w="864"/>
          </w:tcPr>
          <w:p>
            <w:r>
              <w:rPr>
                <w:sz w:val="16"/>
              </w:rPr>
              <w:t>pooled</w:t>
            </w:r>
          </w:p>
        </w:tc>
        <w:tc>
          <w:tcPr>
            <w:tcW w:type="dxa" w:w="1008"/>
          </w:tcPr>
          <w:p>
            <w:r>
              <w:rPr>
                <w:sz w:val="16"/>
              </w:rPr>
              <w:t>0.479</w:t>
            </w:r>
          </w:p>
        </w:tc>
        <w:tc>
          <w:tcPr>
            <w:tcW w:type="dxa" w:w="1008"/>
          </w:tcPr>
          <w:p>
            <w:r>
              <w:rPr>
                <w:sz w:val="16"/>
              </w:rPr>
              <w:t>0.444</w:t>
            </w:r>
          </w:p>
        </w:tc>
        <w:tc>
          <w:tcPr>
            <w:tcW w:type="dxa" w:w="864"/>
          </w:tcPr>
          <w:p>
            <w:r>
              <w:rPr>
                <w:sz w:val="16"/>
              </w:rPr>
              <w:t>0.43</w:t>
            </w:r>
          </w:p>
        </w:tc>
      </w:tr>
    </w:tbl>
    <w:p>
      <w:pPr>
        <w:spacing w:after="40"/>
      </w:pPr>
    </w:p>
    <w:p>
      <w:pPr>
        <w:jc w:val="center"/>
      </w:pPr>
      <w:r>
        <w:drawing>
          <wp:inline xmlns:a="http://schemas.openxmlformats.org/drawingml/2006/main" xmlns:pic="http://schemas.openxmlformats.org/drawingml/2006/picture">
            <wp:extent cx="2926080" cy="1996463"/>
            <wp:docPr id="2" name="Picture 2"/>
            <wp:cNvGraphicFramePr>
              <a:graphicFrameLocks noChangeAspect="1"/>
            </wp:cNvGraphicFramePr>
            <a:graphic>
              <a:graphicData uri="http://schemas.openxmlformats.org/drawingml/2006/picture">
                <pic:pic>
                  <pic:nvPicPr>
                    <pic:cNvPr id="0" name="fig3_power.png"/>
                    <pic:cNvPicPr/>
                  </pic:nvPicPr>
                  <pic:blipFill>
                    <a:blip r:embed="rId10"/>
                    <a:stretch>
                      <a:fillRect/>
                    </a:stretch>
                  </pic:blipFill>
                  <pic:spPr>
                    <a:xfrm>
                      <a:off x="0" y="0"/>
                      <a:ext cx="2926080" cy="1996463"/>
                    </a:xfrm>
                    <a:prstGeom prst="rect"/>
                  </pic:spPr>
                </pic:pic>
              </a:graphicData>
            </a:graphic>
          </wp:inline>
        </w:drawing>
      </w:r>
    </w:p>
    <w:p>
      <w:pPr>
        <w:spacing w:after="120"/>
        <w:jc w:val="center"/>
      </w:pPr>
      <w:r>
        <w:rPr>
          <w:sz w:val="16"/>
        </w:rPr>
        <w:t>Fig. 3. Per-cell power calibration: four distinct idle/slope lines; the pooled fit (dashed) blurs them into R² = 0.43.</w:t>
      </w:r>
    </w:p>
    <w:p>
      <w:pPr>
        <w:spacing w:after="40"/>
      </w:pPr>
      <w:r>
        <w:rPr>
          <w:b/>
          <w:i/>
          <w:sz w:val="20"/>
        </w:rPr>
        <w:t>D. Market-data provenance (prices and net demand)</w:t>
      </w:r>
    </w:p>
    <w:p>
      <w:pPr>
        <w:spacing w:after="60"/>
      </w:pPr>
      <w:r>
        <w:rPr>
          <w:b w:val="0"/>
          <w:i w:val="0"/>
          <w:sz w:val="19"/>
        </w:rPr>
        <w:t>We state the price and net-demand provenance precisely, since it bounds the claims. NET DEMAND is real: hourly EIA-930 series (demand minus utility-scale wind+solar) for the assigned US balancing authorities, normalized to [0,1] by each region's window peak; the Global scenario's EU/Singapore net demand is synthesized where EIA-930 does not apply. PRICES, by contrast, are DOCUMENTED SYNTHETIC: a calibrated diurnal model anchored to plausible May-2019 regional wholesale averages, NOT real locational marginal prices. Real hourly LMP is not uniformly obtainable for this footprint — two US scenario regions (Southern Co./GA, Duke/SC) are vertically integrated utilities with no public wholesale market, and the EIA API exposes no hourly price route — so a fully-real price series is not currently available. This is a known limitation we intend to resolve (real CAISO/MISO LMP plus documented proxies for the non-ISO territories) in future work. Two points bound its impact. First, the relative comparison is unaffected: every policy is scored against the SAME price series, so any price bias cancels in the differences between policies, which are what we report. Second, the price DYNAMICS the agent exploits (diurnal spread, cross-region differences) are structurally realistic even if the absolute levels are modeled. The generalization study (Sec. VI-G) additionally shifts net demand to real EIA-930 May-2024 data, testing transfer on the one fully-real market signal.</w:t>
      </w:r>
    </w:p>
    <w:p>
      <w:pPr>
        <w:spacing w:after="80"/>
        <w:jc w:val="center"/>
      </w:pPr>
      <w:r>
        <w:rPr>
          <w:b/>
          <w:i w:val="0"/>
          <w:sz w:val="21"/>
        </w:rPr>
        <w:t>V. EXPERIMENTAL SETUP</w:t>
      </w:r>
    </w:p>
    <w:p>
      <w:pPr>
        <w:spacing w:after="40"/>
      </w:pPr>
      <w:r>
        <w:rPr>
          <w:b/>
          <w:i/>
          <w:sz w:val="20"/>
        </w:rPr>
        <w:t>A. Agents and baselines</w:t>
      </w:r>
    </w:p>
    <w:p>
      <w:pPr>
        <w:spacing w:after="60"/>
      </w:pPr>
      <w:r>
        <w:rPr>
          <w:b w:val="0"/>
          <w:i w:val="0"/>
          <w:sz w:val="19"/>
        </w:rPr>
        <w:t>PPO (Stable-Baselines3, MLP 128×128, lr 3e-4, 500k steps) acts in the continuous 3N-dimensional space. Its observation includes per-DC dynamic state (demand, price, net demand, pool/backlog) AND static site context (per-DC idle power, slope, capacity, deferrable fraction) — the latter added so that per-site heterogeneity is exploitable as a function of observed parameters rather than memorized by slot (Sec. VI-G). Two DQN variants share hyperparameters (MLP 256×256, replay 100k, target update 1k): a 759-action routing grid, and a 48-action CFWS-style flattened index decoding to (source DC, destination DC, drain level) [6]. Nine heuristics span the policy space, including Round Robin, price-chasing and slack-grid concentrators, defer-to-trough rules, a GreenSlot-style Trough-Slot Lookahead foresighted heuristic with privileged 3-hour net-demand foresight [10], and the no-optimization Status Quo (serve locally, immediately) — the counterfactual of a CICS-style layer switched off.</w:t>
      </w:r>
    </w:p>
    <w:p>
      <w:pPr>
        <w:spacing w:after="40"/>
      </w:pPr>
      <w:r>
        <w:rPr>
          <w:b/>
          <w:i/>
          <w:sz w:val="20"/>
        </w:rPr>
        <w:t>B. Configurations and protocol</w:t>
      </w:r>
    </w:p>
    <w:p>
      <w:pPr>
        <w:spacing w:after="60"/>
      </w:pPr>
      <w:r>
        <w:rPr>
          <w:b w:val="0"/>
          <w:i w:val="0"/>
          <w:sz w:val="19"/>
        </w:rPr>
        <w:t>{US, Global} × {spatial-only, batch = spatial + temporal}. Each (algorithm, configuration) is trained with FIVE seeds; we report mean ± std and paired PPO-vs-best-DQN statistics (sign test, Wilcoxon, bootstrap CI). All policies are then evaluated deterministically on the identical full-trace episode.</w:t>
      </w:r>
    </w:p>
    <w:p>
      <w:pPr>
        <w:spacing w:after="40"/>
      </w:pPr>
      <w:r>
        <w:rPr>
          <w:b/>
          <w:i/>
          <w:sz w:val="20"/>
        </w:rPr>
        <w:t>C. Validation invariant</w:t>
      </w:r>
    </w:p>
    <w:p>
      <w:pPr>
        <w:spacing w:after="60"/>
      </w:pPr>
      <w:r>
        <w:rPr>
          <w:b w:val="0"/>
          <w:i w:val="0"/>
          <w:sz w:val="19"/>
        </w:rPr>
        <w:t>By construction service + batch = measured demand, so a serve-everything-now policy must reproduce the spatial-only run exactly. This holds to the dollar: Status Quo scores $9,847,536 in both US modes with zero expiry — the batch machinery is demand-neutral, and any batch-mode difference between policies is scheduling, not artifact. This invariant caught two of the three modeling errors of Sec. VII.</w:t>
      </w:r>
    </w:p>
    <w:p>
      <w:pPr>
        <w:spacing w:after="80"/>
        <w:jc w:val="center"/>
      </w:pPr>
      <w:r>
        <w:rPr>
          <w:b/>
          <w:i w:val="0"/>
          <w:sz w:val="21"/>
        </w:rPr>
        <w:t>VI. RESULTS</w:t>
      </w:r>
    </w:p>
    <w:p>
      <w:pPr>
        <w:jc w:val="center"/>
      </w:pPr>
      <w:r>
        <w:rPr>
          <w:b/>
          <w:sz w:val="16"/>
        </w:rPr>
        <w:t>TABLE I. EPISODE COST (M$), 5-SEED MEAN. ΔSQ = PPO SAVINGS VS STATUS QUO; QP = CLAIRVOYANT OPTIMUM; gap = PPO ABOVE QP.</w:t>
      </w:r>
    </w:p>
    <w:tbl>
      <w:tblPr>
        <w:tblStyle w:val="LightGrid-Accent1"/>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325"/>
          </w:tcPr>
          <w:p>
            <w:r>
              <w:rPr>
                <w:b/>
                <w:sz w:val="16"/>
              </w:rPr>
              <w:t>Config</w:t>
            </w:r>
          </w:p>
        </w:tc>
        <w:tc>
          <w:tcPr>
            <w:tcW w:type="dxa" w:w="720"/>
          </w:tcPr>
          <w:p>
            <w:r>
              <w:rPr>
                <w:b/>
                <w:sz w:val="16"/>
              </w:rPr>
              <w:t>SQ</w:t>
            </w:r>
          </w:p>
        </w:tc>
        <w:tc>
          <w:tcPr>
            <w:tcW w:type="dxa" w:w="792"/>
          </w:tcPr>
          <w:p>
            <w:r>
              <w:rPr>
                <w:b/>
                <w:sz w:val="16"/>
              </w:rPr>
              <w:t>Trough</w:t>
            </w:r>
          </w:p>
        </w:tc>
        <w:tc>
          <w:tcPr>
            <w:tcW w:type="dxa" w:w="720"/>
          </w:tcPr>
          <w:p>
            <w:r>
              <w:rPr>
                <w:b/>
                <w:sz w:val="16"/>
              </w:rPr>
              <w:t>DQN</w:t>
            </w:r>
          </w:p>
        </w:tc>
        <w:tc>
          <w:tcPr>
            <w:tcW w:type="dxa" w:w="1037"/>
          </w:tcPr>
          <w:p>
            <w:r>
              <w:rPr>
                <w:b/>
                <w:sz w:val="16"/>
              </w:rPr>
              <w:t>PPO (±sd)</w:t>
            </w:r>
          </w:p>
        </w:tc>
        <w:tc>
          <w:tcPr>
            <w:tcW w:type="dxa" w:w="720"/>
          </w:tcPr>
          <w:p>
            <w:r>
              <w:rPr>
                <w:b/>
                <w:sz w:val="16"/>
              </w:rPr>
              <w:t>ΔSQ</w:t>
            </w:r>
          </w:p>
        </w:tc>
        <w:tc>
          <w:tcPr>
            <w:tcW w:type="dxa" w:w="720"/>
          </w:tcPr>
          <w:p>
            <w:r>
              <w:rPr>
                <w:b/>
                <w:sz w:val="16"/>
              </w:rPr>
              <w:t>QP</w:t>
            </w:r>
          </w:p>
        </w:tc>
        <w:tc>
          <w:tcPr>
            <w:tcW w:type="dxa" w:w="662"/>
          </w:tcPr>
          <w:p>
            <w:r>
              <w:rPr>
                <w:b/>
                <w:sz w:val="16"/>
              </w:rPr>
              <w:t>gap</w:t>
            </w:r>
          </w:p>
        </w:tc>
      </w:tr>
      <w:tr>
        <w:tc>
          <w:tcPr>
            <w:tcW w:type="dxa" w:w="1325"/>
          </w:tcPr>
          <w:p>
            <w:r>
              <w:rPr>
                <w:sz w:val="16"/>
              </w:rPr>
              <w:t>US spatial</w:t>
            </w:r>
          </w:p>
        </w:tc>
        <w:tc>
          <w:tcPr>
            <w:tcW w:type="dxa" w:w="720"/>
          </w:tcPr>
          <w:p>
            <w:r>
              <w:rPr>
                <w:sz w:val="16"/>
              </w:rPr>
              <w:t>9.85</w:t>
            </w:r>
          </w:p>
        </w:tc>
        <w:tc>
          <w:tcPr>
            <w:tcW w:type="dxa" w:w="792"/>
          </w:tcPr>
          <w:p>
            <w:r>
              <w:rPr>
                <w:sz w:val="16"/>
              </w:rPr>
              <w:t>11.23</w:t>
            </w:r>
          </w:p>
        </w:tc>
        <w:tc>
          <w:tcPr>
            <w:tcW w:type="dxa" w:w="720"/>
          </w:tcPr>
          <w:p>
            <w:r>
              <w:rPr>
                <w:sz w:val="16"/>
              </w:rPr>
              <w:t>9.81</w:t>
            </w:r>
          </w:p>
        </w:tc>
        <w:tc>
          <w:tcPr>
            <w:tcW w:type="dxa" w:w="1037"/>
          </w:tcPr>
          <w:p>
            <w:r>
              <w:rPr>
                <w:sz w:val="16"/>
              </w:rPr>
              <w:t>9.57±.03</w:t>
            </w:r>
          </w:p>
        </w:tc>
        <w:tc>
          <w:tcPr>
            <w:tcW w:type="dxa" w:w="720"/>
          </w:tcPr>
          <w:p>
            <w:r>
              <w:rPr>
                <w:sz w:val="16"/>
              </w:rPr>
              <w:t>2.8%</w:t>
            </w:r>
          </w:p>
        </w:tc>
        <w:tc>
          <w:tcPr>
            <w:tcW w:type="dxa" w:w="720"/>
          </w:tcPr>
          <w:p>
            <w:r>
              <w:rPr>
                <w:sz w:val="16"/>
              </w:rPr>
              <w:t>9.46</w:t>
            </w:r>
          </w:p>
        </w:tc>
        <w:tc>
          <w:tcPr>
            <w:tcW w:type="dxa" w:w="662"/>
          </w:tcPr>
          <w:p>
            <w:r>
              <w:rPr>
                <w:sz w:val="16"/>
              </w:rPr>
              <w:t>1.1%</w:t>
            </w:r>
          </w:p>
        </w:tc>
      </w:tr>
      <w:tr>
        <w:tc>
          <w:tcPr>
            <w:tcW w:type="dxa" w:w="1325"/>
          </w:tcPr>
          <w:p>
            <w:r>
              <w:rPr>
                <w:sz w:val="16"/>
              </w:rPr>
              <w:t>US batch</w:t>
            </w:r>
          </w:p>
        </w:tc>
        <w:tc>
          <w:tcPr>
            <w:tcW w:type="dxa" w:w="720"/>
          </w:tcPr>
          <w:p>
            <w:r>
              <w:rPr>
                <w:sz w:val="16"/>
              </w:rPr>
              <w:t>9.85</w:t>
            </w:r>
          </w:p>
        </w:tc>
        <w:tc>
          <w:tcPr>
            <w:tcW w:type="dxa" w:w="792"/>
          </w:tcPr>
          <w:p>
            <w:r>
              <w:rPr>
                <w:sz w:val="16"/>
              </w:rPr>
              <w:t>10.09</w:t>
            </w:r>
          </w:p>
        </w:tc>
        <w:tc>
          <w:tcPr>
            <w:tcW w:type="dxa" w:w="720"/>
          </w:tcPr>
          <w:p>
            <w:r>
              <w:rPr>
                <w:sz w:val="16"/>
              </w:rPr>
              <w:t>9.89</w:t>
            </w:r>
          </w:p>
        </w:tc>
        <w:tc>
          <w:tcPr>
            <w:tcW w:type="dxa" w:w="1037"/>
          </w:tcPr>
          <w:p>
            <w:r>
              <w:rPr>
                <w:sz w:val="16"/>
              </w:rPr>
              <w:t>9.59±.08</w:t>
            </w:r>
          </w:p>
        </w:tc>
        <w:tc>
          <w:tcPr>
            <w:tcW w:type="dxa" w:w="720"/>
          </w:tcPr>
          <w:p>
            <w:r>
              <w:rPr>
                <w:sz w:val="16"/>
              </w:rPr>
              <w:t>2.7%</w:t>
            </w:r>
          </w:p>
        </w:tc>
        <w:tc>
          <w:tcPr>
            <w:tcW w:type="dxa" w:w="720"/>
          </w:tcPr>
          <w:p>
            <w:r>
              <w:rPr>
                <w:sz w:val="16"/>
              </w:rPr>
              <w:t>9.44</w:t>
            </w:r>
          </w:p>
        </w:tc>
        <w:tc>
          <w:tcPr>
            <w:tcW w:type="dxa" w:w="662"/>
          </w:tcPr>
          <w:p>
            <w:r>
              <w:rPr>
                <w:sz w:val="16"/>
              </w:rPr>
              <w:t>1.5%</w:t>
            </w:r>
          </w:p>
        </w:tc>
      </w:tr>
      <w:tr>
        <w:tc>
          <w:tcPr>
            <w:tcW w:type="dxa" w:w="1325"/>
          </w:tcPr>
          <w:p>
            <w:r>
              <w:rPr>
                <w:sz w:val="16"/>
              </w:rPr>
              <w:t>Glob spatial</w:t>
            </w:r>
          </w:p>
        </w:tc>
        <w:tc>
          <w:tcPr>
            <w:tcW w:type="dxa" w:w="720"/>
          </w:tcPr>
          <w:p>
            <w:r>
              <w:rPr>
                <w:sz w:val="16"/>
              </w:rPr>
              <w:t>14.06</w:t>
            </w:r>
          </w:p>
        </w:tc>
        <w:tc>
          <w:tcPr>
            <w:tcW w:type="dxa" w:w="792"/>
          </w:tcPr>
          <w:p>
            <w:r>
              <w:rPr>
                <w:sz w:val="16"/>
              </w:rPr>
              <w:t>14.32</w:t>
            </w:r>
          </w:p>
        </w:tc>
        <w:tc>
          <w:tcPr>
            <w:tcW w:type="dxa" w:w="720"/>
          </w:tcPr>
          <w:p>
            <w:r>
              <w:rPr>
                <w:sz w:val="16"/>
              </w:rPr>
              <w:t>13.35</w:t>
            </w:r>
          </w:p>
        </w:tc>
        <w:tc>
          <w:tcPr>
            <w:tcW w:type="dxa" w:w="1037"/>
          </w:tcPr>
          <w:p>
            <w:r>
              <w:rPr>
                <w:sz w:val="16"/>
              </w:rPr>
              <w:t>12.62±.25</w:t>
            </w:r>
          </w:p>
        </w:tc>
        <w:tc>
          <w:tcPr>
            <w:tcW w:type="dxa" w:w="720"/>
          </w:tcPr>
          <w:p>
            <w:r>
              <w:rPr>
                <w:sz w:val="16"/>
              </w:rPr>
              <w:t>10.3%</w:t>
            </w:r>
          </w:p>
        </w:tc>
        <w:tc>
          <w:tcPr>
            <w:tcW w:type="dxa" w:w="720"/>
          </w:tcPr>
          <w:p>
            <w:r>
              <w:rPr>
                <w:sz w:val="16"/>
              </w:rPr>
              <w:t>11.95</w:t>
            </w:r>
          </w:p>
        </w:tc>
        <w:tc>
          <w:tcPr>
            <w:tcW w:type="dxa" w:w="662"/>
          </w:tcPr>
          <w:p>
            <w:r>
              <w:rPr>
                <w:sz w:val="16"/>
              </w:rPr>
              <w:t>5.6%</w:t>
            </w:r>
          </w:p>
        </w:tc>
      </w:tr>
      <w:tr>
        <w:tc>
          <w:tcPr>
            <w:tcW w:type="dxa" w:w="1325"/>
          </w:tcPr>
          <w:p>
            <w:r>
              <w:rPr>
                <w:sz w:val="16"/>
              </w:rPr>
              <w:t>Glob batch</w:t>
            </w:r>
          </w:p>
        </w:tc>
        <w:tc>
          <w:tcPr>
            <w:tcW w:type="dxa" w:w="720"/>
          </w:tcPr>
          <w:p>
            <w:r>
              <w:rPr>
                <w:sz w:val="16"/>
              </w:rPr>
              <w:t>14.06</w:t>
            </w:r>
          </w:p>
        </w:tc>
        <w:tc>
          <w:tcPr>
            <w:tcW w:type="dxa" w:w="792"/>
          </w:tcPr>
          <w:p>
            <w:r>
              <w:rPr>
                <w:sz w:val="16"/>
              </w:rPr>
              <w:t>13.76</w:t>
            </w:r>
          </w:p>
        </w:tc>
        <w:tc>
          <w:tcPr>
            <w:tcW w:type="dxa" w:w="720"/>
          </w:tcPr>
          <w:p>
            <w:r>
              <w:rPr>
                <w:sz w:val="16"/>
              </w:rPr>
              <w:t>13.46</w:t>
            </w:r>
          </w:p>
        </w:tc>
        <w:tc>
          <w:tcPr>
            <w:tcW w:type="dxa" w:w="1037"/>
          </w:tcPr>
          <w:p>
            <w:r>
              <w:rPr>
                <w:sz w:val="16"/>
              </w:rPr>
              <w:t>12.25±.14</w:t>
            </w:r>
          </w:p>
        </w:tc>
        <w:tc>
          <w:tcPr>
            <w:tcW w:type="dxa" w:w="720"/>
          </w:tcPr>
          <w:p>
            <w:r>
              <w:rPr>
                <w:sz w:val="16"/>
              </w:rPr>
              <w:t>12.9%</w:t>
            </w:r>
          </w:p>
        </w:tc>
        <w:tc>
          <w:tcPr>
            <w:tcW w:type="dxa" w:w="720"/>
          </w:tcPr>
          <w:p>
            <w:r>
              <w:rPr>
                <w:sz w:val="16"/>
              </w:rPr>
              <w:t>11.92</w:t>
            </w:r>
          </w:p>
        </w:tc>
        <w:tc>
          <w:tcPr>
            <w:tcW w:type="dxa" w:w="662"/>
          </w:tcPr>
          <w:p>
            <w:r>
              <w:rPr>
                <w:sz w:val="16"/>
              </w:rPr>
              <w:t>2.7%</w:t>
            </w:r>
          </w:p>
        </w:tc>
      </w:tr>
    </w:tbl>
    <w:p>
      <w:pPr>
        <w:spacing w:after="40"/>
      </w:pPr>
    </w:p>
    <w:p>
      <w:pPr>
        <w:jc w:val="center"/>
      </w:pPr>
      <w:r>
        <w:drawing>
          <wp:inline xmlns:a="http://schemas.openxmlformats.org/drawingml/2006/main" xmlns:pic="http://schemas.openxmlformats.org/drawingml/2006/picture">
            <wp:extent cx="2926080" cy="2263071"/>
            <wp:docPr id="3" name="Picture 3"/>
            <wp:cNvGraphicFramePr>
              <a:graphicFrameLocks noChangeAspect="1"/>
            </wp:cNvGraphicFramePr>
            <a:graphic>
              <a:graphicData uri="http://schemas.openxmlformats.org/drawingml/2006/picture">
                <pic:pic>
                  <pic:nvPicPr>
                    <pic:cNvPr id="0" name="fig1_results.png"/>
                    <pic:cNvPicPr/>
                  </pic:nvPicPr>
                  <pic:blipFill>
                    <a:blip r:embed="rId11"/>
                    <a:stretch>
                      <a:fillRect/>
                    </a:stretch>
                  </pic:blipFill>
                  <pic:spPr>
                    <a:xfrm>
                      <a:off x="0" y="0"/>
                      <a:ext cx="2926080" cy="2263071"/>
                    </a:xfrm>
                    <a:prstGeom prst="rect"/>
                  </pic:spPr>
                </pic:pic>
              </a:graphicData>
            </a:graphic>
          </wp:inline>
        </w:drawing>
      </w:r>
    </w:p>
    <w:p>
      <w:pPr>
        <w:spacing w:after="120"/>
        <w:jc w:val="center"/>
      </w:pPr>
      <w:r>
        <w:rPr>
          <w:sz w:val="16"/>
        </w:rPr>
        <w:t>Fig. 1. Five-seed mean episode cost (PPO error bars = ±1 sd); red dashed line is the clairvoyant QP lower bound. PPO savings vs. status quo annotated.</w:t>
      </w:r>
    </w:p>
    <w:p>
      <w:pPr>
        <w:spacing w:after="40"/>
      </w:pPr>
      <w:r>
        <w:rPr>
          <w:b/>
          <w:i/>
          <w:sz w:val="20"/>
        </w:rPr>
        <w:t>A. Headline</w:t>
      </w:r>
    </w:p>
    <w:p>
      <w:pPr>
        <w:spacing w:after="60"/>
      </w:pPr>
      <w:r>
        <w:rPr>
          <w:b w:val="0"/>
          <w:i w:val="0"/>
          <w:sz w:val="19"/>
        </w:rPr>
        <w:t>Across five seeds per configuration, PPO is the best policy — learned or heuristic — in all four: 2.7–12.9% below the grid-unaware status quo, 5.0–14.8% below the foresighted Trough-Slot heuristic, and 2.5–9.9% below the best DQN variant. PPO beats the best DQN in 19 of 20 seed-paired comparisons (sign/Wilcoxon p = 0.031 in three of four configs; the exception is Global spatial-only, 4/5, p = 0.19). Crucially, PPO lands within 1.1–5.6% of a clairvoyant convex-QP lower bound (Sec. VI-F) — so little headroom remains to ANY policy, causal or not. Savings scale with exploitable structure: modest under US-only diversity, large under global price/timezone spread. PPO also serves 100% of service demand with zero deadline violations (Sec. VI-E) and the flattest, lowest fleet draw (Fig. 4).</w:t>
      </w:r>
    </w:p>
    <w:p>
      <w:pPr>
        <w:jc w:val="center"/>
      </w:pPr>
      <w:r>
        <w:drawing>
          <wp:inline xmlns:a="http://schemas.openxmlformats.org/drawingml/2006/main" xmlns:pic="http://schemas.openxmlformats.org/drawingml/2006/picture">
            <wp:extent cx="2926080" cy="1993447"/>
            <wp:docPr id="4" name="Picture 4"/>
            <wp:cNvGraphicFramePr>
              <a:graphicFrameLocks noChangeAspect="1"/>
            </wp:cNvGraphicFramePr>
            <a:graphic>
              <a:graphicData uri="http://schemas.openxmlformats.org/drawingml/2006/picture">
                <pic:pic>
                  <pic:nvPicPr>
                    <pic:cNvPr id="0" name="fig4_profile.png"/>
                    <pic:cNvPicPr/>
                  </pic:nvPicPr>
                  <pic:blipFill>
                    <a:blip r:embed="rId12"/>
                    <a:stretch>
                      <a:fillRect/>
                    </a:stretch>
                  </pic:blipFill>
                  <pic:spPr>
                    <a:xfrm>
                      <a:off x="0" y="0"/>
                      <a:ext cx="2926080" cy="1993447"/>
                    </a:xfrm>
                    <a:prstGeom prst="rect"/>
                  </pic:spPr>
                </pic:pic>
              </a:graphicData>
            </a:graphic>
          </wp:inline>
        </w:drawing>
      </w:r>
    </w:p>
    <w:p>
      <w:pPr>
        <w:spacing w:after="120"/>
        <w:jc w:val="center"/>
      </w:pPr>
      <w:r>
        <w:rPr>
          <w:sz w:val="16"/>
        </w:rPr>
        <w:t>Fig. 4. Fleet power profile, US batch (first 4 days): PPO serves the same work at lower, flatter draw.</w:t>
      </w:r>
    </w:p>
    <w:p>
      <w:pPr>
        <w:spacing w:after="40"/>
      </w:pPr>
      <w:r>
        <w:rPr>
          <w:b/>
          <w:i/>
          <w:sz w:val="20"/>
        </w:rPr>
        <w:t>B. Emergent slope arbitrage</w:t>
      </w:r>
    </w:p>
    <w:p>
      <w:pPr>
        <w:spacing w:after="60"/>
      </w:pPr>
      <w:r>
        <w:rPr>
          <w:b w:val="0"/>
          <w:i w:val="0"/>
          <w:sz w:val="19"/>
        </w:rPr>
        <w:t>Per-cell power calibration converts the low-diversity US scenario from “nothing to learn” (under pooled power, all DCs are energetically identical and near-uniform routing is optimal) into a real optimization: idle power is sunk, so each marginal unit of CPU is cheapest where the slope is lowest. PPO inverts the load distribution relative to the do-nothing policies — toward low-slope cells a/b, away from high-slope c/d — worth +2.8% over the status quo with no spatial price diversity at all. No baseline encodes this strategy. In the Global scenario, slope arbitrage compounds with price arbitrage: PPO routes aggressively away from high-priced Singapore toward cheap, low-slope US capacity.</w:t>
      </w:r>
    </w:p>
    <w:p>
      <w:pPr>
        <w:spacing w:after="40"/>
      </w:pPr>
      <w:r>
        <w:rPr>
          <w:b/>
          <w:i/>
          <w:sz w:val="20"/>
        </w:rPr>
        <w:t>C. The foresighted heuristic loses everywhere</w:t>
      </w:r>
    </w:p>
    <w:p>
      <w:pPr>
        <w:spacing w:after="60"/>
      </w:pPr>
      <w:r>
        <w:rPr>
          <w:b w:val="0"/>
          <w:i w:val="0"/>
          <w:sz w:val="19"/>
        </w:rPr>
        <w:t>Trough-Slot Lookahead holds privileged 3-hour future net-demand information yet loses every configuration by 5.0–14.8% vs. PPO — and in the US it is the single most expensive policy, worse even than the do-nothing status quo. Two structural flaws cost it: its slack-grid routing rule CONCENTRATES load, raising the fleet peak that the quadratic penalty punishes (LF ≈ 0.86 vs. PPO's ≈ 0.96), and it is blind to per-cell power (it optimizes against net demand only, while PPO additionally arbitrages each cell's slope). Foresight does not compensate for optimizing the wrong surface.</w:t>
      </w:r>
    </w:p>
    <w:p>
      <w:pPr>
        <w:spacing w:after="40"/>
      </w:pPr>
      <w:r>
        <w:rPr>
          <w:b/>
          <w:i/>
          <w:sz w:val="20"/>
        </w:rPr>
        <w:t>D. The temporal lever, honestly sized</w:t>
      </w:r>
    </w:p>
    <w:p>
      <w:pPr>
        <w:spacing w:after="60"/>
      </w:pPr>
      <w:r>
        <w:rPr>
          <w:b w:val="0"/>
          <w:i w:val="0"/>
          <w:sz w:val="19"/>
        </w:rPr>
        <w:t>At the measured deferrable fractions (16–26% of usage), batch deferral adds +2.7 points over the spatial-only result in the Global scenario (+10.3% → +12.9% vs. status quo) but is essentially neutral in the US (+2.8% → +2.7%), where there is little price or timezone diversity for temporal shifting to exploit. The temporal lever is real but secondary to spatial routing, and it is scenario-dependent. (Earlier drafts' inflated +6% estimates were artifacts L1–L3, Sec. VII.)</w:t>
      </w:r>
    </w:p>
    <w:p>
      <w:pPr>
        <w:spacing w:after="40"/>
      </w:pPr>
      <w:r>
        <w:rPr>
          <w:b/>
          <w:i/>
          <w:sz w:val="20"/>
        </w:rPr>
        <w:t>E. Deadline and backlog audit</w:t>
      </w:r>
    </w:p>
    <w:p>
      <w:pPr>
        <w:spacing w:after="60"/>
      </w:pPr>
      <w:r>
        <w:rPr>
          <w:b w:val="0"/>
          <w:i w:val="0"/>
          <w:sz w:val="19"/>
        </w:rPr>
        <w:t>Because every policy is scored on the shaped objective (Eq. 8), we audit that PPO's savings are genuine scheduling, not penalty-dodging. Across all ten PPO batch-mode seeds: service served / demand = 1.0000, terminal backlog = 0, terminal batch pool ≤ 0.95 units, ZERO expired batch, peak transient backlog ≤ 3.9 units, and backlog penalty ≤ 1% of total cost. PPO is not parking interactive work to avoid price spikes (the λ_b = 25 calibration, Sec. III-C, makes that unprofitable) nor leaking work past the finite horizon — it serves everything, on time, more cheaply.</w:t>
      </w:r>
    </w:p>
    <w:p>
      <w:pPr>
        <w:spacing w:after="40"/>
      </w:pPr>
      <w:r>
        <w:rPr>
          <w:b/>
          <w:i/>
          <w:sz w:val="20"/>
        </w:rPr>
        <w:t>F. Optimality gap</w:t>
      </w:r>
    </w:p>
    <w:p>
      <w:pPr>
        <w:spacing w:after="60"/>
      </w:pPr>
      <w:r>
        <w:rPr>
          <w:b w:val="0"/>
          <w:i w:val="0"/>
          <w:sz w:val="19"/>
        </w:rPr>
        <w:t>The environment is convex in the serving decisions (linear power and energy cost, convex-quadratic peak penalty, linear queue/backlog dynamics), so a clairvoyant planner with full-episode foresight and fluid allocation solves a quadratic program whose optimum LOWER-BOUNDS any policy. We assemble it directly for the Clarabel solver (per-origin-stream cumulative deadline constraints are exact; validated against cvxpy at 10⁻⁹) and solve all four configs in 1–6 s. PPO's gap to this bound is 1.1% (US spatial), 1.5% (US batch), 5.6% (Global spatial), 2.7% (Global batch). The bound is generous — it has perfect foresight and no causality or action-parameterization constraints — so the true gap to the best ACHIEVABLE causal policy is smaller still. A useful by-product: the QP's spatial-only and batch optima differ by only ~0.2%, confirming the intrinsic value of temporal flexibility at these deferrable fractions is small (Sec. VI-D).</w:t>
      </w:r>
    </w:p>
    <w:p>
      <w:pPr>
        <w:spacing w:after="40"/>
      </w:pPr>
      <w:r>
        <w:rPr>
          <w:b/>
          <w:i/>
          <w:sz w:val="20"/>
        </w:rPr>
        <w:t>G. Generalization: transfer tracks observability</w:t>
      </w:r>
    </w:p>
    <w:p>
      <w:pPr>
        <w:spacing w:after="60"/>
      </w:pPr>
      <w:r>
        <w:rPr>
          <w:b w:val="0"/>
          <w:i w:val="0"/>
          <w:sz w:val="19"/>
        </w:rPr>
        <w:t>We test the frozen policies (no retraining) on two distribution shifts (Fig. 6). On an UNOBSERVED shift — held-out cells e–h, with workload, tier mix, and per-cell power the policy never saw — context-aware PPO fails where its edge is purely spatial (US spatial −19%, Global spatial −27% vs. the held-out status quo): the policy had learned per-site routing keyed to static parameters that, although now in the observation, never VARIED during training and so carried no gradient signal. Training-time domain randomization (permuting compute bundles across market slots and resampling power parameters within the measured 8-cell range) fixes this, restoring positive transfer in three of four configs (+4.0–5.2%); Global spatial-only, whose price-concentration strategy has no deferral pool to absorb mistakes on unseen capacity, stays brittle — and its batch counterpart, which does, transfers at +5.2%. On an OBSERVED shift — net demand swapped to real EIA-930 May-2024 (a genuine 2019→2024 duck-curve change), prices held fixed — the SAME frozen policies transfer near-perfectly (+3.1–13.2%, within ~0.5 point of their on-training result). Generalization succeeds along the axis the policy can observe and fails along the one it cannot; this both answers the calendar-memorization concern for the demand signal and prescribes the fix (observe + randomize static context).</w:t>
      </w:r>
    </w:p>
    <w:p>
      <w:pPr>
        <w:jc w:val="center"/>
      </w:pPr>
      <w:r>
        <w:drawing>
          <wp:inline xmlns:a="http://schemas.openxmlformats.org/drawingml/2006/main" xmlns:pic="http://schemas.openxmlformats.org/drawingml/2006/picture">
            <wp:extent cx="2926080" cy="2033378"/>
            <wp:docPr id="5" name="Picture 5"/>
            <wp:cNvGraphicFramePr>
              <a:graphicFrameLocks noChangeAspect="1"/>
            </wp:cNvGraphicFramePr>
            <a:graphic>
              <a:graphicData uri="http://schemas.openxmlformats.org/drawingml/2006/picture">
                <pic:pic>
                  <pic:nvPicPr>
                    <pic:cNvPr id="0" name="fig6_generalization.png"/>
                    <pic:cNvPicPr/>
                  </pic:nvPicPr>
                  <pic:blipFill>
                    <a:blip r:embed="rId13"/>
                    <a:stretch>
                      <a:fillRect/>
                    </a:stretch>
                  </pic:blipFill>
                  <pic:spPr>
                    <a:xfrm>
                      <a:off x="0" y="0"/>
                      <a:ext cx="2926080" cy="2033378"/>
                    </a:xfrm>
                    <a:prstGeom prst="rect"/>
                  </pic:spPr>
                </pic:pic>
              </a:graphicData>
            </a:graphic>
          </wp:inline>
        </w:drawing>
      </w:r>
    </w:p>
    <w:p>
      <w:pPr>
        <w:spacing w:after="120"/>
        <w:jc w:val="center"/>
      </w:pPr>
      <w:r>
        <w:rPr>
          <w:sz w:val="16"/>
        </w:rPr>
        <w:t>Fig. 6. Held-out transfer. Red: unobserved cell shift breaks context-only policies. Green: domain randomization restores it. Blue: the observed net-demand-year shift transfers without any special treatment.</w:t>
      </w:r>
    </w:p>
    <w:p>
      <w:pPr>
        <w:spacing w:after="40"/>
      </w:pPr>
      <w:r>
        <w:rPr>
          <w:b/>
          <w:i/>
          <w:sz w:val="20"/>
        </w:rPr>
        <w:t>H. Robustness to movement cost</w:t>
      </w:r>
    </w:p>
    <w:p>
      <w:pPr>
        <w:spacing w:after="60"/>
      </w:pPr>
      <w:r>
        <w:rPr>
          <w:b w:val="0"/>
          <w:i w:val="0"/>
          <w:sz w:val="19"/>
        </w:rPr>
        <w:t>The spatial lever assumes free inter-site movement; we test how much survives a per-unit cost on work routed away from its home cell (the SustainCluster transmission-cost idea [27]). Charging existing policies post-hoc — a conservative bound, since a movement-aware policy would route less and recover more — the Global advantage is robust: it survives until movement costs reach $219/unit (Global spatial) and $331/unit (Global batch), i.e. 0.35× and 0.53× the energy cost of serving a unit, still returning +7.9% and +11.0% at a substantial $50/unit (Fig. 7). The US margin is thinner (break-even ~0.14× unit energy), honestly reflecting its smaller spatial diversity. The 10–13% Global savings are thus not an artifact of free fungibility.</w:t>
      </w:r>
    </w:p>
    <w:p>
      <w:pPr>
        <w:jc w:val="center"/>
      </w:pPr>
      <w:r>
        <w:drawing>
          <wp:inline xmlns:a="http://schemas.openxmlformats.org/drawingml/2006/main" xmlns:pic="http://schemas.openxmlformats.org/drawingml/2006/picture">
            <wp:extent cx="2926080" cy="2086269"/>
            <wp:docPr id="6" name="Picture 6"/>
            <wp:cNvGraphicFramePr>
              <a:graphicFrameLocks noChangeAspect="1"/>
            </wp:cNvGraphicFramePr>
            <a:graphic>
              <a:graphicData uri="http://schemas.openxmlformats.org/drawingml/2006/picture">
                <pic:pic>
                  <pic:nvPicPr>
                    <pic:cNvPr id="0" name="fig7_movement_cost.png"/>
                    <pic:cNvPicPr/>
                  </pic:nvPicPr>
                  <pic:blipFill>
                    <a:blip r:embed="rId14"/>
                    <a:stretch>
                      <a:fillRect/>
                    </a:stretch>
                  </pic:blipFill>
                  <pic:spPr>
                    <a:xfrm>
                      <a:off x="0" y="0"/>
                      <a:ext cx="2926080" cy="2086269"/>
                    </a:xfrm>
                    <a:prstGeom prst="rect"/>
                  </pic:spPr>
                </pic:pic>
              </a:graphicData>
            </a:graphic>
          </wp:inline>
        </w:drawing>
      </w:r>
    </w:p>
    <w:p>
      <w:pPr>
        <w:spacing w:after="120"/>
        <w:jc w:val="center"/>
      </w:pPr>
      <w:r>
        <w:rPr>
          <w:sz w:val="16"/>
        </w:rPr>
        <w:t>Fig. 7. PPO savings vs. per-unit inter-site movement cost (symlog x). Global routing keeps paying well past realistic egress prices.</w:t>
      </w:r>
    </w:p>
    <w:p>
      <w:pPr>
        <w:spacing w:after="80"/>
        <w:jc w:val="center"/>
      </w:pPr>
      <w:r>
        <w:rPr>
          <w:b/>
          <w:i w:val="0"/>
          <w:sz w:val="21"/>
        </w:rPr>
        <w:t>VII. LESSONS LEARNED AND THREATS TO VALIDITY</w:t>
      </w:r>
    </w:p>
    <w:p>
      <w:pPr>
        <w:spacing w:after="60"/>
      </w:pPr>
      <w:r>
        <w:rPr>
          <w:b w:val="0"/>
          <w:i w:val="0"/>
          <w:sz w:val="19"/>
        </w:rPr>
        <w:t>Three modeling errors each inverted the experimental ranking while present; we report them as first-class results because any deferral-with-deadlines simulator can reproduce them.</w:t>
      </w:r>
    </w:p>
    <w:p>
      <w:pPr>
        <w:spacing w:after="60"/>
      </w:pPr>
      <w:r>
        <w:rPr>
          <w:b w:val="0"/>
          <w:i w:val="0"/>
          <w:sz w:val="19"/>
        </w:rPr>
        <w:t>L1 — Deadline penalties must scale with the value of deferred work. A fixed penalty of 2 made expiring a unit ~75× cheaper than serving it (~$150 of energy); the cost-optimal policy was to discard batch, and aggressive-expiry heuristics beat PPO. Because the penalty is linear in expiry, any rollout can be re-ranked analytically as cost(w) = (cost − w₀·x) + w·x (exact for a fixed rollout; retrained agents change behavior with w); the ranking inverts at w ≈ 183. We set w = 250, safely above both the ~$150 serving cost and that inversion point.</w:t>
      </w:r>
    </w:p>
    <w:p>
      <w:pPr>
        <w:spacing w:after="60"/>
      </w:pPr>
      <w:r>
        <w:rPr>
          <w:b w:val="0"/>
          <w:i w:val="0"/>
          <w:sz w:val="19"/>
        </w:rPr>
        <w:t>L2 — Capacity-blocked work must queue, not expire. Re-queueing blocked batch with a one-step deadline manufactured a policy-independent expiry floor (~5,059 units, identical across scenarios — the tell), contradicting Borg's queued batch semantics [1]. Preserving original deadlines collapsed Status Quo expiry by 85% immediately and to zero in the final environment, and eliminated a spurious “concentrators win by dumping” effect.</w:t>
      </w:r>
    </w:p>
    <w:p>
      <w:pPr>
        <w:spacing w:after="60"/>
      </w:pPr>
      <w:r>
        <w:rPr>
          <w:b w:val="0"/>
          <w:i w:val="0"/>
          <w:sz w:val="19"/>
        </w:rPr>
        <w:t>L3 — Synthetic generators must conserve the demand-presentation process. Injecting each sampled job's whole demand at its arrival timestep produced batch curves with peak/mean ≈ 195 vs. ≈ 1.24 in the measured trace: jobs present rate over duration, and concurrency smooths the aggregate. Corollary (L3b): requests ≠ usage — request-weighted tier shares overestimated the deferrable fraction 3–5×. A one-line shape check (generated vs. source peak/mean) catches both.</w:t>
      </w:r>
    </w:p>
    <w:p>
      <w:pPr>
        <w:spacing w:after="60"/>
      </w:pPr>
      <w:r>
        <w:rPr>
          <w:b w:val="0"/>
          <w:i w:val="0"/>
          <w:sz w:val="19"/>
        </w:rPr>
        <w:t>Threats to validity. (i) PRICES are documented synthetic, not real LMP (Sec. IV-D) — the most significant limitation; relative comparisons are unaffected (shared series) and net demand is real, but absolute price levels are modeled, and resolving this with real ISO prices is primary future work. (ii) Cell locations are anonymized; the geographic assignment is a modeling choice justified by documented inter-cell heterogeneity [1]. (iii) The 100 MW magnitude bridges cell scale to grid relevance; results should be swept over R, and a 300 MW fleet would plausibly move LMPs (the price-taker assumption). (iv) The measured tier curves make episodes deterministic; Sec. VI-G addresses the resulting memorization concern directly and shows transfer along observed axes. (v) May is the deepest duck-curve month in CAISO; seasonal generalization is untested. (vi) Cooling and PUE are excluded by scope; a multiplicative PUE would scale, not reorder, results. (vii) The linear power model is calibrated on u ≈ 0.1–0.7 and omits memory/IO effects (+0.03 R² at most); a policy pushing utilization outside that range extrapolates. (viii) Five seeds and one hyperparameter set per algorithm; DQN's higher seed variance (std up to ±$0.9M vs. PPO's ≤$0.25M) is itself reported as a stability finding.</w:t>
      </w:r>
    </w:p>
    <w:p>
      <w:pPr>
        <w:spacing w:after="80"/>
        <w:jc w:val="center"/>
      </w:pPr>
      <w:r>
        <w:rPr>
          <w:b/>
          <w:i w:val="0"/>
          <w:sz w:val="21"/>
        </w:rPr>
        <w:t>VIII. FURTHER TOPICS OF CONSIDERATION</w:t>
      </w:r>
    </w:p>
    <w:p>
      <w:pPr>
        <w:spacing w:after="60"/>
      </w:pPr>
      <w:r>
        <w:rPr>
          <w:b w:val="0"/>
          <w:i w:val="0"/>
          <w:sz w:val="19"/>
        </w:rPr>
        <w:t>(1) REAL PRICES: replace the synthetic price series with real CAISO/MISO LMP (and documented proxies for the non-ISO territories) — the highest-priority item, since it is the main provenance limitation (Sec. IV-D). (2) Sensitivity sweeps: deferrable fraction (via the retained generator), rated power R, flexibility factor φ, peak weight α; and seasonal generalization beyond May. (3) Carbon objective: swap or add marginal carbon-intensity signals to compare against CICS's objective directly [3]. (4) Forecast features: day-ahead price and net-demand forecasts as observations, quantifying the residual value of explicit foresight. (5) Constrained RL: enforce zero deadline violations as a hard constraint (e.g., Lagrangian PPO) rather than a penalty. (6) Hybrid granularity: a job-level inner scheduler below the aggregate outer policy, bridging to the CFWS setting [6]. (7) Storage and demand response: batteries and market participation extend the action space naturally [13]. (8) DQN stabilization: distributional/double variants and action-space curricula to separate encoding effects from optimizer fragility. (9) Multi-objective Pareto analysis of cost vs. peak contribution vs. completion latency. (10) Transfer to other public traces — e.g., the Alibaba 2020 GPU trace already packaged by SustainCluster [27] — to test trace dependence of the slope-arbitrage finding, and cross-validation of our policies inside the SustainCluster environment.</w:t>
      </w:r>
    </w:p>
    <w:p>
      <w:pPr>
        <w:spacing w:after="80"/>
        <w:jc w:val="center"/>
      </w:pPr>
      <w:r>
        <w:rPr>
          <w:b/>
          <w:i w:val="0"/>
          <w:sz w:val="21"/>
        </w:rPr>
        <w:t>IX. CONCLUSION</w:t>
      </w:r>
    </w:p>
    <w:p>
      <w:pPr>
        <w:spacing w:after="60"/>
      </w:pPr>
      <w:r>
        <w:rPr>
          <w:b w:val="0"/>
          <w:i w:val="0"/>
          <w:sz w:val="19"/>
        </w:rPr>
        <w:t>On an environment assembled largely from measured public data — per-tier demand from ClusterData 2019, per-cell power from PowerData2019, real EIA-930 net demand, and documented synthetic prices — a continuous-action PPO agent learns grid-aware spatio-temporal load shaping that, across five seeds per configuration, beats the grid-unaware status quo by 2.7–12.9%, a foresighted heuristic by 5.0–14.8%, and discrete DQN variants by 2.5–9.9% (19 of 20 seed comparisons) in every configuration, landing within 1.1–5.6% of a clairvoyant QP bound with zero deadline violations and a flatter, lower fleet profile. The savings come from continuously exploitable structure — price spreads and per-cell marginal-power (slope) arbitrage — and they transfer to unseen market conditions along the axes the policy observes, with domain randomization extending transfer to unseen workloads. Equally important, the path to these numbers required finding and fixing several modeling errors that each inverted the ranking, and an honest accounting of what is measured (demand, power, net demand) versus modeled (prices); we offer the corrected environment, the validation invariant, the QP bound, and the lessons themselves as contributions to reproducible research in sustainable computing.</w:t>
      </w:r>
    </w:p>
    <w:p>
      <w:pPr>
        <w:spacing w:after="80"/>
        <w:jc w:val="center"/>
      </w:pPr>
      <w:r>
        <w:rPr>
          <w:b/>
          <w:i w:val="0"/>
          <w:sz w:val="21"/>
        </w:rPr>
        <w:t>REFERENCES</w:t>
      </w:r>
    </w:p>
    <w:p>
      <w:pPr>
        <w:spacing w:after="40"/>
      </w:pPr>
      <w:r>
        <w:rPr>
          <w:sz w:val="16"/>
        </w:rPr>
        <w:t>[1] M. Tirmazi, A. Barker, N. Deng, M. E. Haque, Z. G. Qin, S. Hand, M. Harchol-Balter, and J. Wilkes, “Borg: the Next Generation,” in Proc. EuroSys, 2020.</w:t>
      </w:r>
    </w:p>
    <w:p>
      <w:pPr>
        <w:spacing w:after="40"/>
      </w:pPr>
      <w:r>
        <w:rPr>
          <w:sz w:val="16"/>
        </w:rPr>
        <w:t>[2] V. Sakalkar, V. Kontorinis, D. Landhuis, S. Li, D. De Ronde, T. Blooming, A. Ramesh, J. Kennedy, C. Malone, J. Clidaras, and P. Ranganathan, “Data Center Power Oversubscription with a Medium Voltage Power Plane and Priority-Aware Capping,” in Proc. ASPLOS, 2020.</w:t>
      </w:r>
    </w:p>
    <w:p>
      <w:pPr>
        <w:spacing w:after="40"/>
      </w:pPr>
      <w:r>
        <w:rPr>
          <w:sz w:val="16"/>
        </w:rPr>
        <w:t>[3] A. Radovanović, R. Koningstein, I. Schneider, B. Chen, A. Duarte, B. Roy, D. Xiao, M. Haridasan, P. Hung, N. Care, S. Talukdar, E. Mullen, K. Smith, M. Cottman, and W. Cirne, “Carbon-Aware Computing for Datacenters,” IEEE Trans. Power Systems, vol. 38, no. 2, 2023 (arXiv:2106.11750, 2021).</w:t>
      </w:r>
    </w:p>
    <w:p>
      <w:pPr>
        <w:spacing w:after="40"/>
      </w:pPr>
      <w:r>
        <w:rPr>
          <w:sz w:val="16"/>
        </w:rPr>
        <w:t>[4] L. Grange, G. Da Costa, and P. Stolf, “Green IT scheduling for data center powered with renewable energy,” Future Generation Computer Systems, vol. 86, pp. 99–120, 2018.</w:t>
      </w:r>
    </w:p>
    <w:p>
      <w:pPr>
        <w:spacing w:after="40"/>
      </w:pPr>
      <w:r>
        <w:rPr>
          <w:sz w:val="16"/>
        </w:rPr>
        <w:t>[5] G. Da Costa, L. Grange, and I. De Courchelle, “Modeling and generating large-scale Google-like workload,” in Proc. Int. Green and Sustainable Computing Conf. (IGSC), 2016.</w:t>
      </w:r>
    </w:p>
    <w:p>
      <w:pPr>
        <w:spacing w:after="40"/>
      </w:pPr>
      <w:r>
        <w:rPr>
          <w:sz w:val="16"/>
        </w:rPr>
        <w:t>[6] D. Zhao, J.-t. Zhou, and K. Li, “CFWS: DRL-Based Framework for Energy Cost and Carbon Footprint Optimization in Cloud Data Centers,” IEEE Trans. Sustainable Computing, vol. 10, no. 1, pp. 95–107, Jan./Feb. 2025.</w:t>
      </w:r>
    </w:p>
    <w:p>
      <w:pPr>
        <w:spacing w:after="40"/>
      </w:pPr>
      <w:r>
        <w:rPr>
          <w:sz w:val="16"/>
        </w:rPr>
        <w:t>[7] M. Xu, A. N. Toosi, and R. Buyya, “A Self-Adaptive Approach for Managing Applications and Harnessing Renewable Energy for Sustainable Cloud Computing,” IEEE Trans. Sustainable Computing, 2020.</w:t>
      </w:r>
    </w:p>
    <w:p>
      <w:pPr>
        <w:spacing w:after="40"/>
      </w:pPr>
      <w:r>
        <w:rPr>
          <w:sz w:val="16"/>
        </w:rPr>
        <w:t>[8] K. Haghshenas, A. Taheri, M. Goudarzi, and S. Mohammadi, “Infrastructure-Aware Heterogeneous-Workloads Scheduling for Data Center Energy Cost Minimization,” IEEE Trans. Cloud Computing, 2022.</w:t>
      </w:r>
    </w:p>
    <w:p>
      <w:pPr>
        <w:spacing w:after="40"/>
      </w:pPr>
      <w:r>
        <w:rPr>
          <w:sz w:val="16"/>
        </w:rPr>
        <w:t>[9] Z. Liu, Y. Chen, C. Bash, A. Wierman, D. Gmach, Z. Wang, M. Marwah, and C. Hyser, “Renewable and Cooling Aware Workload Management for Sustainable Data Centers,” in Proc. ACM SIGMETRICS, 2012.</w:t>
      </w:r>
    </w:p>
    <w:p>
      <w:pPr>
        <w:spacing w:after="40"/>
      </w:pPr>
      <w:r>
        <w:rPr>
          <w:sz w:val="16"/>
        </w:rPr>
        <w:t>[10] Í. Goiri, K. Le, M. E. Haque, R. Beauchea, T. D. Nguyen, J. Guitart, J. Torres, and R. Bianchini, “GreenSlot: Scheduling Energy Consumption in Green Datacenters,” in Proc. SC, 2011.</w:t>
      </w:r>
    </w:p>
    <w:p>
      <w:pPr>
        <w:spacing w:after="40"/>
      </w:pPr>
      <w:r>
        <w:rPr>
          <w:sz w:val="16"/>
        </w:rPr>
        <w:t>[11] W. Lin et al., “A systematic review of green-aware management techniques for sustainable data center,” Sustainable Computing: Informatics and Systems, 2024.</w:t>
      </w:r>
    </w:p>
    <w:p>
      <w:pPr>
        <w:spacing w:after="40"/>
      </w:pPr>
      <w:r>
        <w:rPr>
          <w:sz w:val="16"/>
        </w:rPr>
        <w:t>[12] Y. Wu et al., “Task Scheduling in Geo-Distributed Computing: A Survey,” arXiv:2501.15504, 2025.</w:t>
      </w:r>
    </w:p>
    <w:p>
      <w:pPr>
        <w:spacing w:after="40"/>
      </w:pPr>
      <w:r>
        <w:rPr>
          <w:sz w:val="16"/>
        </w:rPr>
        <w:t>[13] T. L. Vasques, P. Moura, and A. de Almeida, “A review on energy efficiency and demand response with focus on small and medium data centers,” Energy Efficiency, vol. 12, 2019.</w:t>
      </w:r>
    </w:p>
    <w:p>
      <w:pPr>
        <w:spacing w:after="40"/>
      </w:pPr>
      <w:r>
        <w:rPr>
          <w:sz w:val="16"/>
        </w:rPr>
        <w:t>[14] M. Dayarathna, Y. Wen, and R. Fan, “Data Center Energy Consumption Modeling: A Survey,” IEEE Communications Surveys &amp; Tutorials, vol. 18, no. 1, 2016.</w:t>
      </w:r>
    </w:p>
    <w:p>
      <w:pPr>
        <w:spacing w:after="40"/>
      </w:pPr>
      <w:r>
        <w:rPr>
          <w:sz w:val="16"/>
        </w:rPr>
        <w:t>[15] H. Kahil, S. Sharma, P. Välisuo, and M. Elmusrati, “Reinforcement learning for data center energy efficiency optimization: A systematic literature review and research roadmap,” Applied Energy, 2024.</w:t>
      </w:r>
    </w:p>
    <w:p>
      <w:pPr>
        <w:spacing w:after="40"/>
      </w:pPr>
      <w:r>
        <w:rPr>
          <w:sz w:val="16"/>
        </w:rPr>
        <w:t>[16] Y. Ran, H. Hu, X. Zhou, and Y. Wen, “DeepEE: Joint Optimization of Job Scheduling and Cooling Control for Data Center Energy Efficiency Using Deep Reinforcement Learning,” in Proc. IEEE ICDCS, 2019.</w:t>
      </w:r>
    </w:p>
    <w:p>
      <w:pPr>
        <w:spacing w:after="40"/>
      </w:pPr>
      <w:r>
        <w:rPr>
          <w:sz w:val="16"/>
        </w:rPr>
        <w:t>[17] X. Fan, W.-D. Weber, and L. A. Barroso, “Power provisioning for a warehouse-sized computer,” in Proc. ISCA, 2007.</w:t>
      </w:r>
    </w:p>
    <w:p>
      <w:pPr>
        <w:spacing w:after="40"/>
      </w:pPr>
      <w:r>
        <w:rPr>
          <w:sz w:val="16"/>
        </w:rPr>
        <w:t>[18] J. Schulman, F. Wolski, P. Dhariwal, A. Radford, and O. Klimov, “Proximal Policy Optimization Algorithms,” arXiv:1707.06347, 2017.</w:t>
      </w:r>
    </w:p>
    <w:p>
      <w:pPr>
        <w:spacing w:after="40"/>
      </w:pPr>
      <w:r>
        <w:rPr>
          <w:sz w:val="16"/>
        </w:rPr>
        <w:t>[19] V. Mnih et al., “Human-level control through deep reinforcement learning,” Nature, vol. 518, 2015.</w:t>
      </w:r>
    </w:p>
    <w:p>
      <w:pPr>
        <w:spacing w:after="40"/>
      </w:pPr>
      <w:r>
        <w:rPr>
          <w:sz w:val="16"/>
        </w:rPr>
        <w:t>[20] A. Raffin, A. Hill, A. Gleave, A. Kanervisto, M. Ernestus, and N. Dormann, “Stable-Baselines3: Reliable Reinforcement Learning Implementations,” JMLR, vol. 22, 2021.</w:t>
      </w:r>
    </w:p>
    <w:p>
      <w:pPr>
        <w:spacing w:after="40"/>
      </w:pPr>
      <w:r>
        <w:rPr>
          <w:sz w:val="16"/>
        </w:rPr>
        <w:t>[21] D. G. Feitelson, Workload Modeling for Computer Systems Performance Evaluation. Cambridge University Press, 2015.</w:t>
      </w:r>
    </w:p>
    <w:p>
      <w:pPr>
        <w:spacing w:after="40"/>
      </w:pPr>
      <w:r>
        <w:rPr>
          <w:sz w:val="16"/>
        </w:rPr>
        <w:t>[22] J. Wilkes, “Google cluster-usage traces v3,” Google Inc., technical documentation distributed with ClusterData2019, rev. 2020-08.</w:t>
      </w:r>
    </w:p>
    <w:p>
      <w:pPr>
        <w:spacing w:after="40"/>
      </w:pPr>
      <w:r>
        <w:rPr>
          <w:sz w:val="16"/>
        </w:rPr>
        <w:t>[23] A. Qureshi, R. Weber, H. Balakrishnan, J. Guttag, and B. Maggs, “Cutting the Electric Bill for Internet-Scale Systems,” in Proc. ACM SIGCOMM, 2009.</w:t>
      </w:r>
    </w:p>
    <w:p>
      <w:pPr>
        <w:spacing w:after="40"/>
      </w:pPr>
      <w:r>
        <w:rPr>
          <w:sz w:val="16"/>
        </w:rPr>
        <w:t>[24] L. Rao, X. Liu, L. Xie, and W. Liu, “Minimizing Electricity Cost: Optimization of Distributed Internet Data Centers in a Multi-Electricity-Market Environment,” in Proc. IEEE INFOCOM, 2010.</w:t>
      </w:r>
    </w:p>
    <w:p>
      <w:pPr>
        <w:spacing w:after="40"/>
      </w:pPr>
      <w:r>
        <w:rPr>
          <w:sz w:val="16"/>
        </w:rPr>
        <w:t>[25] Z. Liu, M. Lin, A. Wierman, S. H. Low, and L. L. H. Andrew, “Geographical Load Balancing with Renewables,” ACM SIGMETRICS Performance Evaluation Review, vol. 39, no. 3, 2011.</w:t>
      </w:r>
    </w:p>
    <w:p>
      <w:pPr>
        <w:spacing w:after="40"/>
      </w:pPr>
      <w:r>
        <w:rPr>
          <w:sz w:val="16"/>
        </w:rPr>
        <w:t>[26] A. Naug, A. Guillen, R. Luna, V. Gundecha, D. Rengarajan, S. Ghorbanpour, S. Mousavi, A. Ramesh Babu, D. Markovikj, L. D. Kashyap, and S. Sarkar, “SustainDC: Benchmarking for Sustainable Data Center Control,” in Advances in Neural Information Processing Systems (NeurIPS), 2024.</w:t>
      </w:r>
    </w:p>
    <w:p>
      <w:pPr>
        <w:spacing w:after="40"/>
      </w:pPr>
      <w:r>
        <w:rPr>
          <w:sz w:val="16"/>
        </w:rPr>
        <w:t>[27] Hewlett Packard Enterprise, “SustainCluster: A high-fidelity, open-source Gymnasium environment for benchmarking multi-objective, sustainable workload scheduling across geo-distributed data centers,” software repository, https://github.com/HewlettPackard/sustain-cluster (MIT License).</w:t>
      </w:r>
    </w:p>
    <w:p>
      <w:pPr>
        <w:spacing w:after="40"/>
      </w:pPr>
      <w:r>
        <w:rPr>
          <w:sz w:val="16"/>
        </w:rPr>
        <w:t>[28] International Energy Agency, “Key Questions on Energy and AI,” World Energy Outlook Special Report, IEA, 2025.</w:t>
      </w:r>
    </w:p>
    <w:sectPr w:rsidR="00FC693F" w:rsidRPr="0006063C" w:rsidSect="00034616">
      <w:type w:val="continuous"/>
      <w:pgSz w:w="12240" w:h="15840"/>
      <w:pgMar w:top="1080" w:right="1080" w:bottom="1080" w:left="1080"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