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generated working paper; numbers correspond to the multi-seed review campaign (5 seeds/config) on the corrected environment.</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Following the aggregate load-shaping paradigm of Google's production Carbon-Intelligent Computing System rather than job-level scheduling, we model four Borg cells from the Google ClusterData 2019 trace as proxy data centers: measured per-tier demand curves (service vs. no-SLO batch, extracted from instance-level usage by priority tier), per-cell power models calibrated on the companion PowerData2019 measurements (R² = 0.75–0.80 per cell vs. 0.43 pooled), real EIA-930 net-demand series, and documented synthetic regional price series (see provenance note, Sec. IV-D). Across five training seeds per configuration, a continuous-action PPO policy controlling routing fractions, batch drain rates, and batch placement beats the grid-unaware status quo by 2.7–12.9%, a foresighted lookahead heuristic by 5.0–14.8%, and the best discrete DQN variant by 2.5–9.9% (winning 19 of 20 seed-paired comparisons), and sits within 1.1–5.6% of a clairvoyant convex-QP lower bound — with zero deadline violations and 100% of service demand served. A three-stage generalization study shows transfer succeeds along the observed axis (a real 2019→2024 net-demand shift) but fails along an unobserved one (held-out cells), until domain randomization restores it; and the spatial advantage survives inter-site movement costs up to ~0.35–0.53× the energy cost of serving a unit. We additionally contribute three experimentally validated modeling lessons — deadline penalties must scale with the energy value of deferred work; capacity-blocked work must queue, not expire; and synthetic workload generators must conserve the demand-presentation process (requests ≠ usage) — each of which, while uncorrected, inverted the experimental ranking.</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that this lever is real at hyperscale [3].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both the grid-unaware status quo and foresighted scheduling heuristics? We answer affirmatively, on an environment built end-to-end from measured data, and we document — unusually, as a first-class contribution — the modeling errors we made on the way, each of which inverted the experimental ranking until found and fixed.</w:t>
      </w:r>
    </w:p>
    <w:p>
      <w:pPr>
        <w:spacing w:after="60"/>
      </w:pPr>
      <w:r>
        <w:rPr>
          <w:b w:val="0"/>
          <w:i w:val="0"/>
          <w:sz w:val="19"/>
        </w:rPr>
        <w:t>Contributions. (C1) A reproducible Gymnasium environment for multi-data-center grid-aware load shaping at cell-aggregate granularity, grounded in Google ClusterData 2019 [1], PowerData2019 [2], EIA-930 net demand, and documented synthetic regional prices. (C2) Ground-truth measured per-tier demand decomposition (SLO service vs. no-SLO batch) of four trace cells, with the finding that resource requests overestimate the deferrable usage share by 3–5×. (C3) A continuous-action PPO formulation (routing + drain + batch placement) that, across five seeds per configuration, wins every evaluated configuration against heuristic, DQN, and status-quo baselines with zero deadline violations, and lands within 1.1–5.6% of a clairvoyant QP lower bound. (C4) Identification of marginal-power (slope) arbitrage as an emergent routing strategy enabled by per-cell power calibration. (C5) A three-stage generalization result establishing that transfer tracks observability, with domain randomization closing the unobserved axis. (C6) Three transferable modeling lessons for deferral-with-deadlines simulators, each validated by ranking inversion.</w:t>
      </w:r>
    </w:p>
    <w:p>
      <w:pPr>
        <w:spacing w:after="80"/>
        <w:jc w:val="center"/>
      </w:pPr>
      <w:r>
        <w:rPr>
          <w:b/>
          <w:i w:val="0"/>
          <w:sz w:val="21"/>
        </w:rPr>
        <w:t>II. RELATED WORK AND METHODOLOGICAL LINEAGE</w:t>
      </w:r>
    </w:p>
    <w:p>
      <w:pPr>
        <w:spacing w:after="60"/>
      </w:pPr>
      <w:r>
        <w:rPr>
          <w:b w:val="0"/>
          <w:i w:val="0"/>
          <w:sz w:val="19"/>
        </w:rPr>
        <w:t>This work deliberately assembles its methodology from prior art; this section states precisely what is taken from where.</w:t>
      </w:r>
    </w:p>
    <w:p>
      <w:pPr>
        <w:spacing w:after="40"/>
      </w:pPr>
      <w:r>
        <w:rPr>
          <w:b/>
          <w:i/>
          <w:sz w:val="20"/>
        </w:rPr>
        <w:t>A. The trace and its semantics</w:t>
      </w:r>
    </w:p>
    <w:p>
      <w:pPr>
        <w:spacing w:after="60"/>
      </w:pPr>
      <w:r>
        <w:rPr>
          <w:b w:val="0"/>
          <w:i w:val="0"/>
          <w:sz w:val="19"/>
        </w:rPr>
        <w:t>ClusterData 2019, documented by Tirmazi et al. [1], covers eight Borg cells for May 2019 (~96k machines). We adopt three of its definitions wholesale: the cell as the natural management unit (§2 of [1]); priority tiers, from which we define deferrable work as the union of the two no-SLO tiers — free (priority ≤ 99) and best-effort batch (100–115, per the trace documentation [22], which corrects the 110–115 range mistakenly reported in [1]) — production work (120–359) is explicitly protected by eviction of lower tiers and is never deferred; and Normalized Compute Units. The companion PowerData2019 [2] provides measured per-PDU power utilization, used here for calibration. Tirmazi's heavy-tail observation (top 1% of jobs consume &gt;99% of resources) informs our distribution fits; notably we find the tail does not survive aggregation (Sec. VII).</w:t>
      </w:r>
    </w:p>
    <w:p>
      <w:pPr>
        <w:spacing w:after="40"/>
      </w:pPr>
      <w:r>
        <w:rPr>
          <w:b/>
          <w:i/>
          <w:sz w:val="20"/>
        </w:rPr>
        <w:t>B. Workload-generation lineage</w:t>
      </w:r>
    </w:p>
    <w:p>
      <w:pPr>
        <w:spacing w:after="60"/>
      </w:pPr>
      <w:r>
        <w:rPr>
          <w:b w:val="0"/>
          <w:i w:val="0"/>
          <w:sz w:val="19"/>
        </w:rPr>
        <w:t>Our synthetic batch generator descends directly from Da Costa, Grange &amp; De Courchelle [5], instantiated as the scipy-based Listing 1 of Grange et al. [4], in the Feitelson workload-modeling tradition [21]. We reproduce Listing 1 verbatim (scripts/grange_generator.py recovers their published lognormal s = 1.634, scale = 447), then extend it: distributions are re-fit to the 2019 trace under the no-SLO definition, selected by minimum Kolmogorov–Smirnov distance (the p-value saturates at n ≈ 10⁵), with discrete negative-binomial task counts. Grange's SLA-flexibility knob becomes our deadline model, Eq. (7). Critically, in the final environment the generator is demoted to sensitivity analysis: measured per-tier curves are the primary input, after we found single-timestep job pulses inflated batch burstiness by two orders of magnitude (Sec. VII).</w:t>
      </w:r>
    </w:p>
    <w:p>
      <w:pPr>
        <w:spacing w:after="40"/>
      </w:pPr>
      <w:r>
        <w:rPr>
          <w:b/>
          <w:i/>
          <w:sz w:val="20"/>
        </w:rPr>
        <w:t>C.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D. Single-DC renewable-aware scheduling</w:t>
      </w:r>
    </w:p>
    <w:p>
      <w:pPr>
        <w:spacing w:after="60"/>
      </w:pPr>
      <w:r>
        <w:rPr>
          <w:b w:val="0"/>
          <w:i w:val="0"/>
          <w:sz w:val="19"/>
        </w:rPr>
        <w:t>The deferral-with-deadlines pattern originates in single-DC work: GreenSlot [10] delays jobs toward predicted cheap/green slots; Grange et al. [4] add due-date constraints and an infrastructure-agnostic objective signal (49% brown-energy reduction); Xu et al. [7] split workloads into brownout-able interactive and deferrable batch; Haghshenas et al. [8] schedule heterogeneous workloads against rate structures; Liu et al. [9] forecast-then-plan. We benchmark against this lineage at the level of objectives and effects — cost, peak contribution, deferral value — not mechanism: our Trough-Slot baseline retargets GreenSlot's slot valuation from solar supply to grid net demand, and our service/batch split operationalizes Xu's taxonomy via measured tiers.</w:t>
      </w:r>
    </w:p>
    <w:p>
      <w:pPr>
        <w:spacing w:after="40"/>
      </w:pPr>
      <w:r>
        <w:rPr>
          <w:b/>
          <w:i/>
          <w:sz w:val="20"/>
        </w:rPr>
        <w:t>E. Aggregate load shaping at hyperscale</w:t>
      </w:r>
    </w:p>
    <w:p>
      <w:pPr>
        <w:spacing w:after="60"/>
      </w:pPr>
      <w:r>
        <w:rPr>
          <w:b w:val="0"/>
          <w:i w:val="0"/>
          <w:sz w:val="19"/>
        </w:rPr>
        <w:t>Radovanović et al. [3] describe CICS, which shapes aggregate cluster load via day-ahead Virtual Capacity Curves and explicitly supersedes job-level deadline optimization (“aggregate cluster-specific resource demand forecasts … rather than stylized models for job-level resource demand modeling”). Our environment is a CICS-shaped formulation made reproducible: aggregate flexible/inflexible demand curves per cluster, power models trained separately per cluster, and both spatial and temporal shifting — retargeted from carbon to grid demand smoothing, on public data.</w:t>
      </w:r>
    </w:p>
    <w:p>
      <w:pPr>
        <w:spacing w:after="40"/>
      </w:pPr>
      <w:r>
        <w:rPr>
          <w:b/>
          <w:i/>
          <w:sz w:val="20"/>
        </w:rPr>
        <w:t>F. Reinforcement learning and open environments</w:t>
      </w:r>
    </w:p>
    <w:p>
      <w:pPr>
        <w:spacing w:after="60"/>
      </w:pPr>
      <w:r>
        <w:rPr>
          <w:b w:val="0"/>
          <w:i w:val="0"/>
          <w:sz w:val="19"/>
        </w:rPr>
        <w:t>RL for DC energy management is surveyed in [15]; DeepEE [16] jointly schedules jobs and cooling with DRL (cooling is excluded from our scope). Closest to our setting, CFWS [6] applies DQN with a flattened-index action encoding to VM migration across four geo-distributed DCs. We do not reimplement CFWS (it operates per-VM/per-PM); instead we port its action-encoding philosophy to a 48-action variant and benchmark it, alongside a 759-action routing grid, against continuous-action PPO [18] (DQN [19]; implementations via Stable-Baselines3 [20]). Energy-model form follows the linear idle+slope server model surveyed in [14] and canonicalized by Fan et al. [17]; the demand-response framing follows [13]; broader green-DC context in [11], geo-distributed scheduling in [12].</w:t>
      </w:r>
    </w:p>
    <w:p>
      <w:pPr>
        <w:spacing w:after="60"/>
      </w:pPr>
      <w:r>
        <w:rPr>
          <w:b w:val="0"/>
          <w:i w:val="0"/>
          <w:sz w:val="19"/>
        </w:rPr>
        <w:t>Open benchmark environments for this problem class have recently emerged. SustainDC [26] provides multi-agent Gymnasium environments for control *within* a data center (workload shifting, cooling, battery). SustainCluster [27] is its geo-distributed successor: a centralized scheduler dispatches or defers *individual tasks* of the Alibaba 2020 GPU trace across 20+ global locations every 15 minutes, optimizing energy cost, carbon, SLA, and per-GB transmission overheads. Our environment is complementary on three axes: granularity (CICS-style measured aggregate per-tier curves rather than per-task dispatch), data grounding (Google ClusterData 2019 with PowerData2019-calibrated per-cell power, rather than Alibaba GPU jobs with carbon-intensity feeds), and objective (grid net-demand peak contribution rather than carbon). We deliberately do not run our experiments inside SustainCluster: answering our question there would require replacing both its objective (carbon → grid net demand) and its action model (per-task dispatch → aggregate tier control, the granularity Sec. II-E argues for), while abandoning the Google-trace data contributions — at which point the environment would no longer be SustainCluster. The two environments are complementary benchmarks; SustainCluster's transmission-cost model is the natural template for the movement-cost sensitivity analysis of Sec. VIII, and cross-validation of our policies inside it is listed as future work.</w:t>
      </w:r>
    </w:p>
    <w:p>
      <w:pPr>
        <w:spacing w:after="80"/>
        <w:jc w:val="center"/>
      </w:pPr>
      <w:r>
        <w:rPr>
          <w:b/>
          <w:i w:val="0"/>
          <w:sz w:val="21"/>
        </w:rPr>
        <w:t>III. SYSTEM MODEL</w:t>
      </w:r>
    </w:p>
    <w:p>
      <w:pPr>
        <w:spacing w:after="60"/>
      </w:pPr>
      <w:r>
        <w:rPr>
          <w:b w:val="0"/>
          <w:i w:val="0"/>
          <w:sz w:val="19"/>
        </w:rPr>
        <w:t>N = 4 data centers, indexed by i, j ∈ {1,…,N} (i is the site under consideration; j is a running index used in fleet-wide sums), operate over T = 8,917 five-minute steps, indexed by t, τ ∈ {1,…,T} (t is the current step; τ is a running index over earlier steps), with Δ = 300 s and Δh = 1/12 h. Site i has measured aggregate demand curve wᵢ,ₜ ∈ [0,1] (fraction of cell capacity), decomposed by measured priority tier into non-deferrable service demand vᵢ,ₜ and deferrable batch arrivals aᵢ,ₜ with wᵢ,ₜ = vᵢ,ₜ + aᵢ,ₜ exactly. The total service demand pooled across the fleet at step t is Dₜ = Σᵢ vᵢ,ₜ — the quantity the routing fractions redistribute. Site inputs further include electricity price πᵢ,ₜ ($/kWh), normalized grid net demand dᵢ,ₜ ∈ [0,1] (0 = grid slack; 1 = grid peak, the duck-curve neck), and capacity κᵢ from fleet machine data.</w:t>
      </w:r>
    </w:p>
    <w:p>
      <w:pPr>
        <w:spacing w:after="40"/>
      </w:pPr>
      <w:r>
        <w:rPr>
          <w:b/>
          <w:i/>
          <w:sz w:val="20"/>
        </w:rPr>
        <w:t>A. Power and cost</w:t>
      </w:r>
    </w:p>
    <w:p>
      <w:pPr>
        <w:spacing w:after="60"/>
      </w:pPr>
      <w:r>
        <w:rPr>
          <w:b w:val="0"/>
          <w:i w:val="0"/>
          <w:sz w:val="19"/>
        </w:rPr>
        <w:t>Each site has a per-cell calibrated linear power model — the standard idle+slope server model [14], [17] (Sec. IV-C):</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 is served CPU, Pᵢⁱᵈˡᵉ is cell i's idle power (its draw at zero CPU, as a fraction of theoretical peak), sᵢ is its marginal power slope (the extra power per unit of CPU — the per-cell quantity the agent arbitrages, Sec. VI-B), R is rated power per site, and g is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dᵢ,ₜ,   α = 0.015        (4)</w:t>
      </w:r>
    </w:p>
    <w:p>
      <w:pPr>
        <w:spacing w:after="60"/>
      </w:pPr>
      <w:r>
        <w:rPr>
          <w:b w:val="0"/>
          <w:i w:val="0"/>
          <w:sz w:val="19"/>
        </w:rPr>
        <w:t>The quadratic form penalizes concentration; the d-weighting makes draw near the duck-curve neck expensive and slack-hour draw nearly free [13]. Φ is a grid-stress SHADOW PRICE, not a tariff: α is calibrated to a target share of total cost (Sec. V-A), not derived from a rate schedule, and Φ differs from a commercial demand charge in all three respects that matter — it is summed over every interval rather than taken as a maximum, it is quadratic rather than linear in kW, and it is weighted by grid net demand, which no tariff observes.</w:t>
      </w:r>
    </w:p>
    <w:p>
      <w:pPr>
        <w:spacing w:after="60"/>
      </w:pPr>
      <w:r>
        <w:rPr>
          <w:b w:val="0"/>
          <w:i w:val="0"/>
          <w:sz w:val="19"/>
        </w:rPr>
        <w:t>Because that distinction is easy to lose, the operator's actual tariff term is modeled separately. Commercial and industrial customers are billed on the single highest demand interval of each billing period, per meter — routinely 30-50% of a large customer's bill [9], [13] — so the billed quantity is the sum of per-SITE maxima, not the fleet coincident peak:</w:t>
      </w:r>
    </w:p>
    <w:p>
      <w:pPr>
        <w:spacing w:after="80"/>
        <w:jc w:val="center"/>
      </w:pPr>
      <w:r>
        <w:rPr>
          <w:i/>
          <w:sz w:val="19"/>
        </w:rPr>
        <w:t>Ψ = c · Σᵢ maxₜ gᵢ,ₜ · 1000,   c in $/kW-month        (5)</w:t>
      </w:r>
    </w:p>
    <w:p>
      <w:pPr>
        <w:spacing w:after="60"/>
      </w:pPr>
      <w:r>
        <w:rPr>
          <w:b w:val="0"/>
          <w:i w:val="0"/>
          <w:sz w:val="19"/>
        </w:rPr>
        <w:t>A maximum over the period is not a per-step cost, so Ψ is charged in the telescoping form below, where Dᵢ,ₜ = maxₜ′≤ₜ gᵢ,ₜ′ is the running billed peak. Each step pays exactly the amount by which it raises the running maximum, and the sum over a period is exactly Ψ:</w:t>
      </w:r>
    </w:p>
    <w:p>
      <w:pPr>
        <w:spacing w:after="80"/>
        <w:jc w:val="center"/>
      </w:pPr>
      <w:r>
        <w:rPr>
          <w:i/>
          <w:sz w:val="19"/>
        </w:rPr>
        <w:t>ψᵢ,ₜ = c · max(0, gᵢ,ₜ − Dᵢ,ₜ₋₁) · 1000,   Σₜ ψᵢ,ₜ = c · maxₜ gᵢ,ₜ · 1000        (6)</w:t>
      </w:r>
    </w:p>
    <w:p>
      <w:pPr>
        <w:spacing w:after="60"/>
      </w:pPr>
      <w:r>
        <w:rPr>
          <w:b w:val="0"/>
          <w:i w:val="0"/>
          <w:sz w:val="19"/>
        </w:rPr>
        <w:t>This keeps the cost Markov provided Dᵢ,ₜ₋₁ is observable, which is why the running billed peak is added to the observation whenever the term is active; without it, identical (load, price, net-demand) states carry different marginal costs depending on unobserved history. Ψ is reported for every policy in Sec. VI-G but is DISABLED in the reward (c = 0) for all results in this paper, so the trained policies and the shaped objective they optimize are unchanged; Sec. VI-G quantifies what including it would and would not buy.</w:t>
      </w:r>
    </w:p>
    <w:p>
      <w:pPr>
        <w:spacing w:after="40"/>
      </w:pPr>
      <w:r>
        <w:rPr>
          <w:b/>
          <w:i/>
          <w:sz w:val="20"/>
        </w:rPr>
        <w:t>B. Deferrable batch dynamics</w:t>
      </w:r>
    </w:p>
    <w:p>
      <w:pPr>
        <w:spacing w:after="60"/>
      </w:pPr>
      <w:r>
        <w:rPr>
          <w:b w:val="0"/>
          <w:i w:val="0"/>
          <w:sz w:val="19"/>
        </w:rPr>
        <w:t>Each site maintains a pool Qᵢ,ₜ of batch work with per-entry deadlines. The per-cell deadline horizon (in steps) follows the fitted mean duration μᵢ and flexibility factor φ = 1 (after [4]); an arrival entering at step t is due by t + Hᵢ:</w:t>
      </w:r>
    </w:p>
    <w:p>
      <w:pPr>
        <w:spacing w:after="80"/>
        <w:jc w:val="center"/>
      </w:pPr>
      <w:r>
        <w:rPr>
          <w:i/>
          <w:sz w:val="19"/>
        </w:rPr>
        <w:t>Hᵢ = ⌈ μᵢ (1 + φ) / Δ ⌉        (7)</w:t>
      </w:r>
    </w:p>
    <w:p>
      <w:pPr>
        <w:spacing w:after="80"/>
        <w:jc w:val="center"/>
      </w:pPr>
      <w:r>
        <w:rPr>
          <w:i/>
          <w:sz w:val="19"/>
        </w:rPr>
        <w:t>Qᵢ,ₜ₊₁ = Qᵢ,ₜ + aᵢ,ₜ − Sᵢ,ₜ − Xᵢ,ₜ        (8)</w:t>
      </w:r>
    </w:p>
    <w:p>
      <w:pPr>
        <w:spacing w:after="60"/>
      </w:pPr>
      <w:r>
        <w:rPr>
          <w:b w:val="0"/>
          <w:i w:val="0"/>
          <w:sz w:val="19"/>
        </w:rPr>
        <w:t>where Sᵢ,ₜ is batch actually served (run) at i this step and Xᵢ,ₜ is batch that expired. Two semantics are essential and were validated by invariant (Sec. V-C): a drain is an intended *release to run* — the released work runs only insofar as it fits under capacity (Eq. 9), and the part that does not fit stays in the pool with its original deadline (it queues, as Borg's batch scheduler does [1], rather than expiring on a one-step fuse). Only served work Sᵢ,ₜ leaves the pool; only deadline-passed work expires as Xᵢ,ₜ.</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sigmoid(aₙ₊₁:₂ₙ), and batch placement h = softmax(a₂ₙ₊₁:₃ₙ) — batch work, having no latency SLO, may execute anywhere. Service has first claim on capacity; batch runs only in the remainder. Writing σᵢ,ₜ for service served and Sᵢ,ₜ for batch served, the serving rule is</w:t>
      </w:r>
    </w:p>
    <w:p>
      <w:pPr>
        <w:spacing w:after="80"/>
        <w:jc w:val="center"/>
      </w:pPr>
      <w:r>
        <w:rPr>
          <w:i/>
          <w:sz w:val="19"/>
        </w:rPr>
        <w:t>σᵢ,ₜ = min(fᵢ,ₜDₜ + Bᵢ,ₜ₋₁, κᵢ);   Sᵢ,ₜ = min(hᵢ,ₜΣⱼδⱼ,ₜQⱼ,ₜ, κᵢ−σᵢ,ₜ);   uᵢ,ₜ = σᵢ,ₜ + Sᵢ,ₜ        (9)</w:t>
      </w:r>
    </w:p>
    <w:p>
      <w:pPr>
        <w:spacing w:after="60"/>
      </w:pPr>
      <w:r>
        <w:rPr>
          <w:b w:val="0"/>
          <w:i w:val="0"/>
          <w:sz w:val="19"/>
        </w:rPr>
        <w:t>Reading Eq. (9): service served = service routed in (fᵢ,ₜDₜ) plus carried backlog (Bᵢ,ₜ₋₁), capped at capacity κᵢ; the batch term hᵢ,ₜ Σⱼ δⱼ,ₜ Qⱼ,ₜ is site i's share (hᵢ,ₜ) of the fleet-wide drained pool — the sum over every site j of its released batch δⱼ,ₜ Qⱼ,ₜ — and runs only in the capacity service leaves free; total served CPU is uᵢ,ₜ = σᵢ,ₜ + Sᵢ,ₜ.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 the negative per-step cost:</w:t>
      </w:r>
    </w:p>
    <w:p>
      <w:pPr>
        <w:spacing w:after="80"/>
        <w:jc w:val="center"/>
      </w:pPr>
      <w:r>
        <w:rPr>
          <w:i/>
          <w:sz w:val="19"/>
        </w:rPr>
        <w:t>rₜ = −[ Eₜ + Φₜ + λ_b Σᵢ Bᵢ,ₜ + λ_κ Σᵢ max(0, uᵢ,ₜ−κᵢ) + λ_x Σᵢ Xᵢ,ₜ ]        (10)</w:t>
      </w:r>
    </w:p>
    <w:p>
      <w:pPr>
        <w:spacing w:after="60"/>
      </w:pPr>
      <w:r>
        <w:rPr>
          <w:b w:val="0"/>
          <w:i w:val="0"/>
          <w:sz w:val="19"/>
        </w:rPr>
        <w:t>with backlog weight λ_b = 25, capacity weight λ_κ = 5, and deadline (expiry) weight λ_x = 250 — the last renamed from a bare w to avoid clashing with the demand symbol wᵢ,ₜ. Both λ_x and λ_b are calibrated to the energy value of the work they protect (Sec. VII, L1): λ_x sits safely above both the ~$150 cost of serving a deferred unit and the analytic ranking-inversion point λ_x ≈ 183, and λ_b is set so that parking SLO service in the backlog to dodge a price spike is never profitable (at the SB3-typical λ_b = 1.5 a three-hour hold costs only ~$54 against ~$180 of arbitrage, an exploit the audit in Sec. VI confirms is closed). The demand-smoothing metric reported alongside cost is the fleet load factor LF = mean(g)/max(g).</w:t>
      </w:r>
    </w:p>
    <w:p>
      <w:pPr>
        <w:spacing w:after="40"/>
      </w:pPr>
      <w:r>
        <w:rPr>
          <w:b/>
          <w:i/>
          <w:sz w:val="20"/>
        </w:rPr>
        <w:t>D. Problem formulation</w:t>
      </w:r>
    </w:p>
    <w:p>
      <w:pPr>
        <w:spacing w:after="60"/>
      </w:pPr>
      <w:r>
        <w:rPr>
          <w:b w:val="0"/>
          <w:i w:val="0"/>
          <w:sz w:val="19"/>
        </w:rPr>
        <w:t>Putting the terms together, the agent solves a constrained cost-minimization over the full episode. With the per-step controls fₜ (service-routing fractions), δₜ (drain rates), and hₜ (batch placement) of Sec. III-C:</w:t>
      </w:r>
    </w:p>
    <w:p>
      <w:pPr>
        <w:spacing w:after="80"/>
        <w:jc w:val="center"/>
      </w:pPr>
      <w:r>
        <w:rPr>
          <w:i/>
          <w:sz w:val="19"/>
        </w:rPr>
        <w:t>minimize  J = Σₜ Σᵢ [ Eᵢ,ₜ + Φᵢ,ₜ + λ_b·Bᵢ,ₜ + λ_x·Xᵢ,ₜ ]        (11)</w:t>
      </w:r>
    </w:p>
    <w:p>
      <w:pPr>
        <w:spacing w:after="60"/>
      </w:pPr>
      <w:r>
        <w:rPr>
          <w:b w:val="0"/>
          <w:i w:val="0"/>
          <w:sz w:val="19"/>
        </w:rPr>
        <w:t>subject to, for all i, t: the power model (1)–(2); the serving rule (7) with capacity uᵢ,ₜ ≤ κᵢ; the routing simplex Σᵢ fᵢ,ₜ = 1, fᵢ,ₜ ≥ 0 and drain/placement δ, h ∈ [0,1]; service-backlog conservation Bᵢ,ₜ = Bᵢ,ₜ₋₁ + fᵢ,ₜDₜ − σᵢ,ₜ; the batch queue (8); and deadline feasibility Σ_{τ≤t} Sᵢ,τ ≥ Σ of arrivals at i due by t (an arrival at τ is due by τ + Hᵢ, Eq. 7) — i.e. cumulative batch completed must cover everything whose deadline has passed. Here Eᵢ,ₜ (Eq. 3) is energy cost and Φᵢ,ₜ (Eq. 4) the grid peak-contribution penalty. In words: route inflexible service and defer flexible batch to minimize electricity cost plus grid-peak contribution, while serving all demand within capacity and completing batch on time.</w:t>
      </w:r>
    </w:p>
    <w:p>
      <w:pPr>
        <w:spacing w:after="60"/>
      </w:pPr>
      <w:r>
        <w:rPr>
          <w:b w:val="0"/>
          <w:i w:val="0"/>
          <w:sz w:val="19"/>
        </w:rPr>
        <w:t>Eq. (11) is an offline, full-information statement; the deployed controller is causal (it cannot observe future prices or demand). We therefore solve it with model-free RL — PPO maximizes 𝔼[Σₜ γᵗ rₜ] with rₜ the negative per-step cost (Eq. 10) — and bound it with the clairvoyant convex-QP relaxation of J (Sec. VI-F), whose optimum lower-bounds any policy.</w:t>
      </w:r>
    </w:p>
    <w:p>
      <w:pPr>
        <w:spacing w:after="60"/>
      </w:pPr>
      <w:r>
        <w:rPr>
          <w:b w:val="0"/>
          <w:i w:val="0"/>
          <w:sz w:val="19"/>
        </w:rPr>
        <w:t>The formulation follows CICS's aggregate flexible/inflexible load-shaping problem [3], retargeted from carbon to grid net-demand and electricity cost, with the cost-minimization-over-distributed-DCs structure of geographic load balancing [23]–[25], a linear idle+slope power model [14], [17], a peak-contribution term in the peak-shaving and demand-response tradition [9], [13] — though Φ is a per-interval quadratic shadow price, not a demand charge in the tariff sense; the tariff term Ψ is modeled separately (Eq. 5) and reported in Sec. VI-G — and aggregate batch-with-deadline dynamics [4], [9].</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the geographic assignment is a modeling choice (US scenario: a CAISO-exposed Western DC + MISO/Southern/Duke territories; Global scenario: US-West/US-Central/NL/Singapore). Tirmazi documents considerable inter-cell workload variation but no geography. The normalized curve provides the demand shape; R = 100 MW sets hyperscale magnitude (a real cell is ~3–5 MW, invisible to a regional grid). Sensitivity to R is future work.</w:t>
      </w:r>
    </w:p>
    <w:p>
      <w:pPr>
        <w:spacing w:after="40"/>
      </w:pPr>
      <w:r>
        <w:rPr>
          <w:b/>
          <w:i/>
          <w:sz w:val="20"/>
        </w:rPr>
        <w:t>B. Measured per-tier demand</w:t>
      </w:r>
    </w:p>
    <w:p>
      <w:pPr>
        <w:spacing w:after="60"/>
      </w:pPr>
      <w:r>
        <w:rPr>
          <w:b w:val="0"/>
          <w:i w:val="0"/>
          <w:sz w:val="19"/>
        </w:rPr>
        <w:t>The service/batch split is measured, not modeled: instance_usage is joined to collection priority and aggregated per 5-minute bucket into service (SLO tiers) and batch (no-SLO tiers, priority ≤ 115) curves with v + a = w to machine precision (Fig. 2). Measured deferrable usage shares are 16.6% (a), 15.7% (b), 22.3% (c), 26.4% (d) — consistent with the ~20%-of-capacity best-effort average reported for the trace [1]. Request-weighted proxies (job counts × requested CPU) suggest 63–85%, an overestimate of 3–5×, consistent with Borg's over-allocation of best-effort tiers. Requests measure intent; usage measures schedulable reality.</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2.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We adopt the standard linear idle+slope server model (Eq. 1) — the form used throughout the data-center power literature [14], [17] — and fix its two constants per cell from data rather than from a single textbook value. Joining hourly PowerData2019 measured power (whose ‘power utilization’ is defined exactly as our normalization: actual power over theoretical peak [2]) with aggregate CPU over 2,980 (cell, hour) samples, least-squares gives the per-cell idle and slope of Table II. The calibration is literature-consistent: the fitted idle draw is 0.40–0.61 of each cell's peak, squarely inside the published range for this model (≈0.38 [8], ≈0.60–0.75 [23]), so the constants are credible without appeal to goodness-of-fit. We keep PER-CELL constants (not one pooled value) because the cells span a meaningful proportionality range — cell d (idle 0.38, slope 0.57) is far more energy-proportional than cell a (0.53, 0.34) — and that BETWEEN-cell spread is precisely the routing signal the agent exploits (slope arbitrage, Sec. VI-B); a single literature constant would erase it. This mirrors CICS's choice of per-cluster power models [3]. (R² is reported in Table II as a diagnostic only — 0.43 pooled vs 0.75–0.80 per cell, confirming the pooled residual is between-cell heterogeneity rather than noise — but it is not the model's justification: every policy is scored by the SAME power model, so any residual error cancels in the relative comparisons we report.)</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3. Per-cell power calibration: four distinct idle/slope lines; the pooled fit (dashed) blurs them into R² = 0.43.</w:t>
      </w:r>
    </w:p>
    <w:p>
      <w:pPr>
        <w:spacing w:after="40"/>
      </w:pPr>
      <w:r>
        <w:rPr>
          <w:b/>
          <w:i/>
          <w:sz w:val="20"/>
        </w:rPr>
        <w:t>D. Market-data provenance (prices and net demand)</w:t>
      </w:r>
    </w:p>
    <w:p>
      <w:pPr>
        <w:spacing w:after="60"/>
      </w:pPr>
      <w:r>
        <w:rPr>
          <w:b w:val="0"/>
          <w:i w:val="0"/>
          <w:sz w:val="19"/>
        </w:rPr>
        <w:t>We state the price and net-demand provenance precisely, since it bounds the claims. NET DEMAND is real: hourly EIA-930 series (demand minus utility-scale wind+solar) for the assigned US balancing authorities, normalized to [0,1] by each region's window peak; the Global scenario's EU/Singapore net demand is synthesized where EIA-930 does not apply. PRICES, by contrast, are DOCUMENTED SYNTHETIC: a calibrated diurnal model anchored to plausible May-2019 regional wholesale averages, NOT real locational marginal prices. Real hourly LMP is not uniformly obtainable for this footprint — two US scenario regions (Southern Co./GA, Duke/SC) are vertically integrated utilities with no public wholesale market, and the EIA API exposes no hourly price route — so a fully-real price series is not currently available. This is a known limitation we intend to resolve (real CAISO/MISO LMP plus documented proxies for the non-ISO territories) in future work. Two points bound its impact. First, the relative comparison is unaffected: every policy is scored against the SAME price series, so any price bias cancels in the differences between policies, which are what we report. Second, the price DYNAMICS the agent exploits (diurnal spread, cross-region differences) are structurally realistic even if the absolute levels are modeled. The generalization study (Sec. VI-H) additionally shifts net demand to real EIA-930 May-2024 data, testing transfer on the one fully-real market signal.</w:t>
      </w:r>
    </w:p>
    <w:p>
      <w:pPr>
        <w:spacing w:after="80"/>
        <w:jc w:val="center"/>
      </w:pPr>
      <w:r>
        <w:rPr>
          <w:b/>
          <w:i w:val="0"/>
          <w:sz w:val="21"/>
        </w:rPr>
        <w:t>V. EXPERIMENTAL SETUP</w:t>
      </w:r>
    </w:p>
    <w:p>
      <w:pPr>
        <w:spacing w:after="40"/>
      </w:pPr>
      <w:r>
        <w:rPr>
          <w:b/>
          <w:i/>
          <w:sz w:val="20"/>
        </w:rPr>
        <w:t>A. Agents and baselines</w:t>
      </w:r>
    </w:p>
    <w:p>
      <w:pPr>
        <w:spacing w:after="60"/>
      </w:pPr>
      <w:r>
        <w:rPr>
          <w:b w:val="0"/>
          <w:i w:val="0"/>
          <w:sz w:val="19"/>
        </w:rPr>
        <w:t>PPO (Stable-Baselines3, MLP 128×128, lr 3e-4, 500k steps) acts in the continuous 3N-dimensional space. Its observation includes per-DC dynamic state (demand, price, net demand, pool/backlog) AND static site context (per-DC idle power, slope, capacity, deferrable fraction) — the latter added so that per-site heterogeneity is exploitable as a function of observed parameters rather than memorized by slot (Sec. VI-H). Two DQN variants share hyperparameters (MLP 256×256, replay 100k, target update 1k): a 759-action routing grid, and a 48-action CFWS-style flattened index decoding to (source DC, destination DC, drain level) [6]. Nine heuristics span the policy space, including Round Robin, price-chasing and slack-grid concentrators, defer-to-trough rules, a GreenSlot-style Trough-Slot Lookahead foresighted heuristic with privileged 3-hour net-demand foresight [10], and the no-optimization Status Quo (serve locally, immediately) — the counterfactual of a CICS-style layer switched off.</w:t>
      </w:r>
    </w:p>
    <w:p>
      <w:pPr>
        <w:spacing w:after="40"/>
      </w:pPr>
      <w:r>
        <w:rPr>
          <w:b/>
          <w:i/>
          <w:sz w:val="20"/>
        </w:rPr>
        <w:t>B. Configurations and protocol</w:t>
      </w:r>
    </w:p>
    <w:p>
      <w:pPr>
        <w:spacing w:after="60"/>
      </w:pPr>
      <w:r>
        <w:rPr>
          <w:b w:val="0"/>
          <w:i w:val="0"/>
          <w:sz w:val="19"/>
        </w:rPr>
        <w:t>{US, Global} × {spatial-only, batch = spatial + temporal}. Each (algorithm, configuration) is trained with FIVE seeds; we report mean ± std and paired PPO-vs-best-DQN statistics (sign test, Wilcoxon, bootstrap CI). All policies are then evaluated deterministically on the identical full-trace episode.</w:t>
      </w:r>
    </w:p>
    <w:p>
      <w:pPr>
        <w:spacing w:after="40"/>
      </w:pPr>
      <w:r>
        <w:rPr>
          <w:b/>
          <w:i/>
          <w:sz w:val="20"/>
        </w:rPr>
        <w:t>C. Validation invariant</w:t>
      </w:r>
    </w:p>
    <w:p>
      <w:pPr>
        <w:spacing w:after="60"/>
      </w:pPr>
      <w:r>
        <w:rPr>
          <w:b w:val="0"/>
          <w:i w:val="0"/>
          <w:sz w:val="19"/>
        </w:rPr>
        <w:t>By construction service + batch = measured demand, so a serve-everything-now policy must reproduce the spatial-only run exactly. This holds to the dollar: Status Quo scores $9,847,536 in both US modes with zero expiry — the batch machinery is demand-neutral, and any batch-mode difference between policies is scheduling, not artifact. This invariant caught two of the three modeling errors of Sec. VII.</w:t>
      </w:r>
    </w:p>
    <w:p>
      <w:pPr>
        <w:spacing w:after="80"/>
        <w:jc w:val="center"/>
      </w:pPr>
      <w:r>
        <w:rPr>
          <w:b/>
          <w:i w:val="0"/>
          <w:sz w:val="21"/>
        </w:rPr>
        <w:t>VI. RESULTS</w:t>
      </w:r>
    </w:p>
    <w:p>
      <w:pPr>
        <w:jc w:val="center"/>
      </w:pPr>
      <w:r>
        <w:rPr>
          <w:b/>
          <w:sz w:val="16"/>
        </w:rPr>
        <w:t>TABLE I. EPISODE COST (M$), 5-SEED MEAN. ΔSQ = PPO SAVINGS VS STATUS QUO; QP = CLAIRVOYANT OPTIMUM; gap = PPO ABOVE QP.</w:t>
      </w:r>
    </w:p>
    <w:tbl>
      <w:tblPr>
        <w:tblStyle w:val="LightGrid-Accent1"/>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325"/>
          </w:tcPr>
          <w:p>
            <w:r>
              <w:rPr>
                <w:b/>
                <w:sz w:val="16"/>
              </w:rPr>
              <w:t>Config</w:t>
            </w:r>
          </w:p>
        </w:tc>
        <w:tc>
          <w:tcPr>
            <w:tcW w:type="dxa" w:w="720"/>
          </w:tcPr>
          <w:p>
            <w:r>
              <w:rPr>
                <w:b/>
                <w:sz w:val="16"/>
              </w:rPr>
              <w:t>SQ</w:t>
            </w:r>
          </w:p>
        </w:tc>
        <w:tc>
          <w:tcPr>
            <w:tcW w:type="dxa" w:w="792"/>
          </w:tcPr>
          <w:p>
            <w:r>
              <w:rPr>
                <w:b/>
                <w:sz w:val="16"/>
              </w:rPr>
              <w:t>Trough</w:t>
            </w:r>
          </w:p>
        </w:tc>
        <w:tc>
          <w:tcPr>
            <w:tcW w:type="dxa" w:w="720"/>
          </w:tcPr>
          <w:p>
            <w:r>
              <w:rPr>
                <w:b/>
                <w:sz w:val="16"/>
              </w:rPr>
              <w:t>DQN</w:t>
            </w:r>
          </w:p>
        </w:tc>
        <w:tc>
          <w:tcPr>
            <w:tcW w:type="dxa" w:w="1037"/>
          </w:tcPr>
          <w:p>
            <w:r>
              <w:rPr>
                <w:b/>
                <w:sz w:val="16"/>
              </w:rPr>
              <w:t>PPO (±sd)</w:t>
            </w:r>
          </w:p>
        </w:tc>
        <w:tc>
          <w:tcPr>
            <w:tcW w:type="dxa" w:w="720"/>
          </w:tcPr>
          <w:p>
            <w:r>
              <w:rPr>
                <w:b/>
                <w:sz w:val="16"/>
              </w:rPr>
              <w:t>ΔSQ</w:t>
            </w:r>
          </w:p>
        </w:tc>
        <w:tc>
          <w:tcPr>
            <w:tcW w:type="dxa" w:w="720"/>
          </w:tcPr>
          <w:p>
            <w:r>
              <w:rPr>
                <w:b/>
                <w:sz w:val="16"/>
              </w:rPr>
              <w:t>QP</w:t>
            </w:r>
          </w:p>
        </w:tc>
        <w:tc>
          <w:tcPr>
            <w:tcW w:type="dxa" w:w="662"/>
          </w:tcPr>
          <w:p>
            <w:r>
              <w:rPr>
                <w:b/>
                <w:sz w:val="16"/>
              </w:rPr>
              <w:t>gap</w:t>
            </w:r>
          </w:p>
        </w:tc>
      </w:tr>
      <w:tr>
        <w:tc>
          <w:tcPr>
            <w:tcW w:type="dxa" w:w="1325"/>
          </w:tcPr>
          <w:p>
            <w:r>
              <w:rPr>
                <w:sz w:val="16"/>
              </w:rPr>
              <w:t>US spatial</w:t>
            </w:r>
          </w:p>
        </w:tc>
        <w:tc>
          <w:tcPr>
            <w:tcW w:type="dxa" w:w="720"/>
          </w:tcPr>
          <w:p>
            <w:r>
              <w:rPr>
                <w:sz w:val="16"/>
              </w:rPr>
              <w:t>9.85</w:t>
            </w:r>
          </w:p>
        </w:tc>
        <w:tc>
          <w:tcPr>
            <w:tcW w:type="dxa" w:w="792"/>
          </w:tcPr>
          <w:p>
            <w:r>
              <w:rPr>
                <w:sz w:val="16"/>
              </w:rPr>
              <w:t>11.23</w:t>
            </w:r>
          </w:p>
        </w:tc>
        <w:tc>
          <w:tcPr>
            <w:tcW w:type="dxa" w:w="720"/>
          </w:tcPr>
          <w:p>
            <w:r>
              <w:rPr>
                <w:sz w:val="16"/>
              </w:rPr>
              <w:t>9.81</w:t>
            </w:r>
          </w:p>
        </w:tc>
        <w:tc>
          <w:tcPr>
            <w:tcW w:type="dxa" w:w="1037"/>
          </w:tcPr>
          <w:p>
            <w:r>
              <w:rPr>
                <w:sz w:val="16"/>
              </w:rPr>
              <w:t>9.57±.03</w:t>
            </w:r>
          </w:p>
        </w:tc>
        <w:tc>
          <w:tcPr>
            <w:tcW w:type="dxa" w:w="720"/>
          </w:tcPr>
          <w:p>
            <w:r>
              <w:rPr>
                <w:sz w:val="16"/>
              </w:rPr>
              <w:t>2.8%</w:t>
            </w:r>
          </w:p>
        </w:tc>
        <w:tc>
          <w:tcPr>
            <w:tcW w:type="dxa" w:w="720"/>
          </w:tcPr>
          <w:p>
            <w:r>
              <w:rPr>
                <w:sz w:val="16"/>
              </w:rPr>
              <w:t>9.46</w:t>
            </w:r>
          </w:p>
        </w:tc>
        <w:tc>
          <w:tcPr>
            <w:tcW w:type="dxa" w:w="662"/>
          </w:tcPr>
          <w:p>
            <w:r>
              <w:rPr>
                <w:sz w:val="16"/>
              </w:rPr>
              <w:t>1.1%</w:t>
            </w:r>
          </w:p>
        </w:tc>
      </w:tr>
      <w:tr>
        <w:tc>
          <w:tcPr>
            <w:tcW w:type="dxa" w:w="1325"/>
          </w:tcPr>
          <w:p>
            <w:r>
              <w:rPr>
                <w:sz w:val="16"/>
              </w:rPr>
              <w:t>US batch</w:t>
            </w:r>
          </w:p>
        </w:tc>
        <w:tc>
          <w:tcPr>
            <w:tcW w:type="dxa" w:w="720"/>
          </w:tcPr>
          <w:p>
            <w:r>
              <w:rPr>
                <w:sz w:val="16"/>
              </w:rPr>
              <w:t>9.85</w:t>
            </w:r>
          </w:p>
        </w:tc>
        <w:tc>
          <w:tcPr>
            <w:tcW w:type="dxa" w:w="792"/>
          </w:tcPr>
          <w:p>
            <w:r>
              <w:rPr>
                <w:sz w:val="16"/>
              </w:rPr>
              <w:t>10.09</w:t>
            </w:r>
          </w:p>
        </w:tc>
        <w:tc>
          <w:tcPr>
            <w:tcW w:type="dxa" w:w="720"/>
          </w:tcPr>
          <w:p>
            <w:r>
              <w:rPr>
                <w:sz w:val="16"/>
              </w:rPr>
              <w:t>9.89</w:t>
            </w:r>
          </w:p>
        </w:tc>
        <w:tc>
          <w:tcPr>
            <w:tcW w:type="dxa" w:w="1037"/>
          </w:tcPr>
          <w:p>
            <w:r>
              <w:rPr>
                <w:sz w:val="16"/>
              </w:rPr>
              <w:t>9.59±.08</w:t>
            </w:r>
          </w:p>
        </w:tc>
        <w:tc>
          <w:tcPr>
            <w:tcW w:type="dxa" w:w="720"/>
          </w:tcPr>
          <w:p>
            <w:r>
              <w:rPr>
                <w:sz w:val="16"/>
              </w:rPr>
              <w:t>2.7%</w:t>
            </w:r>
          </w:p>
        </w:tc>
        <w:tc>
          <w:tcPr>
            <w:tcW w:type="dxa" w:w="720"/>
          </w:tcPr>
          <w:p>
            <w:r>
              <w:rPr>
                <w:sz w:val="16"/>
              </w:rPr>
              <w:t>9.44</w:t>
            </w:r>
          </w:p>
        </w:tc>
        <w:tc>
          <w:tcPr>
            <w:tcW w:type="dxa" w:w="662"/>
          </w:tcPr>
          <w:p>
            <w:r>
              <w:rPr>
                <w:sz w:val="16"/>
              </w:rPr>
              <w:t>1.5%</w:t>
            </w:r>
          </w:p>
        </w:tc>
      </w:tr>
      <w:tr>
        <w:tc>
          <w:tcPr>
            <w:tcW w:type="dxa" w:w="1325"/>
          </w:tcPr>
          <w:p>
            <w:r>
              <w:rPr>
                <w:sz w:val="16"/>
              </w:rPr>
              <w:t>Glob spatial</w:t>
            </w:r>
          </w:p>
        </w:tc>
        <w:tc>
          <w:tcPr>
            <w:tcW w:type="dxa" w:w="720"/>
          </w:tcPr>
          <w:p>
            <w:r>
              <w:rPr>
                <w:sz w:val="16"/>
              </w:rPr>
              <w:t>14.06</w:t>
            </w:r>
          </w:p>
        </w:tc>
        <w:tc>
          <w:tcPr>
            <w:tcW w:type="dxa" w:w="792"/>
          </w:tcPr>
          <w:p>
            <w:r>
              <w:rPr>
                <w:sz w:val="16"/>
              </w:rPr>
              <w:t>14.32</w:t>
            </w:r>
          </w:p>
        </w:tc>
        <w:tc>
          <w:tcPr>
            <w:tcW w:type="dxa" w:w="720"/>
          </w:tcPr>
          <w:p>
            <w:r>
              <w:rPr>
                <w:sz w:val="16"/>
              </w:rPr>
              <w:t>13.35</w:t>
            </w:r>
          </w:p>
        </w:tc>
        <w:tc>
          <w:tcPr>
            <w:tcW w:type="dxa" w:w="1037"/>
          </w:tcPr>
          <w:p>
            <w:r>
              <w:rPr>
                <w:sz w:val="16"/>
              </w:rPr>
              <w:t>12.62±.25</w:t>
            </w:r>
          </w:p>
        </w:tc>
        <w:tc>
          <w:tcPr>
            <w:tcW w:type="dxa" w:w="720"/>
          </w:tcPr>
          <w:p>
            <w:r>
              <w:rPr>
                <w:sz w:val="16"/>
              </w:rPr>
              <w:t>10.3%</w:t>
            </w:r>
          </w:p>
        </w:tc>
        <w:tc>
          <w:tcPr>
            <w:tcW w:type="dxa" w:w="720"/>
          </w:tcPr>
          <w:p>
            <w:r>
              <w:rPr>
                <w:sz w:val="16"/>
              </w:rPr>
              <w:t>11.95</w:t>
            </w:r>
          </w:p>
        </w:tc>
        <w:tc>
          <w:tcPr>
            <w:tcW w:type="dxa" w:w="662"/>
          </w:tcPr>
          <w:p>
            <w:r>
              <w:rPr>
                <w:sz w:val="16"/>
              </w:rPr>
              <w:t>5.6%</w:t>
            </w:r>
          </w:p>
        </w:tc>
      </w:tr>
      <w:tr>
        <w:tc>
          <w:tcPr>
            <w:tcW w:type="dxa" w:w="1325"/>
          </w:tcPr>
          <w:p>
            <w:r>
              <w:rPr>
                <w:sz w:val="16"/>
              </w:rPr>
              <w:t>Glob batch</w:t>
            </w:r>
          </w:p>
        </w:tc>
        <w:tc>
          <w:tcPr>
            <w:tcW w:type="dxa" w:w="720"/>
          </w:tcPr>
          <w:p>
            <w:r>
              <w:rPr>
                <w:sz w:val="16"/>
              </w:rPr>
              <w:t>14.06</w:t>
            </w:r>
          </w:p>
        </w:tc>
        <w:tc>
          <w:tcPr>
            <w:tcW w:type="dxa" w:w="792"/>
          </w:tcPr>
          <w:p>
            <w:r>
              <w:rPr>
                <w:sz w:val="16"/>
              </w:rPr>
              <w:t>13.76</w:t>
            </w:r>
          </w:p>
        </w:tc>
        <w:tc>
          <w:tcPr>
            <w:tcW w:type="dxa" w:w="720"/>
          </w:tcPr>
          <w:p>
            <w:r>
              <w:rPr>
                <w:sz w:val="16"/>
              </w:rPr>
              <w:t>13.46</w:t>
            </w:r>
          </w:p>
        </w:tc>
        <w:tc>
          <w:tcPr>
            <w:tcW w:type="dxa" w:w="1037"/>
          </w:tcPr>
          <w:p>
            <w:r>
              <w:rPr>
                <w:sz w:val="16"/>
              </w:rPr>
              <w:t>12.25±.14</w:t>
            </w:r>
          </w:p>
        </w:tc>
        <w:tc>
          <w:tcPr>
            <w:tcW w:type="dxa" w:w="720"/>
          </w:tcPr>
          <w:p>
            <w:r>
              <w:rPr>
                <w:sz w:val="16"/>
              </w:rPr>
              <w:t>12.9%</w:t>
            </w:r>
          </w:p>
        </w:tc>
        <w:tc>
          <w:tcPr>
            <w:tcW w:type="dxa" w:w="720"/>
          </w:tcPr>
          <w:p>
            <w:r>
              <w:rPr>
                <w:sz w:val="16"/>
              </w:rPr>
              <w:t>11.92</w:t>
            </w:r>
          </w:p>
        </w:tc>
        <w:tc>
          <w:tcPr>
            <w:tcW w:type="dxa" w:w="662"/>
          </w:tcPr>
          <w:p>
            <w:r>
              <w:rPr>
                <w:sz w:val="16"/>
              </w:rPr>
              <w:t>2.7%</w:t>
            </w:r>
          </w:p>
        </w:tc>
      </w:tr>
    </w:tbl>
    <w:p>
      <w:pPr>
        <w:spacing w:after="40"/>
      </w:pPr>
    </w:p>
    <w:p>
      <w:pPr>
        <w:jc w:val="center"/>
      </w:pPr>
      <w:r>
        <w:drawing>
          <wp:inline xmlns:a="http://schemas.openxmlformats.org/drawingml/2006/main" xmlns:pic="http://schemas.openxmlformats.org/drawingml/2006/picture">
            <wp:extent cx="2926080" cy="2263071"/>
            <wp:docPr id="3" name="Picture 3"/>
            <wp:cNvGraphicFramePr>
              <a:graphicFrameLocks noChangeAspect="1"/>
            </wp:cNvGraphicFramePr>
            <a:graphic>
              <a:graphicData uri="http://schemas.openxmlformats.org/drawingml/2006/picture">
                <pic:pic>
                  <pic:nvPicPr>
                    <pic:cNvPr id="0" name="fig1_results.png"/>
                    <pic:cNvPicPr/>
                  </pic:nvPicPr>
                  <pic:blipFill>
                    <a:blip r:embed="rId11"/>
                    <a:stretch>
                      <a:fillRect/>
                    </a:stretch>
                  </pic:blipFill>
                  <pic:spPr>
                    <a:xfrm>
                      <a:off x="0" y="0"/>
                      <a:ext cx="2926080" cy="2263071"/>
                    </a:xfrm>
                    <a:prstGeom prst="rect"/>
                  </pic:spPr>
                </pic:pic>
              </a:graphicData>
            </a:graphic>
          </wp:inline>
        </w:drawing>
      </w:r>
    </w:p>
    <w:p>
      <w:pPr>
        <w:spacing w:after="120"/>
        <w:jc w:val="center"/>
      </w:pPr>
      <w:r>
        <w:rPr>
          <w:sz w:val="16"/>
        </w:rPr>
        <w:t>Fig. 1. Five-seed mean episode cost (PPO error bars = ±1 sd); red dashed line is the clairvoyant QP lower bound. PPO savings vs. status quo annotated.</w:t>
      </w:r>
    </w:p>
    <w:p>
      <w:pPr>
        <w:spacing w:after="40"/>
      </w:pPr>
      <w:r>
        <w:rPr>
          <w:b/>
          <w:i/>
          <w:sz w:val="20"/>
        </w:rPr>
        <w:t>A. Headline</w:t>
      </w:r>
    </w:p>
    <w:p>
      <w:pPr>
        <w:spacing w:after="60"/>
      </w:pPr>
      <w:r>
        <w:rPr>
          <w:b w:val="0"/>
          <w:i w:val="0"/>
          <w:sz w:val="19"/>
        </w:rPr>
        <w:t>Across five seeds per configuration, PPO is the best policy — learned or heuristic — in all four: 2.7–12.9% below the grid-unaware status quo, 5.0–14.8% below the foresighted Trough-Slot heuristic, and 2.5–9.9% below the best DQN variant. PPO beats the best DQN in 19 of 20 seed-paired comparisons (sign/Wilcoxon p = 0.031 in three of four configs; the exception is Global spatial-only, 4/5, p = 0.19). Crucially, PPO lands within 1.1–5.6% of a clairvoyant convex-QP lower bound (Sec. VI-F) — so little headroom remains to ANY policy, causal or not. Savings scale with exploitable structure: modest under US-only diversity, large under global price/timezone spread. PPO also serves 100% of service demand with zero deadline violations (Sec. VI-E) and the flattest, lowest fleet draw (Fig. 4).</w:t>
      </w:r>
    </w:p>
    <w:p>
      <w:pPr>
        <w:jc w:val="center"/>
      </w:pPr>
      <w:r>
        <w:drawing>
          <wp:inline xmlns:a="http://schemas.openxmlformats.org/drawingml/2006/main" xmlns:pic="http://schemas.openxmlformats.org/drawingml/2006/picture">
            <wp:extent cx="2926080" cy="1993447"/>
            <wp:docPr id="4" name="Picture 4"/>
            <wp:cNvGraphicFramePr>
              <a:graphicFrameLocks noChangeAspect="1"/>
            </wp:cNvGraphicFramePr>
            <a:graphic>
              <a:graphicData uri="http://schemas.openxmlformats.org/drawingml/2006/picture">
                <pic:pic>
                  <pic:nvPicPr>
                    <pic:cNvPr id="0" name="fig4_profile.png"/>
                    <pic:cNvPicPr/>
                  </pic:nvPicPr>
                  <pic:blipFill>
                    <a:blip r:embed="rId12"/>
                    <a:stretch>
                      <a:fillRect/>
                    </a:stretch>
                  </pic:blipFill>
                  <pic:spPr>
                    <a:xfrm>
                      <a:off x="0" y="0"/>
                      <a:ext cx="2926080" cy="1993447"/>
                    </a:xfrm>
                    <a:prstGeom prst="rect"/>
                  </pic:spPr>
                </pic:pic>
              </a:graphicData>
            </a:graphic>
          </wp:inline>
        </w:drawing>
      </w:r>
    </w:p>
    <w:p>
      <w:pPr>
        <w:spacing w:after="120"/>
        <w:jc w:val="center"/>
      </w:pPr>
      <w:r>
        <w:rPr>
          <w:sz w:val="16"/>
        </w:rPr>
        <w:t>Fig. 4. Fleet power profile, US batch (first 4 days): PPO serves the same work at lower, flatter draw.</w:t>
      </w:r>
    </w:p>
    <w:p>
      <w:pPr>
        <w:spacing w:after="40"/>
      </w:pPr>
      <w:r>
        <w:rPr>
          <w:b/>
          <w:i/>
          <w:sz w:val="20"/>
        </w:rPr>
        <w:t>B. Emergent slope arbitrage</w:t>
      </w:r>
    </w:p>
    <w:p>
      <w:pPr>
        <w:spacing w:after="60"/>
      </w:pPr>
      <w:r>
        <w:rPr>
          <w:b w:val="0"/>
          <w:i w:val="0"/>
          <w:sz w:val="19"/>
        </w:rPr>
        <w:t>Per-cell power calibration converts the low-diversity US scenario from “nothing to learn” (under pooled power, all DCs are energetically identical and near-uniform routing is optimal) into a real optimization: idle power is sunk, so each marginal unit of CPU is cheapest where the slope is lowest. PPO inverts the load distribution relative to the do-nothing policies — toward low-slope cells a/b, away from high-slope c/d — worth +2.8% over the status quo with no spatial price diversity at all. No baseline encodes this strategy. In the Global scenario, slope arbitrage compounds with price arbitrage: PPO routes aggressively away from high-priced Singapore toward cheap, low-slope US capacity.</w:t>
      </w:r>
    </w:p>
    <w:p>
      <w:pPr>
        <w:spacing w:after="40"/>
      </w:pPr>
      <w:r>
        <w:rPr>
          <w:b/>
          <w:i/>
          <w:sz w:val="20"/>
        </w:rPr>
        <w:t>C. The foresighted heuristic loses everywhere</w:t>
      </w:r>
    </w:p>
    <w:p>
      <w:pPr>
        <w:spacing w:after="60"/>
      </w:pPr>
      <w:r>
        <w:rPr>
          <w:b w:val="0"/>
          <w:i w:val="0"/>
          <w:sz w:val="19"/>
        </w:rPr>
        <w:t>Trough-Slot Lookahead holds privileged 3-hour future net-demand information yet loses every configuration by 5.0–14.8% vs. PPO — and in the US it is the single most expensive policy, worse even than the do-nothing status quo. Two structural flaws cost it: its slack-grid routing rule CONCENTRATES load, raising the fleet peak that the quadratic penalty punishes (LF ≈ 0.86 vs. PPO's ≈ 0.96), and it is blind to per-cell power (it optimizes against net demand only, while PPO additionally arbitrages each cell's slope). Foresight does not compensate for optimizing the wrong surface.</w:t>
      </w:r>
    </w:p>
    <w:p>
      <w:pPr>
        <w:spacing w:after="40"/>
      </w:pPr>
      <w:r>
        <w:rPr>
          <w:b/>
          <w:i/>
          <w:sz w:val="20"/>
        </w:rPr>
        <w:t>D. The temporal lever, honestly sized</w:t>
      </w:r>
    </w:p>
    <w:p>
      <w:pPr>
        <w:spacing w:after="60"/>
      </w:pPr>
      <w:r>
        <w:rPr>
          <w:b w:val="0"/>
          <w:i w:val="0"/>
          <w:sz w:val="19"/>
        </w:rPr>
        <w:t>At the measured deferrable fractions (16–26% of usage), batch deferral adds +2.7 points over the spatial-only result in the Global scenario (+10.3% → +12.9% vs. status quo) but is essentially neutral in the US (+2.8% → +2.7%), where there is little price or timezone diversity for temporal shifting to exploit. The temporal lever is real but secondary to spatial routing, and it is scenario-dependent. (Earlier drafts' inflated +6% estimates were artifacts L1–L3, Sec. VII.)</w:t>
      </w:r>
    </w:p>
    <w:p>
      <w:pPr>
        <w:spacing w:after="40"/>
      </w:pPr>
      <w:r>
        <w:rPr>
          <w:b/>
          <w:i/>
          <w:sz w:val="20"/>
        </w:rPr>
        <w:t>E. Deadline and backlog audit</w:t>
      </w:r>
    </w:p>
    <w:p>
      <w:pPr>
        <w:spacing w:after="60"/>
      </w:pPr>
      <w:r>
        <w:rPr>
          <w:b w:val="0"/>
          <w:i w:val="0"/>
          <w:sz w:val="19"/>
        </w:rPr>
        <w:t>Because every policy is scored on the shaped objective (Eq. 10), we audit that PPO's savings are genuine scheduling, not penalty-dodging. Across all ten PPO batch-mode seeds: service served / demand = 1.0000, terminal backlog = 0, terminal batch pool ≤ 0.95 units, ZERO expired batch, peak transient backlog ≤ 3.9 units, and backlog penalty ≤ 1% of total cost. PPO is not parking interactive work to avoid price spikes (the λ_b = 25 calibration, Sec. III-C, makes that unprofitable) nor leaking work past the finite horizon — it serves everything, on time, more cheaply.</w:t>
      </w:r>
    </w:p>
    <w:p>
      <w:pPr>
        <w:spacing w:after="40"/>
      </w:pPr>
      <w:r>
        <w:rPr>
          <w:b/>
          <w:i/>
          <w:sz w:val="20"/>
        </w:rPr>
        <w:t>F. Optimality gap</w:t>
      </w:r>
    </w:p>
    <w:p>
      <w:pPr>
        <w:spacing w:after="60"/>
      </w:pPr>
      <w:r>
        <w:rPr>
          <w:b w:val="0"/>
          <w:i w:val="0"/>
          <w:sz w:val="19"/>
        </w:rPr>
        <w:t>The environment is convex in the serving decisions (linear power and energy cost, convex-quadratic peak penalty, linear queue/backlog dynamics), so a clairvoyant planner with full-episode foresight and fluid allocation solves a quadratic program whose optimum LOWER-BOUNDS any policy. We assemble it directly for the Clarabel solver (per-origin-stream cumulative deadline constraints are exact; validated against cvxpy at 10⁻⁹) and solve all four configs in 1–6 s. PPO's gap to this bound is 1.1% (US spatial), 1.5% (US batch), 5.6% (Global spatial), 2.7% (Global batch). The bound is generous — it has perfect foresight and no causality or action-parameterization constraints — so the true gap to the best ACHIEVABLE causal policy is smaller still. A useful by-product: the QP's spatial-only and batch optima differ by only ~0.2%, confirming the intrinsic value of temporal flexibility at these deferrable fractions is small (Sec. VI-D).</w:t>
      </w:r>
    </w:p>
    <w:p>
      <w:pPr>
        <w:spacing w:after="40"/>
      </w:pPr>
      <w:r>
        <w:rPr>
          <w:b/>
          <w:i/>
          <w:sz w:val="20"/>
        </w:rPr>
        <w:t>G. The demand charge: a real cost the objective does not see</w:t>
      </w:r>
    </w:p>
    <w:p>
      <w:pPr>
        <w:spacing w:after="60"/>
      </w:pPr>
      <w:r>
        <w:rPr>
          <w:b w:val="0"/>
          <w:i w:val="0"/>
          <w:sz w:val="19"/>
        </w:rPr>
        <w:t>Φ is a grid-stress shadow price, not the operator's tariff (Sec. III-A). Because a demand charge is the single largest line item that our objective omits, we quantify it for every policy from the grid-draw traces, at a reference c = $15/kW-month, WITHOUT putting it in the reward — so the policies compared are exactly those of Sec. VI-A. Billing is per meter, so the billed quantity is Σᵢ maxₜ gᵢ,ₜ, not the fleet coincident peak.</w:t>
      </w:r>
    </w:p>
    <w:p>
      <w:pPr>
        <w:spacing w:after="60"/>
      </w:pPr>
      <w:r>
        <w:rPr>
          <w:b w:val="0"/>
          <w:i w:val="0"/>
          <w:sz w:val="19"/>
        </w:rPr>
        <w:t>The charge is large: $4.69M/month under the status quo, 39% of that scenario's $12.06M energy bill and 2.3× the Φ term already in the objective — in line with the 30–50% share demand charges hold in real commercial bills. PPO reduces it to $4.32M (−8.0%, Global batch) and $4.35M (−7.3%, US batch) as a SIDE EFFECT of routing for energy price, with the term absent from its reward.</w:t>
      </w:r>
    </w:p>
    <w:p>
      <w:pPr>
        <w:spacing w:after="60"/>
      </w:pPr>
      <w:r>
        <w:rPr>
          <w:b w:val="0"/>
          <w:i w:val="0"/>
          <w:sz w:val="19"/>
        </w:rPr>
        <w:t>Two findings temper the obvious next step of adding it to the reward. First, the headroom is small, because most of the charge is not shapeable: sites never power off, so Σᵢ Pᵢⁱᵈˡᵉ·R = 189.8 MW = $2.85M is irreducible — 66% of the best charge any policy could achieve. Solving for the peak-minimizing feasible allocation (the clairvoyant LP collapses to a greedy lowest-sᵢ·R fill, since only the busiest step binds) gives a floor of 267.1 MW = $4.01M, so the entire prize is $0.69M and PPO already captures about half of it incidentally. What remains — roughly $0.31M, 2.5% of J — sits inside our seed-to-seed spread and would not survive as a headline result. Second, a demand charge would PENALIZE part of PPO's current strategy: concentrating load on the cheap, efficient sites raises their site peaks (Global batch: US-West +9%, US-Central +15%) even as EU and Asia fall, so a retrained policy would trade energy saving for peak relief rather than adding to it.</w:t>
      </w:r>
    </w:p>
    <w:p>
      <w:pPr>
        <w:spacing w:after="60"/>
      </w:pPr>
      <w:r>
        <w:rPr>
          <w:b w:val="0"/>
          <w:i w:val="0"/>
          <w:sz w:val="19"/>
        </w:rPr>
        <w:t>The genuinely interesting consequence is for the temporal lever. Energy arbitrage pays only if timing is right CONTINUOUSLY for a month; clipping a demand charge pays if timing is right at ONE interval. At the busiest step, 17% of load is deferrable batch, and vacating it drops the floor from 289.4 to 267.1 MW — a larger single lever than all spatial reoptimization combined, and well within the Hᵢ = 8–26 step deadline horizons. A demand charge is thus the one cost term that would give deferral real value at these deferrable fractions, where the shaped objective values it at ~0.2% (Sec. VI-F). The obstacle is credit assignment: at γ = 0.99 the effective horizon is ~100 steps, while a monthly billing period is 8917 — 89× longer — so the once-a-period record-setting reward is invisible to the agent. Daily billing (288 steps), which real tariffs also use and which lower-bounds the monthly charge exactly, is the tractable form; the environment implements it (Eq. 6) and it is left disabled here. We flag this as the most promising extension rather than a completed result.</w:t>
      </w:r>
    </w:p>
    <w:p>
      <w:pPr>
        <w:spacing w:after="40"/>
      </w:pPr>
      <w:r>
        <w:rPr>
          <w:b/>
          <w:i/>
          <w:sz w:val="20"/>
        </w:rPr>
        <w:t>H. Generalization: transfer tracks observability</w:t>
      </w:r>
    </w:p>
    <w:p>
      <w:pPr>
        <w:spacing w:after="60"/>
      </w:pPr>
      <w:r>
        <w:rPr>
          <w:b w:val="0"/>
          <w:i w:val="0"/>
          <w:sz w:val="19"/>
        </w:rPr>
        <w:t>We test the frozen policies (no retraining) on two distribution shifts (Fig. 6). On an UNOBSERVED shift — held-out cells e–h, with workload, tier mix, and per-cell power the policy never saw — context-aware PPO fails where its edge is purely spatial (US spatial −19%, Global spatial −27% vs. the held-out status quo): the policy had learned per-site routing keyed to static parameters that, although now in the observation, never VARIED during training and so carried no gradient signal. Training-time domain randomization (permuting compute bundles across market slots and resampling power parameters within the measured 8-cell range) fixes this, restoring positive transfer in three of four configs (+4.0–5.2%); Global spatial-only, whose price-concentration strategy has no deferral pool to absorb mistakes on unseen capacity, stays brittle — and its batch counterpart, which does, transfers at +5.2%. On an OBSERVED shift — net demand swapped to real EIA-930 May-2024 (a genuine 2019→2024 duck-curve change), prices held fixed — the SAME frozen policies transfer near-perfectly (+3.1–13.2%, within ~0.5 point of their on-training result). Generalization succeeds along the axis the policy can observe and fails along the one it cannot; this both answers the calendar-memorization concern for the demand signal and prescribes the fix (observe + randomize static context).</w:t>
      </w:r>
    </w:p>
    <w:p>
      <w:pPr>
        <w:jc w:val="center"/>
      </w:pPr>
      <w:r>
        <w:drawing>
          <wp:inline xmlns:a="http://schemas.openxmlformats.org/drawingml/2006/main" xmlns:pic="http://schemas.openxmlformats.org/drawingml/2006/picture">
            <wp:extent cx="2926080" cy="2033378"/>
            <wp:docPr id="5" name="Picture 5"/>
            <wp:cNvGraphicFramePr>
              <a:graphicFrameLocks noChangeAspect="1"/>
            </wp:cNvGraphicFramePr>
            <a:graphic>
              <a:graphicData uri="http://schemas.openxmlformats.org/drawingml/2006/picture">
                <pic:pic>
                  <pic:nvPicPr>
                    <pic:cNvPr id="0" name="fig6_generalization.png"/>
                    <pic:cNvPicPr/>
                  </pic:nvPicPr>
                  <pic:blipFill>
                    <a:blip r:embed="rId13"/>
                    <a:stretch>
                      <a:fillRect/>
                    </a:stretch>
                  </pic:blipFill>
                  <pic:spPr>
                    <a:xfrm>
                      <a:off x="0" y="0"/>
                      <a:ext cx="2926080" cy="2033378"/>
                    </a:xfrm>
                    <a:prstGeom prst="rect"/>
                  </pic:spPr>
                </pic:pic>
              </a:graphicData>
            </a:graphic>
          </wp:inline>
        </w:drawing>
      </w:r>
    </w:p>
    <w:p>
      <w:pPr>
        <w:spacing w:after="120"/>
        <w:jc w:val="center"/>
      </w:pPr>
      <w:r>
        <w:rPr>
          <w:sz w:val="16"/>
        </w:rPr>
        <w:t>Fig. 6. Held-out transfer. Red: unobserved cell shift breaks context-only policies. Green: domain randomization restores it. Blue: the observed net-demand-year shift transfers without any special treatment.</w:t>
      </w:r>
    </w:p>
    <w:p>
      <w:pPr>
        <w:spacing w:after="40"/>
      </w:pPr>
      <w:r>
        <w:rPr>
          <w:b/>
          <w:i/>
          <w:sz w:val="20"/>
        </w:rPr>
        <w:t>I. Robustness to movement cost</w:t>
      </w:r>
    </w:p>
    <w:p>
      <w:pPr>
        <w:spacing w:after="60"/>
      </w:pPr>
      <w:r>
        <w:rPr>
          <w:b w:val="0"/>
          <w:i w:val="0"/>
          <w:sz w:val="19"/>
        </w:rPr>
        <w:t>The spatial lever assumes free inter-site movement; we test how much survives a per-unit cost on work routed away from its home cell (the SustainCluster transmission-cost idea [27]). Charging existing policies post-hoc — a conservative bound, since a movement-aware policy would route less and recover more — the Global advantage is robust: it survives until movement costs reach $219/unit (Global spatial) and $331/unit (Global batch), i.e. 0.35× and 0.53× the energy cost of serving a unit, still returning +7.9% and +11.0% at a substantial $50/unit (Fig. 7). The US margin is thinner (break-even ~0.14× unit energy), honestly reflecting its smaller spatial diversity. The 10–13% Global savings are thus not an artifact of free fungibility.</w:t>
      </w:r>
    </w:p>
    <w:p>
      <w:pPr>
        <w:jc w:val="center"/>
      </w:pPr>
      <w:r>
        <w:drawing>
          <wp:inline xmlns:a="http://schemas.openxmlformats.org/drawingml/2006/main" xmlns:pic="http://schemas.openxmlformats.org/drawingml/2006/picture">
            <wp:extent cx="2926080" cy="2086269"/>
            <wp:docPr id="6" name="Picture 6"/>
            <wp:cNvGraphicFramePr>
              <a:graphicFrameLocks noChangeAspect="1"/>
            </wp:cNvGraphicFramePr>
            <a:graphic>
              <a:graphicData uri="http://schemas.openxmlformats.org/drawingml/2006/picture">
                <pic:pic>
                  <pic:nvPicPr>
                    <pic:cNvPr id="0" name="fig7_movement_cost.png"/>
                    <pic:cNvPicPr/>
                  </pic:nvPicPr>
                  <pic:blipFill>
                    <a:blip r:embed="rId14"/>
                    <a:stretch>
                      <a:fillRect/>
                    </a:stretch>
                  </pic:blipFill>
                  <pic:spPr>
                    <a:xfrm>
                      <a:off x="0" y="0"/>
                      <a:ext cx="2926080" cy="2086269"/>
                    </a:xfrm>
                    <a:prstGeom prst="rect"/>
                  </pic:spPr>
                </pic:pic>
              </a:graphicData>
            </a:graphic>
          </wp:inline>
        </w:drawing>
      </w:r>
    </w:p>
    <w:p>
      <w:pPr>
        <w:spacing w:after="120"/>
        <w:jc w:val="center"/>
      </w:pPr>
      <w:r>
        <w:rPr>
          <w:sz w:val="16"/>
        </w:rPr>
        <w:t>Fig. 7. PPO savings vs. per-unit inter-site movement cost (symlog x). Global routing keeps paying well past realistic egress prices.</w:t>
      </w:r>
    </w:p>
    <w:p>
      <w:pPr>
        <w:spacing w:after="80"/>
        <w:jc w:val="center"/>
      </w:pPr>
      <w:r>
        <w:rPr>
          <w:b/>
          <w:i w:val="0"/>
          <w:sz w:val="21"/>
        </w:rPr>
        <w:t>VII. LESSONS LEARNED AND THREATS TO VALIDITY</w:t>
      </w:r>
    </w:p>
    <w:p>
      <w:pPr>
        <w:spacing w:after="60"/>
      </w:pPr>
      <w:r>
        <w:rPr>
          <w:b w:val="0"/>
          <w:i w:val="0"/>
          <w:sz w:val="19"/>
        </w:rPr>
        <w:t>Three modeling errors each inverted the experimental ranking while present; we report them as first-class results because any deferral-with-deadlines simulator can reproduce them.</w:t>
      </w:r>
    </w:p>
    <w:p>
      <w:pPr>
        <w:spacing w:after="60"/>
      </w:pPr>
      <w:r>
        <w:rPr>
          <w:b w:val="0"/>
          <w:i w:val="0"/>
          <w:sz w:val="19"/>
        </w:rPr>
        <w:t>L1 — Deadline penalties must scale with the value of deferred work. A fixed expiry weight λ_x = 2 made expiring a unit ~75× cheaper than serving it (~$150 of energy); the cost-optimal policy was to discard batch, and aggressive-expiry heuristics beat PPO. Because the penalty is linear in expiry, any rollout can be re-ranked analytically as cost(λ_x) = (cost − λ₀·x) + λ_x·x (exact for a fixed rollout; retrained agents change behavior with λ_x); the ranking inverts at λ_x ≈ 183. We set λ_x = 250, safely above both the ~$150 serving cost and that inversion point.</w:t>
      </w:r>
    </w:p>
    <w:p>
      <w:pPr>
        <w:spacing w:after="60"/>
      </w:pPr>
      <w:r>
        <w:rPr>
          <w:b w:val="0"/>
          <w:i w:val="0"/>
          <w:sz w:val="19"/>
        </w:rPr>
        <w:t>L2 — Capacity-blocked work must queue, not expire. Re-queueing blocked batch with a one-step deadline manufactured a policy-independent expiry floor (~5,059 units, identical across scenarios — the tell), contradicting Borg's queued batch semantics [1]. Preserving original deadlines collapsed Status Quo expiry by 85% immediately and to zero in the final environment, and eliminated a spurious “concentrators win by dumping” effect.</w:t>
      </w:r>
    </w:p>
    <w:p>
      <w:pPr>
        <w:spacing w:after="60"/>
      </w:pPr>
      <w:r>
        <w:rPr>
          <w:b w:val="0"/>
          <w:i w:val="0"/>
          <w:sz w:val="19"/>
        </w:rPr>
        <w:t>L3 — Synthetic generators must conserve the demand-presentation process. Injecting each sampled job's whole demand at its arrival timestep produced batch curves with peak/mean ≈ 195 vs. ≈ 1.24 in the measured trace: jobs present rate over duration, and concurrency smooths the aggregate. Corollary (L3b): requests ≠ usage — request-weighted tier shares overestimated the deferrable fraction 3–5×. A one-line shape check (generated vs. source peak/mean) catches both.</w:t>
      </w:r>
    </w:p>
    <w:p>
      <w:pPr>
        <w:spacing w:after="60"/>
      </w:pPr>
      <w:r>
        <w:rPr>
          <w:b w:val="0"/>
          <w:i w:val="0"/>
          <w:sz w:val="19"/>
        </w:rPr>
        <w:t>Threats to validity. (i) PRICES are documented synthetic, not real LMP (Sec. IV-D) — the most significant limitation; relative comparisons are unaffected (shared series) and net demand is real, but absolute price levels are modeled, and resolving this with real ISO prices is primary future work. (ii) Cell locations are anonymized; the geographic assignment is a modeling choice justified by documented inter-cell heterogeneity [1]. (iii) The 100 MW magnitude bridges cell scale to grid relevance; results should be swept over R, and a 300 MW fleet would plausibly move LMPs (the price-taker assumption). (iv) The measured tier curves make episodes deterministic; Sec. VI-H addresses the resulting memorization concern directly and shows transfer along observed axes. (v) May is the deepest duck-curve month in CAISO; seasonal generalization is untested. (vi) Cooling and PUE are excluded by scope; a multiplicative PUE would scale, not reorder, results. (vii) The linear power model is calibrated on u ≈ 0.1–0.7 and omits memory/IO effects (+0.03 R² at most); a policy pushing utilization outside that range extrapolates. (viii) Five seeds and one hyperparameter set per algorithm; DQN's higher seed variance (std up to ±$0.9M vs. PPO's ≤$0.25M) is itself reported as a stability finding.</w:t>
      </w:r>
    </w:p>
    <w:p>
      <w:pPr>
        <w:spacing w:after="80"/>
        <w:jc w:val="center"/>
      </w:pPr>
      <w:r>
        <w:rPr>
          <w:b/>
          <w:i w:val="0"/>
          <w:sz w:val="21"/>
        </w:rPr>
        <w:t>VIII. FURTHER TOPICS OF CONSIDERATION</w:t>
      </w:r>
    </w:p>
    <w:p>
      <w:pPr>
        <w:spacing w:after="60"/>
      </w:pPr>
      <w:r>
        <w:rPr>
          <w:b w:val="0"/>
          <w:i w:val="0"/>
          <w:sz w:val="19"/>
        </w:rPr>
        <w:t>(1) REAL PRICES: replace the synthetic price series with real CAISO/MISO LMP (and documented proxies for the non-ISO territories) — the highest-priority item, since it is the main provenance limitation (Sec. IV-D). (2) Sensitivity sweeps: deferrable fraction (via the retained generator), rated power R, flexibility factor φ, peak weight α; and seasonal generalization beyond May. (3) Carbon objective: swap or add marginal carbon-intensity signals to compare against CICS's objective directly [3]. (4) Forecast features: day-ahead price and net-demand forecasts as observations, quantifying the residual value of explicit foresight. (5) Constrained RL: enforce zero deadline violations as a hard constraint (e.g., Lagrangian PPO) rather than a penalty. (6) Hybrid granularity: a job-level inner scheduler below the aggregate outer policy, bridging to the CFWS setting [6]. (7) Storage and demand response: batteries and market participation extend the action space naturally [13]. (8) DQN stabilization: distributional/double variants and action-space curricula to separate encoding effects from optimizer fragility. (9) Multi-objective Pareto analysis of cost vs. peak contribution vs. completion latency. (10) Transfer to other public traces — e.g., the Alibaba 2020 GPU trace already packaged by SustainCluster [27] — to test trace dependence of the slope-arbitrage finding, and cross-validation of our policies inside the SustainCluster environment.</w:t>
      </w:r>
    </w:p>
    <w:p>
      <w:pPr>
        <w:spacing w:after="80"/>
        <w:jc w:val="center"/>
      </w:pPr>
      <w:r>
        <w:rPr>
          <w:b/>
          <w:i w:val="0"/>
          <w:sz w:val="21"/>
        </w:rPr>
        <w:t>IX. CONCLUSION</w:t>
      </w:r>
    </w:p>
    <w:p>
      <w:pPr>
        <w:spacing w:after="60"/>
      </w:pPr>
      <w:r>
        <w:rPr>
          <w:b w:val="0"/>
          <w:i w:val="0"/>
          <w:sz w:val="19"/>
        </w:rPr>
        <w:t>On an environment assembled largely from measured public data — per-tier demand from ClusterData 2019, per-cell power from PowerData2019, real EIA-930 net demand, and documented synthetic prices — a continuous-action PPO agent learns grid-aware spatio-temporal load shaping that, across five seeds per configuration, beats the grid-unaware status quo by 2.7–12.9%, a foresighted heuristic by 5.0–14.8%, and discrete DQN variants by 2.5–9.9% (19 of 20 seed comparisons) in every configuration, landing within 1.1–5.6% of a clairvoyant QP bound with zero deadline violations and a flatter, lower fleet profile. The savings come from continuously exploitable structure — price spreads and per-cell marginal-power (slope) arbitrage — and they transfer to unseen market conditions along the axes the policy observes, with domain randomization extending transfer to unseen workloads. Equally important, the path to these numbers required finding and fixing several modeling errors that each inverted the ranking, and an honest accounting of what is measured (demand, power, net demand) versus modeled (prices); we offer the corrected environment, the validation invariant, the QP bound, and the lessons themselves as contributions to reproducible research in sustainable computing.</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2023 (arXiv:2106.11750, 2021).</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“Geographical Load Balancing with Renewables,” ACM SIGMETRICS Performance Evaluation Review, vol. 39, no. 3, 2011.</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software repository, https://github.com/HewlettPackard/sustain-cluster (MIT License).</w:t>
      </w:r>
    </w:p>
    <w:p>
      <w:pPr>
        <w:spacing w:after="40"/>
      </w:pPr>
      <w:r>
        <w:rPr>
          <w:sz w:val="16"/>
        </w:rPr>
        <w:t>[28] International Energy Agency, “Key Questions on Energy and AI,” World Energy Outlook Special Report, IEA, 2025.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