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800"/>
      </w:pPr>
    </w:p>
    <w:p>
      <w:pPr>
        <w:spacing w:after="280"/>
        <w:jc w:val="center"/>
      </w:pPr>
      <w:r>
        <w:rPr>
          <w:rFonts w:ascii="Arial" w:cs="Arial" w:eastAsia="Arial" w:hAnsi="Arial"/>
          <w:b/>
          <w:bCs/>
          <w:color w:val="1F4E79"/>
          <w:sz w:val="40"/>
          <w:szCs w:val="40"/>
        </w:rPr>
        <w:t xml:space="preserve">Anticipatory Grid-Ramp Smoothing with Pure Reinforcement Learning</w:t>
      </w:r>
    </w:p>
    <w:p>
      <w:pPr>
        <w:spacing w:after="1000"/>
        <w:jc w:val="center"/>
      </w:pPr>
      <w:r>
        <w:rPr>
          <w:rFonts w:ascii="Arial" w:cs="Arial" w:eastAsia="Arial" w:hAnsi="Arial"/>
          <w:i/>
          <w:iCs/>
          <w:color w:val="404040"/>
          <w:sz w:val="25"/>
          <w:szCs w:val="25"/>
        </w:rPr>
        <w:t xml:space="preserve">A Causal Six-Market Study of Geo-Distributed Data-Center Flexibility</w:t>
      </w:r>
    </w:p>
    <w:p>
      <w:pPr>
        <w:spacing w:after="180"/>
        <w:jc w:val="center"/>
      </w:pPr>
      <w:r>
        <w:rPr>
          <w:rFonts w:ascii="Arial" w:cs="Arial" w:eastAsia="Arial" w:hAnsi="Arial"/>
          <w:sz w:val="24"/>
          <w:szCs w:val="24"/>
        </w:rPr>
        <w:t xml:space="preserve">Janusz Gal</w:t>
      </w:r>
    </w:p>
    <w:p>
      <w:pPr>
        <w:spacing w:after="180"/>
        <w:jc w:val="center"/>
      </w:pPr>
      <w:r>
        <w:rPr>
          <w:rFonts w:ascii="Arial" w:cs="Arial" w:eastAsia="Arial" w:hAnsi="Arial"/>
          <w:sz w:val="22"/>
          <w:szCs w:val="22"/>
        </w:rPr>
        <w:t xml:space="preserve">August 2026</w:t>
      </w:r>
    </w:p>
    <w:p>
      <w:pPr>
        <w:spacing w:after="600"/>
        <w:jc w:val="center"/>
      </w:pPr>
      <w:r>
        <w:rPr>
          <w:rFonts w:ascii="Courier New" w:cs="Courier New" w:eastAsia="Courier New" w:hAnsi="Courier New"/>
          <w:color w:val="4472C4"/>
          <w:sz w:val="18"/>
          <w:szCs w:val="18"/>
        </w:rPr>
        <w:t xml:space="preserve">https://github.com/januszjgal/dc-energy-joint-optimization</w:t>
      </w:r>
    </w:p>
    <w:p>
      <w:r>
        <w:br w:type="page"/>
      </w:r>
    </w:p>
    <w:p>
      <w:pPr>
        <w:pStyle w:val="Heading1"/>
      </w:pPr>
      <w:r>
        <w:rPr>
          <w:rFonts w:ascii="Arial" w:cs="Arial" w:eastAsia="Arial" w:hAnsi="Arial"/>
        </w:rPr>
        <w:t xml:space="preserve">Table of Contents</w:t>
      </w:r>
    </w:p>
    <w:sdt>
      <w:sdtPr/>
      <w:sdtContent>
        <w:p>
          <w:r>
            <w:fldChar w:fldCharType="begin" w:dirty="true"/>
            <w:instrText xml:space="preserve">TOC \h \o "1-3"</w:instrText>
            <w:fldChar w:fldCharType="separate"/>
          </w:r>
        </w:p>
        <w:p>
          <w:r>
            <w:fldChar w:fldCharType="end"/>
          </w:r>
        </w:p>
      </w:sdtContent>
    </w:sdt>
    <w:p>
      <w:r>
        <w:br w:type="page"/>
      </w:r>
    </w:p>
    <w:p>
      <w:pPr>
        <w:pBdr>
          <w:left w:val="single" w:color="4472C4" w:sz="12" w:space="10"/>
        </w:pBdr>
        <w:shd w:fill="EEF4FB" w:val="clear"/>
        <w:spacing w:after="120" w:line="276"/>
        <w:ind w:left="480" w:right="480"/>
      </w:pPr>
      <w:r>
        <w:rPr>
          <w:rFonts w:ascii="Arial" w:cs="Arial" w:eastAsia="Arial" w:hAnsi="Arial"/>
          <w:b/>
          <w:bCs/>
        </w:rPr>
        <w:t xml:space="preserve">FINAL EVIDENCE-BOUND THESIS.</w:t>
      </w:r>
      <w:r>
        <w:rPr>
          <w:rFonts w:ascii="Arial" w:cs="Arial" w:eastAsia="Arial" w:hAnsi="Arial"/>
          <w:i/>
          <w:iCs/>
        </w:rPr>
        <w:t xml:space="preserve"> Result text inside the generated contract is materialized only from the canonical V4R evidence whose SHA-256 is frozen below. Validation and test remain separate. The March-April 2026 sealed test was opened exactly once after validation freeze and was never used for selection, tuning, tolerance changes, or retraining.</w:t>
      </w:r>
    </w:p>
    <w:p>
      <w:pPr>
        <w:pStyle w:val="Heading1"/>
        <w:keepNext/>
        <w:pageBreakBefore/>
      </w:pPr>
      <w:r>
        <w:rPr>
          <w:rFonts w:ascii="Arial" w:cs="Arial" w:eastAsia="Arial" w:hAnsi="Arial"/>
        </w:rPr>
        <w:t xml:space="preserve">Abstract</w:t>
      </w:r>
    </w:p>
    <w:p>
      <w:pPr>
        <w:spacing w:after="120" w:line="276"/>
      </w:pPr>
      <w:r>
        <w:rPr>
          <w:rFonts w:ascii="Arial" w:cs="Arial" w:eastAsia="Arial" w:hAnsi="Arial"/>
        </w:rPr>
        <w:t xml:space="preserve">Geo-distributed computing can alter grid-facing demand by routing work among electricity markets and scheduling deferrable work before forecast ramps. This thesis asks whether a controller whose learned preferences originate entirely in reward-only reinforcement learning can reduce a fleet's incremental contribution to physical 1 h and 3 h net-load ramps while preserving exact workload service and a day-ahead energy-cost constraint. The study uses a common hourly UTC panel from September 2025 through April 2026 for six independently observed US markets: CAISO NP15, ERCOT North, NYISO Zone J, MISO Minnesota Hub, SPP North Hub, and ISO New England NEMA. September-January is training, February is validation, and March-April is sealed test. PJM DOM / Northern Virginia was not evaluated because the required credential was unavailable.</w:t>
      </w:r>
    </w:p>
    <w:p>
      <w:pPr>
        <w:spacing w:after="120" w:line="276"/>
      </w:pPr>
      <w:r>
        <w:rPr>
          <w:rFonts w:ascii="Arial" w:cs="Arial" w:eastAsia="Arial" w:hAnsi="Arial"/>
        </w:rPr>
        <w:t xml:space="preserve">The final controller is a deterministic equal-action ensemble of five PPO members. Each member originated as an independently random-initialized, reward-only V3 policy. An operational loss of the original model containers blocked the first V4 ensemble before evaluation. V4R is therefore a new binary identity: recovered containers reproduce the exact V3 policy weights, critic weights, normalization state, and training provenance, but they do not reuse or impersonate the lost V3 containers or the blocked V4 identity. There was no new V4R training. At each decision all five deterministic member actions are invoked once and averaged with fixed weights of 0.2 in environment action space. There is no member selection, learned weighting, trainable combiner, teacher, behavior cloning, analytic policy, model-predictive controller, or optimizer action.</w:t>
      </w:r>
    </w:p>
    <w:p>
      <w:pPr>
        <w:spacing w:after="120" w:line="276"/>
      </w:pPr>
      <w:r>
        <w:rPr>
          <w:rFonts w:ascii="Arial" w:cs="Arial" w:eastAsia="Arial" w:hAnsi="Arial"/>
        </w:rPr>
        <w:t xml:space="preserve">V4R passed every strict February validation gate over 28 episodes, with mean incremental normalized squared-ramp impact -1.4086907198e-05 and modeled day-ahead cost ratio 0.9858280673. After source, recovery, and validation freeze, its single sealed-test opening produced 60 episodes with impact -1.4258710514e-05 and cost ratio 0.9775584402. Every evaluated market had negative incremental impact. Service and batch completion were exact, there were zero expiry, terminal work, certificate violations, emergency feasibility events, and leakage detections, and ramp-period power fell from 313,167.23 to 303,077.90 persisted audit units. Post-selection 1 GW-total and c-h overlapping/non-independent analyses also passed all gates. These are fixed period, price-taking simulation results, not universal grid-reliability or retail-bill claims.</w:t>
      </w:r>
    </w:p>
    <w:p>
      <w:pPr>
        <w:pStyle w:val="Heading1"/>
        <w:keepNext/>
        <w:pageBreakBefore/>
      </w:pPr>
      <w:r>
        <w:rPr>
          <w:rFonts w:ascii="Arial" w:cs="Arial" w:eastAsia="Arial" w:hAnsi="Arial"/>
        </w:rPr>
        <w:t xml:space="preserve">1. Introduction and Research Question</w:t>
      </w:r>
    </w:p>
    <w:p>
      <w:pPr>
        <w:pStyle w:val="Heading2"/>
        <w:keepNext/>
      </w:pPr>
      <w:r>
        <w:rPr>
          <w:rFonts w:ascii="Arial" w:cs="Arial" w:eastAsia="Arial" w:hAnsi="Arial"/>
        </w:rPr>
        <w:t xml:space="preserve">1.1 From electricity-cost scheduling to physical ramp response</w:t>
      </w:r>
    </w:p>
    <w:p>
      <w:pPr>
        <w:spacing w:after="120" w:line="276"/>
      </w:pPr>
      <w:r>
        <w:rPr>
          <w:rFonts w:ascii="Arial" w:cs="Arial" w:eastAsia="Arial" w:hAnsi="Arial"/>
        </w:rPr>
        <w:t xml:space="preserve">Prior geo-distributed scheduling work often minimizes electricity price, emissions, or renewable mismatch by moving workload to favorable places and times. Those objectives are useful, but an immediate price signal does not directly identify whether controllable demand anticipates a future physical ramp. A scheduler may save money while amplifying a balancing-area net-load change, or it may counter a ramp without lowering a wholesale settlement proxy. This thesis therefore separates a physical ramp estimand from a wholesale day-ahead LMP cost constraint.</w:t>
      </w:r>
    </w:p>
    <w:p>
      <w:pPr>
        <w:spacing w:after="120" w:line="276"/>
      </w:pPr>
      <w:r>
        <w:rPr>
          <w:rFonts w:ascii="Arial" w:cs="Arial" w:eastAsia="Arial" w:hAnsi="Arial"/>
        </w:rPr>
        <w:t xml:space="preserve">The data-center contribution is evaluated against the native market trajectory, not against zero load. For market \(m\), time \(t\), and horizon \(h\), the question is whether adding modeled data-center power makes the squared, market-normalized net-load change larger or smaller than it would have been under native demand. Negative incremental impact means counter-ramping; positive impact means amplification.</w:t>
      </w:r>
    </w:p>
    <w:p>
      <w:pPr>
        <w:pStyle w:val="Heading2"/>
        <w:keepNext/>
      </w:pPr>
      <w:r>
        <w:rPr>
          <w:rFonts w:ascii="Arial" w:cs="Arial" w:eastAsia="Arial" w:hAnsi="Arial"/>
        </w:rPr>
        <w:t xml:space="preserve">1.2 Why pure-RL attribution matters</w:t>
      </w:r>
    </w:p>
    <w:p>
      <w:pPr>
        <w:spacing w:after="120" w:line="276"/>
      </w:pPr>
      <w:r>
        <w:rPr>
          <w:rFonts w:ascii="Arial" w:cs="Arial" w:eastAsia="Arial" w:hAnsi="Arial"/>
        </w:rPr>
        <w:t xml:space="preserve">The repository's V5 result was safe and economically favorable, but its attribution was supervised-imitation dominated. Behavior cloning alone averaged 6.288964% US and 14.017276% Global objective savings, while post-RL TD3+BC averaged 6.290226% and 14.000051%. The paired post-RL increment was only +0.001262 percentage points in US and -0.017224 points in Global. Actor and critic hashes changed and every seed completed reward updates, yet the absolute performance primarily belonged to a demonstration teacher plus deterministic feasibility. Frequent normal decoder adjustment further showed that the executed controller was a co-product of learned preferences and exact constraints.</w:t>
      </w:r>
    </w:p>
    <w:p>
      <w:pPr>
        <w:spacing w:after="120" w:line="276"/>
      </w:pPr>
      <w:r>
        <w:rPr>
          <w:rFonts w:ascii="Arial" w:cs="Arial" w:eastAsia="Arial" w:hAnsi="Arial"/>
        </w:rPr>
        <w:t xml:space="preserve">That result is retained rather than relabeled. V6 removes supervision so that the origin of the learned preferences is identifiable. Constraint-only decoding remains because workload conservation, capacity, and deadlines are hard requirements; it does not contain price, ramp, forecast, or policy optimization logic.</w:t>
      </w:r>
    </w:p>
    <w:p>
      <w:pPr>
        <w:pStyle w:val="Heading2"/>
        <w:keepNext/>
      </w:pPr>
      <w:r>
        <w:rPr>
          <w:rFonts w:ascii="Arial" w:cs="Arial" w:eastAsia="Arial" w:hAnsi="Arial"/>
        </w:rPr>
        <w:t xml:space="preserve">1.3 Research question and contribution</w:t>
      </w:r>
    </w:p>
    <w:p>
      <w:pPr>
        <w:spacing w:after="120" w:line="276"/>
      </w:pPr>
      <w:r>
        <w:rPr>
          <w:rFonts w:ascii="Arial" w:cs="Arial" w:eastAsia="Arial" w:hAnsi="Arial"/>
        </w:rPr>
        <w:t xml:space="preserve">The central question is:</w:t>
      </w:r>
    </w:p>
    <w:p>
      <w:pPr>
        <w:pBdr>
          <w:left w:val="single" w:color="4472C4" w:sz="12" w:space="10"/>
        </w:pBdr>
        <w:shd w:fill="EEF4FB" w:val="clear"/>
        <w:spacing w:after="120" w:line="276"/>
        <w:ind w:left="480" w:right="480"/>
      </w:pPr>
      <w:r>
        <w:rPr>
          <w:rFonts w:ascii="Arial" w:cs="Arial" w:eastAsia="Arial" w:hAnsi="Arial"/>
          <w:i/>
          <w:iCs/>
        </w:rPr>
        <w:t xml:space="preserve">Can reward-only PPO preferences, acting through a constraint-only semantic decoder, anticipate and reduce a geo-distributed fleet's incremental contribution to future 1 h and 3 h market-scale net-load ramps across six evaluated US markets, without violating service, deadline, leakage, emergency, or modeled day-ahead cost gates?</w:t>
      </w:r>
    </w:p>
    <w:p>
      <w:pPr>
        <w:spacing w:after="120" w:line="276"/>
      </w:pPr>
      <w:r>
        <w:rPr>
          <w:rFonts w:ascii="Arial" w:cs="Arial" w:eastAsia="Arial" w:hAnsi="Arial"/>
        </w:rPr>
        <w:t xml:space="preserve">The contributions are:</w:t>
      </w:r>
    </w:p>
    <w:p>
      <w:pPr>
        <w:pStyle w:val="ListParagraph"/>
        <w:numPr>
          <w:ilvl w:val="0"/>
          <w:numId w:val="2"/>
        </w:numPr>
        <w:spacing w:after="60"/>
      </w:pPr>
      <w:r>
        <w:rPr>
          <w:rFonts w:ascii="Arial" w:cs="Arial" w:eastAsia="Arial" w:hAnsi="Arial"/>
        </w:rPr>
        <w:t xml:space="preserve">an independently sourced six-market hourly panel with explicit geography,</w:t>
      </w:r>
    </w:p>
    <w:p>
      <w:pPr>
        <w:spacing w:after="120" w:line="276"/>
      </w:pPr>
      <w:r>
        <w:rPr>
          <w:rFonts w:ascii="Arial" w:cs="Arial" w:eastAsia="Arial" w:hAnsi="Arial"/>
        </w:rPr>
        <w:t xml:space="preserve">licensing, missing-data, and causal-forecast contracts;</w:t>
      </w:r>
    </w:p>
    <w:p>
      <w:pPr>
        <w:pStyle w:val="ListParagraph"/>
        <w:numPr>
          <w:ilvl w:val="0"/>
          <w:numId w:val="2"/>
        </w:numPr>
        <w:spacing w:after="60"/>
      </w:pPr>
      <w:r>
        <w:rPr>
          <w:rFonts w:ascii="Arial" w:cs="Arial" w:eastAsia="Arial" w:hAnsi="Arial"/>
        </w:rPr>
        <w:t xml:space="preserve">an incremental squared-ramp objective with interpretable 1 h/3 h p95 and</w:t>
      </w:r>
    </w:p>
    <w:p>
      <w:pPr>
        <w:spacing w:after="120" w:line="276"/>
      </w:pPr>
      <w:r>
        <w:rPr>
          <w:rFonts w:ascii="Arial" w:cs="Arial" w:eastAsia="Arial" w:hAnsi="Arial"/>
        </w:rPr>
        <w:t xml:space="preserve">maximum adjusted-ramp reporting;</w:t>
      </w:r>
    </w:p>
    <w:p>
      <w:pPr>
        <w:pStyle w:val="ListParagraph"/>
        <w:numPr>
          <w:ilvl w:val="0"/>
          <w:numId w:val="2"/>
        </w:numPr>
        <w:spacing w:after="60"/>
      </w:pPr>
      <w:r>
        <w:rPr>
          <w:rFonts w:ascii="Arial" w:cs="Arial" w:eastAsia="Arial" w:hAnsi="Arial"/>
        </w:rPr>
        <w:t xml:space="preserve">a pure-RL attribution boundary that excludes demonstrations, imitation,</w:t>
      </w:r>
    </w:p>
    <w:p>
      <w:pPr>
        <w:spacing w:after="120" w:line="276"/>
      </w:pPr>
      <w:r>
        <w:rPr>
          <w:rFonts w:ascii="Arial" w:cs="Arial" w:eastAsia="Arial" w:hAnsi="Arial"/>
        </w:rPr>
        <w:t xml:space="preserve">analytic policy actions, MPC, optimizer actions, and test-driven iteration;</w:t>
      </w:r>
    </w:p>
    <w:p>
      <w:pPr>
        <w:pStyle w:val="ListParagraph"/>
        <w:numPr>
          <w:ilvl w:val="0"/>
          <w:numId w:val="2"/>
        </w:numPr>
        <w:spacing w:after="60"/>
      </w:pPr>
      <w:r>
        <w:rPr>
          <w:rFonts w:ascii="Arial" w:cs="Arial" w:eastAsia="Arial" w:hAnsi="Arial"/>
        </w:rPr>
        <w:t xml:space="preserve">a transparent sequence of failed V1-V3 protocols, the operationally blocked</w:t>
      </w:r>
    </w:p>
    <w:p>
      <w:pPr>
        <w:spacing w:after="120" w:line="276"/>
      </w:pPr>
      <w:r>
        <w:rPr>
          <w:rFonts w:ascii="Arial" w:cs="Arial" w:eastAsia="Arial" w:hAnsi="Arial"/>
        </w:rPr>
        <w:t xml:space="preserve">original V4, and the recovered-container V4R success;</w:t>
      </w:r>
    </w:p>
    <w:p>
      <w:pPr>
        <w:pStyle w:val="ListParagraph"/>
        <w:numPr>
          <w:ilvl w:val="0"/>
          <w:numId w:val="2"/>
        </w:numPr>
        <w:spacing w:after="60"/>
      </w:pPr>
      <w:r>
        <w:rPr>
          <w:rFonts w:ascii="Arial" w:cs="Arial" w:eastAsia="Arial" w:hAnsi="Arial"/>
        </w:rPr>
        <w:t xml:space="preserve">a single-open sealed-test protocol with hash-bound recovery provenance and</w:t>
      </w:r>
    </w:p>
    <w:p>
      <w:pPr>
        <w:spacing w:after="120" w:line="276"/>
      </w:pPr>
      <w:r>
        <w:rPr>
          <w:rFonts w:ascii="Arial" w:cs="Arial" w:eastAsia="Arial" w:hAnsi="Arial"/>
        </w:rPr>
        <w:t xml:space="preserve">fail-closed publication tooling; and</w:t>
      </w:r>
    </w:p>
    <w:p>
      <w:pPr>
        <w:pStyle w:val="ListParagraph"/>
        <w:numPr>
          <w:ilvl w:val="0"/>
          <w:numId w:val="2"/>
        </w:numPr>
        <w:spacing w:after="60"/>
      </w:pPr>
      <w:r>
        <w:rPr>
          <w:rFonts w:ascii="Arial" w:cs="Arial" w:eastAsia="Arial" w:hAnsi="Arial"/>
        </w:rPr>
        <w:t xml:space="preserve">post-selection scale and workload-map analyses that remain explicitly</w:t>
      </w:r>
    </w:p>
    <w:p>
      <w:pPr>
        <w:spacing w:after="120" w:line="276"/>
      </w:pPr>
      <w:r>
        <w:rPr>
          <w:rFonts w:ascii="Arial" w:cs="Arial" w:eastAsia="Arial" w:hAnsi="Arial"/>
        </w:rPr>
        <w:t xml:space="preserve">separate from the primary sealed result.</w:t>
      </w:r>
    </w:p>
    <w:p>
      <w:pPr>
        <w:pStyle w:val="Heading1"/>
        <w:keepNext/>
        <w:pageBreakBefore/>
      </w:pPr>
      <w:r>
        <w:rPr>
          <w:rFonts w:ascii="Arial" w:cs="Arial" w:eastAsia="Arial" w:hAnsi="Arial"/>
        </w:rPr>
        <w:t xml:space="preserve">2. Prior Evidence and Diagnostic Lineage</w:t>
      </w:r>
    </w:p>
    <w:p>
      <w:pPr>
        <w:pStyle w:val="Heading2"/>
        <w:keepNext/>
      </w:pPr>
      <w:r>
        <w:rPr>
          <w:rFonts w:ascii="Arial" w:cs="Arial" w:eastAsia="Arial" w:hAnsi="Arial"/>
        </w:rPr>
        <w:t xml:space="preserve">2.1 Frozen V1-V5 lineage</w:t>
      </w:r>
    </w:p>
    <w:p>
      <w:pPr>
        <w:spacing w:after="120" w:line="276"/>
      </w:pPr>
      <w:r>
        <w:rPr>
          <w:rFonts w:ascii="Arial" w:cs="Arial" w:eastAsia="Arial" w:hAnsi="Arial"/>
        </w:rPr>
        <w:t xml:space="preserve">Repository versions are design history, not a sequence of rewritten final claims. V1-V4 built the workload, energy, action, and safety machinery. V5 combined a supervised demonstration teacher, TD3+BC, and a deterministic feasibility decoder in a four-site CAISO-derived archetype. Its exact safety and absolute savings remain valid within that scope. Its incremental RL effect was approximately zero, so it cannot support a pure-RL headline.</w:t>
      </w:r>
    </w:p>
    <w:p>
      <w:pPr>
        <w:spacing w:after="120" w:line="276"/>
      </w:pPr>
      <w:r>
        <w:rPr>
          <w:rFonts w:ascii="Arial" w:cs="Arial" w:eastAsia="Arial" w:hAnsi="Arial"/>
        </w:rPr>
        <w:t xml:space="preserve">Deterministic audits and ablations motivated the ramp reformulation. Exact KKT/water-filling allocation was stronger than a softmax teacher approximation. Spatial price response had substantial immediate headroom, while incremental temporal headroom under the modeled deadlines was small. Random-init PPO and SAC could learn simpler immediate spatial tasks, indicating that the training stack worked, but the earlier joint objective mixed delayed credit, constrained geometry, and weak temporal signal.</w:t>
      </w:r>
    </w:p>
    <w:p>
      <w:pPr>
        <w:pStyle w:val="Heading2"/>
        <w:keepNext/>
      </w:pPr>
      <w:r>
        <w:rPr>
          <w:rFonts w:ascii="Arial" w:cs="Arial" w:eastAsia="Arial" w:hAnsi="Arial"/>
        </w:rPr>
        <w:t xml:space="preserve">2.2 V6 protocol learning</w:t>
      </w:r>
    </w:p>
    <w:p>
      <w:pPr>
        <w:spacing w:after="120" w:line="276"/>
      </w:pPr>
      <w:r>
        <w:rPr>
          <w:rFonts w:ascii="Arial" w:cs="Arial" w:eastAsia="Arial" w:hAnsi="Arial"/>
        </w:rPr>
        <w:t xml:space="preserve">V6 preserved every failure as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Protocol</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Frozen outcome</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Scientific interpretation</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V1 100k screen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aggregate validation screen passed</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promotion signal only</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V1 500k confirmation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failed strict per-seed/per-market/behavior rules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 selection; test stayed closed</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V2-A</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all three fresh seeds failed at least one strict gate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shaped retry rejected</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V2-B</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reporting mean remained weak and strict gates failed</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retry rejected</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V3</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four of five seeds passed; seed 2805 harmed MISO slightly</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conjunctive validation failure; test stayed closed</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Original V4</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lost binaries prevented trustworthy evaluation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blocked and explicitly unevaluated</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V4R</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recovered-policy equal-action ensemble passed validation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new recovered-container identity authorized one test opening</w:t>
            </w:r>
          </w:p>
        </w:tc>
      </w:tr>
    </w:tbl>
    <w:p>
      <w:pPr>
        <w:spacing w:after="120"/>
      </w:pPr>
    </w:p>
    <w:p>
      <w:pPr>
        <w:spacing w:after="60" w:before="120"/>
        <w:jc w:val="center"/>
      </w:pPr>
      <w:r>
        <w:drawing>
          <wp:inline distT="0" distB="0" distL="0" distR="0">
            <wp:extent cx="6191250" cy="2828925"/>
            <wp:effectExtent t="0" r="0" b="0" l="0"/>
            <wp:docPr id="1" name="Figure 1. Protocol progression with failures, operational block, and V4R validation success." descr="Figure 1. Protocol progression with failures, operational block, and V4R validation success." title="Figure 1. Protocol progression with failures, operational block, and V4R validation 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6191250" cy="28289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1. Protocol progression with failures, operational block, and V4R validation success.</w:t>
      </w:r>
    </w:p>
    <w:p>
      <w:pPr>
        <w:spacing w:after="120" w:line="276"/>
      </w:pPr>
      <w:r>
        <w:rPr>
          <w:rFonts w:ascii="Arial" w:cs="Arial" w:eastAsia="Arial" w:hAnsi="Arial"/>
        </w:rPr>
        <w:t xml:space="preserve">V1 confirmation averaged -1.09572077294e-05 at cost ratio 0.9783949019, but three seeds violated strict market or behavior gates. V2-A averaged -4.98371781802e-07 at cost ratio 1.0091997163 and stopped after three failed seeds. V3 reproduced the stronger original PPO recipe on fresh seeds 2801-2805: the reporting-only mean was -1.37109198609e-05 at cost ratio 0.9863649332, but seed 2805's MISO impact was +1.29400801418e-07. The all-five decision was therefore false. No aggregate override or tolerance was introduced.</w:t>
      </w:r>
    </w:p>
    <w:p>
      <w:pPr>
        <w:pStyle w:val="Heading1"/>
        <w:keepNext/>
        <w:pageBreakBefore/>
      </w:pPr>
      <w:r>
        <w:rPr>
          <w:rFonts w:ascii="Arial" w:cs="Arial" w:eastAsia="Arial" w:hAnsi="Arial"/>
        </w:rPr>
        <w:t xml:space="preserve">3. Data, Geography, and Causal Information</w:t>
      </w:r>
    </w:p>
    <w:p>
      <w:pPr>
        <w:pStyle w:val="Heading2"/>
        <w:keepNext/>
      </w:pPr>
      <w:r>
        <w:rPr>
          <w:rFonts w:ascii="Arial" w:cs="Arial" w:eastAsia="Arial" w:hAnsi="Arial"/>
        </w:rPr>
        <w:t xml:space="preserve">3.1 Six evaluated markets</w:t>
      </w:r>
    </w:p>
    <w:p>
      <w:pPr>
        <w:spacing w:after="120" w:line="276"/>
      </w:pPr>
      <w:r>
        <w:rPr>
          <w:rFonts w:ascii="Arial" w:cs="Arial" w:eastAsia="Arial" w:hAnsi="Arial"/>
        </w:rPr>
        <w:t xml:space="preserve">The energy-model V3 panel contains six separate price and physical-market observations on one exact hourly UTC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Site proxy</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Day-ahead price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Physical stress geography</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Workload cell</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Northern California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system</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North Texas</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LZ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system</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New York City</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Zone J load with NYCA renewable context</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Minnesota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system</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balancing authority</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Boston/NEMA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location 4008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 New England balancing authority</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w:t>
            </w:r>
          </w:p>
        </w:tc>
      </w:tr>
    </w:tbl>
    <w:p>
      <w:pPr>
        <w:spacing w:after="120"/>
      </w:pPr>
    </w:p>
    <w:p>
      <w:pPr>
        <w:spacing w:after="60" w:before="120"/>
        <w:jc w:val="center"/>
      </w:pPr>
      <w:r>
        <w:drawing>
          <wp:inline distT="0" distB="0" distL="0" distR="0">
            <wp:extent cx="6191250" cy="3038475"/>
            <wp:effectExtent t="0" r="0" b="0" l="0"/>
            <wp:docPr id="2" name="Figure 2. Six-market study design and fixed calendar split." descr="Figure 2. Six-market study design and fixed calendar split." title="Figure 2. Six-market study design and fixed calendar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6191250" cy="30384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2. Six-market study design and fixed calendar split.</w:t>
      </w:r>
    </w:p>
    <w:p>
      <w:pPr>
        <w:spacing w:after="120" w:line="276"/>
      </w:pPr>
      <w:r>
        <w:rPr>
          <w:rFonts w:ascii="Arial" w:cs="Arial" w:eastAsia="Arial" w:hAnsi="Arial"/>
        </w:rPr>
        <w:t xml:space="preserve">These are independent market series, not wall-time shifts of one CAISO trace. They are nevertheless fixed cases rather than random draws from all US grids. The market-level physical geography is not a facility feeder, utility territory, or local reliability zone. PJM DOM / Northern Virginia was not evaluated and has no result in any aggregate.</w:t>
      </w:r>
    </w:p>
    <w:p>
      <w:pPr>
        <w:pStyle w:val="Heading2"/>
        <w:keepNext/>
      </w:pPr>
      <w:r>
        <w:rPr>
          <w:rFonts w:ascii="Arial" w:cs="Arial" w:eastAsia="Arial" w:hAnsi="Arial"/>
        </w:rPr>
        <w:t xml:space="preserve">3.2 Source and licensing boundaries</w:t>
      </w:r>
    </w:p>
    <w:p>
      <w:pPr>
        <w:spacing w:after="120" w:line="276"/>
      </w:pPr>
      <w:r>
        <w:rPr>
          <w:rFonts w:ascii="Arial" w:cs="Arial" w:eastAsia="Arial" w:hAnsi="Arial"/>
        </w:rPr>
        <w:t xml:space="preserve">Day-ahead price comes from operator products at the stated hub or zone. Physical demand and renewable components use operator products where complete and defensible; documented same-balancing-authority EIA bulk fallback is used only where the operator historical physical tuple is unavailable. Each source descriptor records product, geography, cadence, units, timezone, revision status, authentication, retrieval query/time, raw hash, quality flags, and redistribution policy. Restricted raw/native/panel files remain local and ignored where licensing prohibits redistribution; permissible manifests, hashes, and derived evidence are committed.</w:t>
      </w:r>
    </w:p>
    <w:p>
      <w:pPr>
        <w:spacing w:after="120" w:line="276"/>
      </w:pPr>
      <w:r>
        <w:rPr>
          <w:rFonts w:ascii="Arial" w:cs="Arial" w:eastAsia="Arial" w:hAnsi="Arial"/>
        </w:rPr>
        <w:t xml:space="preserve">No market series is interpolated, forward-filled, shortened, silently replaced, or dropped to make the common calendar pass. Negative renewable adjustments in the EIA bulk product are explicitly clipped to zero before net-load derivation, with affected-hour diagnostics retained. This is disclosed normalization, not missing-data interpolation.</w:t>
      </w:r>
    </w:p>
    <w:p>
      <w:pPr>
        <w:pStyle w:val="Heading2"/>
        <w:keepNext/>
      </w:pPr>
      <w:r>
        <w:rPr>
          <w:rFonts w:ascii="Arial" w:cs="Arial" w:eastAsia="Arial" w:hAnsi="Arial"/>
        </w:rPr>
        <w:t xml:space="preserve">3.3 Calendar, split, and forecasts</w:t>
      </w:r>
    </w:p>
    <w:p>
      <w:pPr>
        <w:spacing w:after="120" w:line="276"/>
      </w:pPr>
      <w:r>
        <w:rPr>
          <w:rFonts w:ascii="Arial" w:cs="Arial" w:eastAsia="Arial" w:hAnsi="Arial"/>
        </w:rPr>
        <w:t xml:space="preserve">The exact panel runs from 2025-09-01T00:00:00Z through 2026-05-01T00:00:00Z exclusive: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Period</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Use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September 2025-January 2026</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training, scales, thresholds, normalization, forecast fitting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February 2026</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validation-only selection and freeze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March-April 2026</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sealed test, opened once</w:t>
            </w:r>
          </w:p>
        </w:tc>
      </w:tr>
    </w:tbl>
    <w:p>
      <w:pPr>
        <w:spacing w:after="120"/>
      </w:pPr>
    </w:p>
    <w:p>
      <w:pPr>
        <w:spacing w:after="120" w:line="276"/>
      </w:pPr>
      <w:r>
        <w:rPr>
          <w:rFonts w:ascii="Arial" w:cs="Arial" w:eastAsia="Arial" w:hAnsi="Arial"/>
        </w:rPr>
        <w:t xml:space="preserve">Forecast features are reconstructed causal forecasts, not hindsight values and not claims about archived operator forecast products. Training uses expanding-window vintages whose observations strictly precede issue time. The model fitted at the February boundary is frozen for validation and test. Validation/test data cannot influence scales, thresholds, normalization, forecast fitting, reward calibration, member weights, or selection.</w:t>
      </w:r>
    </w:p>
    <w:p>
      <w:pPr>
        <w:pStyle w:val="Heading2"/>
        <w:keepNext/>
      </w:pPr>
      <w:r>
        <w:rPr>
          <w:rFonts w:ascii="Arial" w:cs="Arial" w:eastAsia="Arial" w:hAnsi="Arial"/>
        </w:rPr>
        <w:t xml:space="preserve">3.4 Workload and scale</w:t>
      </w:r>
    </w:p>
    <w:p>
      <w:pPr>
        <w:spacing w:after="120" w:line="276"/>
      </w:pPr>
      <w:r>
        <w:rPr>
          <w:rFonts w:ascii="Arial" w:cs="Arial" w:eastAsia="Arial" w:hAnsi="Arial"/>
        </w:rPr>
        <w:t xml:space="preserve">Measured Google ClusterData 2019 cell a-f profiles are converted through committed per-cell power models and tiled over the later energy calendar. Synthetic EDF deadlines are experimental constraints, not production Borg SLOs. The primary fleet is six 100 MW proxy sites, 600 MW total. The 1 GW-total case assigns 166.6667 MW per site and is a post-selection scale sensitivity. The c-h mapping reuses part of the primary workload population; it is c-h overlapping/non-independent robustness, not an independent workload holdout. A 6 GW stress exists outside the primary price-taking claim.</w:t>
      </w:r>
    </w:p>
    <w:p>
      <w:pPr>
        <w:pStyle w:val="Heading1"/>
        <w:keepNext/>
        <w:pageBreakBefore/>
      </w:pPr>
      <w:r>
        <w:rPr>
          <w:rFonts w:ascii="Arial" w:cs="Arial" w:eastAsia="Arial" w:hAnsi="Arial"/>
        </w:rPr>
        <w:t xml:space="preserve">4. Ramp-Aware Control Problem</w:t>
      </w:r>
    </w:p>
    <w:p>
      <w:pPr>
        <w:pStyle w:val="Heading2"/>
        <w:keepNext/>
      </w:pPr>
      <w:r>
        <w:rPr>
          <w:rFonts w:ascii="Arial" w:cs="Arial" w:eastAsia="Arial" w:hAnsi="Arial"/>
        </w:rPr>
        <w:t xml:space="preserve">4.1 State, action, and exact feasibility</w:t>
      </w:r>
    </w:p>
    <w:p>
      <w:pPr>
        <w:spacing w:after="120" w:line="276"/>
      </w:pPr>
      <w:r>
        <w:rPr>
          <w:rFonts w:ascii="Arial" w:cs="Arial" w:eastAsia="Arial" w:hAnsi="Arial"/>
        </w:rPr>
        <w:t xml:space="preserve">The causal state includes current service and batch arrivals, EDF queue/deadline structure, current market levels, prior modeled market power, training-only scales and thresholds, reconstructed forecast values with issue/vintage metadata, site capacities, and episode position. Future realized net load, renewables, price, and workload do not enter the observation.</w:t>
      </w:r>
    </w:p>
    <w:p>
      <w:pPr>
        <w:spacing w:after="120" w:line="276"/>
      </w:pPr>
      <w:r>
        <w:rPr>
          <w:rFonts w:ascii="Arial" w:cs="Arial" w:eastAsia="Arial" w:hAnsi="Arial"/>
        </w:rPr>
        <w:t xml:space="preserve">For six sites, the semantic action has \(2N+1=13\) preferences: six service allocation preferences, one total batch-drain preference, and six batch destination preferences. A deterministic capped-simplex allocation conserves service within capacity. Global EDF enforces cumulative deadline prefixes. Residual capacity places drained batch work, and exact transport matches origin drains to destination execution. The decoder contains no economic or ramp objective. Safety is therefore attributed to constraint-only execution; ramp preference is attributed to the learned policy ensemble.</w:t>
      </w:r>
    </w:p>
    <w:p>
      <w:pPr>
        <w:pStyle w:val="Heading2"/>
        <w:keepNext/>
      </w:pPr>
      <w:r>
        <w:rPr>
          <w:rFonts w:ascii="Arial" w:cs="Arial" w:eastAsia="Arial" w:hAnsi="Arial"/>
        </w:rPr>
        <w:t xml:space="preserve">4.2 Incremental squared-ramp objective</w:t>
      </w:r>
    </w:p>
    <w:p>
      <w:pPr>
        <w:spacing w:after="120" w:line="276"/>
      </w:pPr>
      <w:r>
        <w:rPr>
          <w:rFonts w:ascii="Arial" w:cs="Arial" w:eastAsia="Arial" w:hAnsi="Arial"/>
        </w:rPr>
        <w:t xml:space="preserve">For market \(m\), hour \(t\), horizon \(h \in \{1,3\}\), native net load \(N\), modeled data-center power \(P\), and the training-only Q95 gross-demand scale \(S_m\):</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b[m,t,h] = (N[m,t] - N[m,t-h])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a[m,t,h] = ((N[m,t] + P[m,t]) - (N[m,t-h] + P[m,t-h]))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I[m,t,h] = a[m,t,h]^2 - b[m,t,h]^2</w:t>
      </w:r>
    </w:p>
    <w:p>
      <w:pPr>
        <w:spacing w:after="120"/>
      </w:pPr>
    </w:p>
    <w:p>
      <w:pPr>
        <w:spacing w:after="120" w:line="276"/>
      </w:pPr>
      <w:r>
        <w:rPr>
          <w:rFonts w:ascii="Arial" w:cs="Arial" w:eastAsia="Arial" w:hAnsi="Arial"/>
        </w:rPr>
        <w:t xml:space="preserve">The primary incremental objective is \(0.40 I_{1h} + 0.60 I_{3h}\). Negative \(I\) means the fleet reduces the native squared ramp; positive \(I\) means amplification. Squaring treats upward and downward ramps symmetrically. Power is aggregated once within each market before scoring.</w:t>
      </w:r>
    </w:p>
    <w:p>
      <w:pPr>
        <w:spacing w:after="120" w:line="276"/>
      </w:pPr>
      <w:r>
        <w:rPr>
          <w:rFonts w:ascii="Arial" w:cs="Arial" w:eastAsia="Arial" w:hAnsi="Arial"/>
        </w:rPr>
        <w:t xml:space="preserve">The objective's units are squared fractions of training Q95 gross-demand scale per hour squared. It is dimensionless after normalization and is not MW, MWh, USD, reserve need, or reliability probability. To retain physical interpretability, the evaluator also persists adjusted absolute 1 h and 3 h ramp p95/max as fractions of \(S_m\) per hour. For example, a value 0.067 means an adjusted ramp equal to 6.7% of that market's training Q95 gross-demand scale per hour. Because the aggregate evidence pools market-normalized windows, it does not invent a single cross-market MW conversion.</w:t>
      </w:r>
    </w:p>
    <w:p>
      <w:pPr>
        <w:pStyle w:val="Heading2"/>
        <w:keepNext/>
      </w:pPr>
      <w:r>
        <w:rPr>
          <w:rFonts w:ascii="Arial" w:cs="Arial" w:eastAsia="Arial" w:hAnsi="Arial"/>
        </w:rPr>
        <w:t xml:space="preserve">4.3 Cost and anti-gaming rules</w:t>
      </w:r>
    </w:p>
    <w:p>
      <w:pPr>
        <w:spacing w:after="120" w:line="276"/>
      </w:pPr>
      <w:r>
        <w:rPr>
          <w:rFonts w:ascii="Arial" w:cs="Arial" w:eastAsia="Arial" w:hAnsi="Arial"/>
        </w:rPr>
        <w:t xml:space="preserve">Modeled hourly cost is day-ahead LMP times modeled MWh. The primary gate requires policy cost no more than 2% above status quo. It is reported separately from physical ramp impact. This wholesale day-ahead LMP proxy excludes delivery, capacity, demand charges, hedges, PPAs, taxes, ancillary-service revenue, and endogenous market clearing. It is not a retail electricity bill or business case.</w:t>
      </w:r>
    </w:p>
    <w:p>
      <w:pPr>
        <w:spacing w:after="120" w:line="276"/>
      </w:pPr>
      <w:r>
        <w:rPr>
          <w:rFonts w:ascii="Arial" w:cs="Arial" w:eastAsia="Arial" w:hAnsi="Arial"/>
        </w:rPr>
        <w:t xml:space="preserve">Every episode starts with three real warm-history hours so the first scored 3 h window has authentic antecedents. Three no-arrival tail hours remain after the final active decision. Tail power, cost, ramp windows, safety, and queue state are scored. Circular wrap is forbidden, and all work must be complete at the actual terminal.</w:t>
      </w:r>
    </w:p>
    <w:p>
      <w:pPr>
        <w:pStyle w:val="Heading1"/>
        <w:keepNext/>
        <w:pageBreakBefore/>
      </w:pPr>
      <w:r>
        <w:rPr>
          <w:rFonts w:ascii="Arial" w:cs="Arial" w:eastAsia="Arial" w:hAnsi="Arial"/>
        </w:rPr>
        <w:t xml:space="preserve">5. Pure-RL and Recovery Attribution</w:t>
      </w:r>
    </w:p>
    <w:p>
      <w:pPr>
        <w:pStyle w:val="Heading2"/>
        <w:keepNext/>
      </w:pPr>
      <w:r>
        <w:rPr>
          <w:rFonts w:ascii="Arial" w:cs="Arial" w:eastAsia="Arial" w:hAnsi="Arial"/>
        </w:rPr>
        <w:t xml:space="preserve">5.1 Reward-only origin</w:t>
      </w:r>
    </w:p>
    <w:p>
      <w:pPr>
        <w:spacing w:after="120" w:line="276"/>
      </w:pPr>
      <w:r>
        <w:rPr>
          <w:rFonts w:ascii="Arial" w:cs="Arial" w:eastAsia="Arial" w:hAnsi="Arial"/>
        </w:rPr>
        <w:t xml:space="preserve">The five V3 members used distinct seeds 2801-2805, independent random actor and critic initialization, 110,592 training interactions, and 540 PPO updates. Their training used environment reward only. Manifests prohibit and audit:</w:t>
      </w:r>
    </w:p>
    <w:p>
      <w:pPr>
        <w:pStyle w:val="ListParagraph"/>
        <w:numPr>
          <w:ilvl w:val="0"/>
          <w:numId w:val="3"/>
        </w:numPr>
        <w:spacing w:after="60"/>
      </w:pPr>
      <w:r>
        <w:rPr>
          <w:rFonts w:ascii="Arial" w:cs="Arial" w:eastAsia="Arial" w:hAnsi="Arial"/>
        </w:rPr>
        <w:t xml:space="preserve">demonstrations and behavior cloning;</w:t>
      </w:r>
    </w:p>
    <w:p>
      <w:pPr>
        <w:pStyle w:val="ListParagraph"/>
        <w:numPr>
          <w:ilvl w:val="0"/>
          <w:numId w:val="3"/>
        </w:numPr>
        <w:spacing w:after="60"/>
      </w:pPr>
      <w:r>
        <w:rPr>
          <w:rFonts w:ascii="Arial" w:cs="Arial" w:eastAsia="Arial" w:hAnsi="Arial"/>
        </w:rPr>
        <w:t xml:space="preserve">expert replay or warm-start checkpoints;</w:t>
      </w:r>
    </w:p>
    <w:p>
      <w:pPr>
        <w:pStyle w:val="ListParagraph"/>
        <w:numPr>
          <w:ilvl w:val="0"/>
          <w:numId w:val="3"/>
        </w:numPr>
        <w:spacing w:after="60"/>
      </w:pPr>
      <w:r>
        <w:rPr>
          <w:rFonts w:ascii="Arial" w:cs="Arial" w:eastAsia="Arial" w:hAnsi="Arial"/>
        </w:rPr>
        <w:t xml:space="preserve">analytic economic base actions;</w:t>
      </w:r>
    </w:p>
    <w:p>
      <w:pPr>
        <w:pStyle w:val="ListParagraph"/>
        <w:numPr>
          <w:ilvl w:val="0"/>
          <w:numId w:val="3"/>
        </w:numPr>
        <w:spacing w:after="60"/>
      </w:pPr>
      <w:r>
        <w:rPr>
          <w:rFonts w:ascii="Arial" w:cs="Arial" w:eastAsia="Arial" w:hAnsi="Arial"/>
        </w:rPr>
        <w:t xml:space="preserve">MPC or optimizer actions;</w:t>
      </w:r>
    </w:p>
    <w:p>
      <w:pPr>
        <w:pStyle w:val="ListParagraph"/>
        <w:numPr>
          <w:ilvl w:val="0"/>
          <w:numId w:val="3"/>
        </w:numPr>
        <w:spacing w:after="60"/>
      </w:pPr>
      <w:r>
        <w:rPr>
          <w:rFonts w:ascii="Arial" w:cs="Arial" w:eastAsia="Arial" w:hAnsi="Arial"/>
        </w:rPr>
        <w:t xml:space="preserve">oracle reward shaping and future-realized features; and</w:t>
      </w:r>
    </w:p>
    <w:p>
      <w:pPr>
        <w:pStyle w:val="ListParagraph"/>
        <w:numPr>
          <w:ilvl w:val="0"/>
          <w:numId w:val="3"/>
        </w:numPr>
        <w:spacing w:after="60"/>
      </w:pPr>
      <w:r>
        <w:rPr>
          <w:rFonts w:ascii="Arial" w:cs="Arial" w:eastAsia="Arial" w:hAnsi="Arial"/>
        </w:rPr>
        <w:t xml:space="preserve">learned or evaluation-tuned feasibility logic.</w:t>
      </w:r>
    </w:p>
    <w:p>
      <w:pPr>
        <w:pStyle w:val="Heading2"/>
        <w:keepNext/>
      </w:pPr>
      <w:r>
        <w:rPr>
          <w:rFonts w:ascii="Arial" w:cs="Arial" w:eastAsia="Arial" w:hAnsi="Arial"/>
        </w:rPr>
        <w:t xml:space="preserve">5.2 Original V4 block and V4R recovery</w:t>
      </w:r>
    </w:p>
    <w:p>
      <w:pPr>
        <w:spacing w:after="120" w:line="276"/>
      </w:pPr>
      <w:r>
        <w:rPr>
          <w:rFonts w:ascii="Arial" w:cs="Arial" w:eastAsia="Arial" w:hAnsi="Arial"/>
        </w:rPr>
        <w:t xml:space="preserve">Original V4 proposed a deterministic equal-action ensemble of the V3 members, but its required model binaries were lost before a trustworthy evaluation. That protocol stayed blocked and unevaluated. The error is an operational recovery failure, not a negative performance result, and it is not hidden.</w:t>
      </w:r>
    </w:p>
    <w:p>
      <w:pPr>
        <w:spacing w:after="120" w:line="276"/>
      </w:pPr>
      <w:r>
        <w:rPr>
          <w:rFonts w:ascii="Arial" w:cs="Arial" w:eastAsia="Arial" w:hAnsi="Arial"/>
        </w:rPr>
        <w:t xml:space="preserve">V4R was frozen as a new binary identity. Each recovered container has a new container hash while reproducing the exact internal policy and critic tensors, byte-equivalent normalization state, training-manifest provenance, and deterministic action behavior of its V3 source member. The recovery binding permits only the enumerated outer-container divergences. It asserts no performance claim and records that original V3 artifacts were not reused.</w:t>
      </w:r>
    </w:p>
    <w:p>
      <w:pPr>
        <w:spacing w:after="120" w:line="276"/>
      </w:pPr>
      <w:r>
        <w:rPr>
          <w:rFonts w:ascii="Arial" w:cs="Arial" w:eastAsia="Arial" w:hAnsi="Arial"/>
        </w:rPr>
        <w:t xml:space="preserve">At inference, all five deterministic environment-space actions are averaged with weights \([0.2,0.2,0.2,0.2,0.2]\). There is no member exclusion, selection, performance weighting, trainable combiner, teacher, BC, MPC, or optimizer. This distinction is essential: the policies have pure-RL origin, while there was no new V4R training.</w:t>
      </w:r>
    </w:p>
    <w:p>
      <w:pPr>
        <w:pStyle w:val="Heading1"/>
        <w:keepNext/>
        <w:pageBreakBefore/>
      </w:pPr>
      <w:r>
        <w:rPr>
          <w:rFonts w:ascii="Arial" w:cs="Arial" w:eastAsia="Arial" w:hAnsi="Arial"/>
        </w:rPr>
        <w:t xml:space="preserve">6. Frozen Protocol and Results</w:t>
      </w:r>
    </w:p>
    <w:p>
      <w:pPr>
        <w:pStyle w:val="Heading2"/>
        <w:keepNext/>
      </w:pPr>
      <w:r>
        <w:rPr>
          <w:rFonts w:ascii="Arial" w:cs="Arial" w:eastAsia="Arial" w:hAnsi="Arial"/>
        </w:rPr>
        <w:t xml:space="preserve">6.1 Evidence identities</w:t>
      </w:r>
    </w:p>
    <w:p>
      <w:pPr>
        <w:spacing w:after="120" w:line="276"/>
      </w:pPr>
      <w:r>
        <w:rPr>
          <w:rFonts w:ascii="Arial" w:cs="Arial" w:eastAsia="Arial" w:hAnsi="Arial"/>
        </w:rPr>
        <w:t xml:space="preserve">&lt;!-- data-result-contract-begin --&gt;</w:t>
      </w:r>
    </w:p>
    <w:p>
      <w:pPr>
        <w:spacing w:after="120" w:line="276"/>
      </w:pPr>
      <w:r>
        <w:rPr>
          <w:rFonts w:ascii="Arial" w:cs="Arial" w:eastAsia="Arial" w:hAnsi="Arial"/>
          <w:b/>
          <w:bCs/>
        </w:rPr>
        <w:t xml:space="preserve">Protocol:</w:t>
      </w:r>
      <w:r>
        <w:rPr>
          <w:rFonts w:ascii="Arial" w:cs="Arial" w:eastAsia="Arial" w:hAnsi="Arial"/>
        </w:rPr>
        <w:t xml:space="preserve"> </w:t>
      </w:r>
      <w:r>
        <w:rPr>
          <w:rFonts w:ascii="Courier New" w:cs="Courier New" w:eastAsia="Courier New" w:hAnsi="Courier New"/>
          <w:sz w:val="20"/>
          <w:szCs w:val="20"/>
          <w:shd w:fill="EEF1F4" w:val="clear"/>
        </w:rPr>
        <w:t xml:space="preserve">v6-ramp-pure-rl-recovered-equal-action-ensemble-v4r</w:t>
      </w:r>
    </w:p>
    <w:p>
      <w:pPr>
        <w:spacing w:after="120" w:line="276"/>
      </w:pPr>
      <w:r>
        <w:rPr>
          <w:rFonts w:ascii="Arial" w:cs="Arial" w:eastAsia="Arial" w:hAnsi="Arial"/>
          <w:b/>
          <w:bCs/>
        </w:rPr>
        <w:t xml:space="preserve">Protocol SHA-256:</w:t>
      </w:r>
      <w:r>
        <w:rPr>
          <w:rFonts w:ascii="Arial" w:cs="Arial" w:eastAsia="Arial" w:hAnsi="Arial"/>
        </w:rPr>
        <w:t xml:space="preserve"> </w:t>
      </w:r>
      <w:r>
        <w:rPr>
          <w:rFonts w:ascii="Courier New" w:cs="Courier New" w:eastAsia="Courier New" w:hAnsi="Courier New"/>
          <w:sz w:val="20"/>
          <w:szCs w:val="20"/>
          <w:shd w:fill="EEF1F4" w:val="clear"/>
        </w:rPr>
        <w:t xml:space="preserve">57310edca9e7b1e917be2901010352ad928d124beeaa5a10d21ae5fddd4f78dd</w:t>
      </w:r>
    </w:p>
    <w:p>
      <w:pPr>
        <w:spacing w:after="120" w:line="276"/>
      </w:pPr>
      <w:r>
        <w:rPr>
          <w:rFonts w:ascii="Arial" w:cs="Arial" w:eastAsia="Arial" w:hAnsi="Arial"/>
          <w:b/>
          <w:bCs/>
        </w:rPr>
        <w:t xml:space="preserve">Frozen V4R source commit:</w:t>
      </w:r>
      <w:r>
        <w:rPr>
          <w:rFonts w:ascii="Arial" w:cs="Arial" w:eastAsia="Arial" w:hAnsi="Arial"/>
        </w:rPr>
        <w:t xml:space="preserve"> </w:t>
      </w:r>
      <w:r>
        <w:rPr>
          <w:rFonts w:ascii="Courier New" w:cs="Courier New" w:eastAsia="Courier New" w:hAnsi="Courier New"/>
          <w:sz w:val="20"/>
          <w:szCs w:val="20"/>
          <w:shd w:fill="EEF1F4" w:val="clear"/>
        </w:rPr>
        <w:t xml:space="preserve">46329fe765f596f84eeac71f061dcbd191a90583</w:t>
      </w:r>
    </w:p>
    <w:p>
      <w:pPr>
        <w:spacing w:after="120" w:line="276"/>
      </w:pPr>
      <w:r>
        <w:rPr>
          <w:rFonts w:ascii="Arial" w:cs="Arial" w:eastAsia="Arial" w:hAnsi="Arial"/>
          <w:b/>
          <w:bCs/>
        </w:rPr>
        <w:t xml:space="preserve">Canonical evidence SHA-256:</w:t>
      </w:r>
      <w:r>
        <w:rPr>
          <w:rFonts w:ascii="Arial" w:cs="Arial" w:eastAsia="Arial" w:hAnsi="Arial"/>
        </w:rPr>
        <w:t xml:space="preserve"> </w:t>
      </w:r>
      <w:r>
        <w:rPr>
          <w:rFonts w:ascii="Courier New" w:cs="Courier New" w:eastAsia="Courier New" w:hAnsi="Courier New"/>
          <w:sz w:val="20"/>
          <w:szCs w:val="20"/>
          <w:shd w:fill="EEF1F4" w:val="clear"/>
        </w:rPr>
        <w:t xml:space="preserve">b1742a2e753d9a899be256667c80679cbfcf2da4cf6056a6b471d42e66ee7b30</w:t>
      </w:r>
    </w:p>
    <w:p>
      <w:pPr>
        <w:spacing w:after="120" w:line="276"/>
      </w:pPr>
      <w:r>
        <w:rPr>
          <w:rFonts w:ascii="Arial" w:cs="Arial" w:eastAsia="Arial" w:hAnsi="Arial"/>
          <w:b/>
          <w:bCs/>
        </w:rPr>
        <w:t xml:space="preserve">Generated claim-ledger SHA-256:</w:t>
      </w:r>
      <w:r>
        <w:rPr>
          <w:rFonts w:ascii="Arial" w:cs="Arial" w:eastAsia="Arial" w:hAnsi="Arial"/>
        </w:rPr>
        <w:t xml:space="preserve"> </w:t>
      </w:r>
      <w:r>
        <w:rPr>
          <w:rFonts w:ascii="Courier New" w:cs="Courier New" w:eastAsia="Courier New" w:hAnsi="Courier New"/>
          <w:sz w:val="20"/>
          <w:szCs w:val="20"/>
          <w:shd w:fill="EEF1F4" w:val="clear"/>
        </w:rPr>
        <w:t xml:space="preserve">a69ccfb212fbb1fccf5a8979b15f7b6d29b01054b6263a23549da7bd11ade75c</w:t>
      </w:r>
    </w:p>
    <w:p>
      <w:pPr>
        <w:pStyle w:val="Heading2"/>
        <w:keepNext/>
      </w:pPr>
      <w:r>
        <w:rPr>
          <w:rFonts w:ascii="Arial" w:cs="Arial" w:eastAsia="Arial" w:hAnsi="Arial"/>
        </w:rPr>
        <w:t xml:space="preserve">6.2 Validation and sealed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Split</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Episodes</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Mean incremental ramp impact</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DA cost ratio</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Cost change</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Every market negative</w:t>
            </w:r>
          </w:p>
        </w:tc>
        <w:tc>
          <w:tcPr>
            <w:tcW w:type="dxa" w:w="1338"/>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Strict gates</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February validation</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28</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-1.40869071979e-05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0.985828067278</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-1.417%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March-April sealed test</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60</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-1.42587105143e-05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0.977558440249</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-2.244%</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r>
    </w:tbl>
    <w:p>
      <w:pPr>
        <w:spacing w:after="120"/>
      </w:pPr>
    </w:p>
    <w:p>
      <w:pPr>
        <w:spacing w:after="120" w:line="276"/>
      </w:pPr>
      <w:r>
        <w:rPr>
          <w:rFonts w:ascii="Arial" w:cs="Arial" w:eastAsia="Arial" w:hAnsi="Arial"/>
        </w:rPr>
        <w:t xml:space="preserve">Validation uncertainty: 95% day-block interval [-1.4993411575e-05, -1.3151365992e-05] from 500 draws.</w:t>
      </w:r>
    </w:p>
    <w:p>
      <w:pPr>
        <w:spacing w:after="120" w:line="276"/>
      </w:pPr>
      <w:r>
        <w:rPr>
          <w:rFonts w:ascii="Arial" w:cs="Arial" w:eastAsia="Arial" w:hAnsi="Arial"/>
        </w:rPr>
        <w:t xml:space="preserve">Test uncertainty: 95% day-block interval [-1.4922706381e-05, -1.3524515743e-05] from 500 draws and 95% month-block interval [-1.5155776266e-05, -1.3299778159e-05] from 500 draws.</w:t>
      </w:r>
    </w:p>
    <w:p>
      <w:pPr>
        <w:spacing w:after="120" w:line="276"/>
      </w:pPr>
      <w:r>
        <w:rPr>
          <w:rFonts w:ascii="Arial" w:cs="Arial" w:eastAsia="Arial" w:hAnsi="Arial"/>
          <w:b/>
          <w:bCs/>
        </w:rPr>
        <w:t xml:space="preserve">Final verdict code:</w:t>
      </w:r>
      <w:r>
        <w:rPr>
          <w:rFonts w:ascii="Arial" w:cs="Arial" w:eastAsia="Arial" w:hAnsi="Arial"/>
        </w:rPr>
        <w:t xml:space="preserve"> </w:t>
      </w:r>
      <w:r>
        <w:rPr>
          <w:rFonts w:ascii="Courier New" w:cs="Courier New" w:eastAsia="Courier New" w:hAnsi="Courier New"/>
          <w:sz w:val="20"/>
          <w:szCs w:val="20"/>
          <w:shd w:fill="EEF1F4" w:val="clear"/>
        </w:rPr>
        <w:t xml:space="preserve">sealed_test_success</w:t>
      </w:r>
    </w:p>
    <w:p>
      <w:pPr>
        <w:spacing w:after="60" w:before="120"/>
        <w:jc w:val="center"/>
      </w:pPr>
      <w:r>
        <w:drawing>
          <wp:inline distT="0" distB="0" distL="0" distR="0">
            <wp:extent cx="6191250" cy="2667000"/>
            <wp:effectExtent t="0" r="0" b="0" l="0"/>
            <wp:docPr id="3" name="Figure 3. Validation and sealed test are displayed in separate panels and are never pooled." descr="Figure 3. Validation and sealed test are displayed in separate panels and are never pooled." title="Figure 3. Validation and sealed test are displayed in separate panels and are never po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6191250" cy="2667000"/>
                    </a:xfrm>
                    <a:prstGeom prst="rect">
                      <a:avLst/>
                    </a:prstGeom>
                  </pic:spPr>
                </pic:pic>
              </a:graphicData>
            </a:graphic>
          </wp:inline>
        </w:drawing>
      </w:r>
    </w:p>
    <w:p>
      <w:pPr>
        <w:spacing w:after="180"/>
        <w:jc w:val="center"/>
      </w:pPr>
      <w:r>
        <w:rPr>
          <w:rFonts w:ascii="Arial" w:cs="Arial" w:eastAsia="Arial" w:hAnsi="Arial"/>
          <w:i/>
          <w:iCs/>
          <w:sz w:val="18"/>
          <w:szCs w:val="18"/>
        </w:rPr>
        <w:t xml:space="preserve">Figure 3. Validation and sealed test are displayed in separate panels and are never pooled.</w:t>
      </w:r>
    </w:p>
    <w:p>
      <w:pPr>
        <w:pStyle w:val="Heading2"/>
        <w:keepNext/>
      </w:pPr>
      <w:r>
        <w:rPr>
          <w:rFonts w:ascii="Arial" w:cs="Arial" w:eastAsia="Arial" w:hAnsi="Arial"/>
        </w:rPr>
        <w:t xml:space="preserve">6.3 Per-market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Evaluated market</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Validation impact</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Sealed-test impact</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Test direction</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-1.8414305411e-05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-2.1065969624e-05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counter-ramp</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-3.2585091348e-06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-2.3454355897e-06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counter-ramp</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-2.1716239336e-05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-2.7491577052e-05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counter-ramp</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-2.9472402337e-07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-5.652448501e-07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counter-ramp</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-3.7629896454e-05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-3.2978547293e-05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counter-ramp</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-3.2077688281e-06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-1.1054886764e-06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counter-ramp</w:t>
            </w:r>
          </w:p>
        </w:tc>
      </w:tr>
    </w:tbl>
    <w:p>
      <w:pPr>
        <w:spacing w:after="120"/>
      </w:pPr>
    </w:p>
    <w:p>
      <w:pPr>
        <w:spacing w:after="60" w:before="120"/>
        <w:jc w:val="center"/>
      </w:pPr>
      <w:r>
        <w:drawing>
          <wp:inline distT="0" distB="0" distL="0" distR="0">
            <wp:extent cx="6191250" cy="3381375"/>
            <wp:effectExtent t="0" r="0" b="0" l="0"/>
            <wp:docPr id="4" name="Figure 4. Sealed-test incremental ramp impact by evaluated market." descr="Figure 4. Sealed-test incremental ramp impact by evaluated market." title="Figure 4. Sealed-test incremental ramp impact by evaluated mar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4. Sealed-test incremental ramp impact by evaluated market.</w:t>
      </w:r>
    </w:p>
    <w:p>
      <w:pPr>
        <w:pStyle w:val="Heading2"/>
        <w:keepNext/>
      </w:pPr>
      <w:r>
        <w:rPr>
          <w:rFonts w:ascii="Arial" w:cs="Arial" w:eastAsia="Arial" w:hAnsi="Arial"/>
        </w:rPr>
        <w:t xml:space="preserve">6.4 Adjusted 1 h and 3 h ramp extrema</w:t>
      </w:r>
    </w:p>
    <w:p>
      <w:pPr>
        <w:spacing w:after="120" w:line="276"/>
      </w:pPr>
      <w:r>
        <w:rPr>
          <w:rFonts w:ascii="Arial" w:cs="Arial" w:eastAsia="Arial" w:hAnsi="Arial"/>
        </w:rPr>
        <w:t xml:space="preserve">Values are fractions of the corresponding market's training Q95 gross-demand scale per hour. They are physical adjusted-ramp magnitudes, not the squared incremental objective: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Split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1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1 h max</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3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3 h max</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0.047103282</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0.073581497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0.039959652</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0.060072093</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0.03768697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0.067176956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0.034203045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0.054374107</w:t>
            </w:r>
          </w:p>
        </w:tc>
      </w:tr>
    </w:tbl>
    <w:p>
      <w:pPr>
        <w:spacing w:after="120"/>
      </w:pPr>
    </w:p>
    <w:p>
      <w:pPr>
        <w:spacing w:after="60" w:before="120"/>
        <w:jc w:val="center"/>
      </w:pPr>
      <w:r>
        <w:drawing>
          <wp:inline distT="0" distB="0" distL="0" distR="0">
            <wp:extent cx="6191250" cy="3228975"/>
            <wp:effectExtent t="0" r="0" b="0" l="0"/>
            <wp:docPr id="5" name="Figure 5. Adjusted 1 h/3 h p95 and maximum ramp magnitudes." descr="Figure 5. Adjusted 1 h/3 h p95 and maximum ramp magnitudes." title="Figure 5. Adjusted 1 h/3 h p95 and maximum ramp magnitu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6191250" cy="32289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5. Adjusted 1 h/3 h p95 and maximum ramp magnitudes.</w:t>
      </w:r>
    </w:p>
    <w:p>
      <w:pPr>
        <w:pStyle w:val="Heading2"/>
        <w:keepNext/>
      </w:pPr>
      <w:r>
        <w:rPr>
          <w:rFonts w:ascii="Arial" w:cs="Arial" w:eastAsia="Arial" w:hAnsi="Arial"/>
        </w:rPr>
        <w:t xml:space="preserve">6.5 Behavior and safety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Split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Deferrable pre-service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Status-quo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Policy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Reduction</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322.27994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135587.9364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132335.4306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2.399%</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692.585819</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313167.2267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303077.9036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3.222%</w:t>
            </w:r>
          </w:p>
        </w:tc>
      </w:tr>
    </w:tbl>
    <w:p>
      <w:pPr>
        <w:spacing w:after="120"/>
      </w:pPr>
    </w:p>
    <w:p>
      <w:pPr>
        <w:spacing w:after="60" w:before="120"/>
        <w:jc w:val="center"/>
      </w:pPr>
      <w:r>
        <w:drawing>
          <wp:inline distT="0" distB="0" distL="0" distR="0">
            <wp:extent cx="6191250" cy="3714750"/>
            <wp:effectExtent t="0" r="0" b="0" l="0"/>
            <wp:docPr id="6" name="Figure 6. Persisted ramp-period power audit for status quo and V4R." descr="Figure 6. Persisted ramp-period power audit for status quo and V4R." title="Figure 6. Persisted ramp-period power audit for status quo and V4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6. Persisted ramp-period power audit for status quo and V4R.</w:t>
      </w:r>
    </w:p>
    <w:p>
      <w:pPr>
        <w:spacing w:after="120" w:line="276"/>
      </w:pPr>
      <w:r>
        <w:rPr>
          <w:rFonts w:ascii="Arial" w:cs="Arial" w:eastAsia="Arial" w:hAnsi="Arial"/>
        </w:rPr>
        <w:t xml:space="preserve">Both splits had exact service and batch completion, zero expiry, zero terminal work, zero infeasibility certificates, zero emergency feasibility use, zero future-feature leakage, and deterministic repeated-action equality. All five members were invoked once per decision.</w:t>
      </w:r>
    </w:p>
    <w:p>
      <w:pPr>
        <w:pStyle w:val="Heading2"/>
        <w:keepNext/>
      </w:pPr>
      <w:r>
        <w:rPr>
          <w:rFonts w:ascii="Arial" w:cs="Arial" w:eastAsia="Arial" w:hAnsi="Arial"/>
        </w:rPr>
        <w:t xml:space="preserve">6.6 Post-selection robustness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Post-selection analysis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Scope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Every market negative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one_gw_total</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 GW fleet-total scale sensitivity</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-1.70752652166e-05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0.96812698489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c_h_overlapping</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c-h overlapping/non-independent robustness</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-1.71355782433e-05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0.972019808923</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r>
    </w:tbl>
    <w:p>
      <w:pPr>
        <w:spacing w:after="120"/>
      </w:pPr>
    </w:p>
    <w:p>
      <w:pPr>
        <w:spacing w:after="60" w:before="120"/>
        <w:jc w:val="center"/>
      </w:pPr>
      <w:r>
        <w:drawing>
          <wp:inline distT="0" distB="0" distL="0" distR="0">
            <wp:extent cx="6191250" cy="4029075"/>
            <wp:effectExtent t="0" r="0" b="0" l="0"/>
            <wp:docPr id="7" name="Figure 7. Ramp-cost relationship across validation, sealed test, and post-selection analyses." descr="Figure 7. Ramp-cost relationship across validation, sealed test, and post-selection analyses." title="Figure 7. Ramp-cost relationship across validation, sealed test, and post-selection analy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191250" cy="40290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7. Ramp-cost relationship across validation, sealed test, and post-selection analyses.</w:t>
      </w:r>
    </w:p>
    <w:p>
      <w:pPr>
        <w:spacing w:after="60" w:before="120"/>
        <w:jc w:val="center"/>
      </w:pPr>
      <w:r>
        <w:drawing>
          <wp:inline distT="0" distB="0" distL="0" distR="0">
            <wp:extent cx="6191250" cy="3352800"/>
            <wp:effectExtent t="0" r="0" b="0" l="0"/>
            <wp:docPr id="8" name="Figure 8. Post-selection robustness; c-h remains explicitly overlapping." descr="Figure 8. Post-selection robustness; c-h remains explicitly overlapping." title="Figure 8. Post-selection robustness; c-h remains explicitly overl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6191250" cy="3352800"/>
                    </a:xfrm>
                    <a:prstGeom prst="rect">
                      <a:avLst/>
                    </a:prstGeom>
                  </pic:spPr>
                </pic:pic>
              </a:graphicData>
            </a:graphic>
          </wp:inline>
        </w:drawing>
      </w:r>
    </w:p>
    <w:p>
      <w:pPr>
        <w:spacing w:after="180"/>
        <w:jc w:val="center"/>
      </w:pPr>
      <w:r>
        <w:rPr>
          <w:rFonts w:ascii="Arial" w:cs="Arial" w:eastAsia="Arial" w:hAnsi="Arial"/>
          <w:i/>
          <w:iCs/>
          <w:sz w:val="18"/>
          <w:szCs w:val="18"/>
        </w:rPr>
        <w:t xml:space="preserve">Figure 8. Post-selection robustness; c-h remains explicitly overlapping.</w:t>
      </w:r>
    </w:p>
    <w:p>
      <w:pPr>
        <w:spacing w:after="120" w:line="276"/>
      </w:pPr>
      <w:r>
        <w:rPr>
          <w:rFonts w:ascii="Arial" w:cs="Arial" w:eastAsia="Arial" w:hAnsi="Arial"/>
        </w:rPr>
        <w:t xml:space="preserve">&lt;!-- data-result-contract-end --&gt;</w:t>
      </w:r>
    </w:p>
    <w:p>
      <w:pPr>
        <w:pStyle w:val="Heading1"/>
        <w:keepNext/>
        <w:pageBreakBefore/>
      </w:pPr>
      <w:r>
        <w:rPr>
          <w:rFonts w:ascii="Arial" w:cs="Arial" w:eastAsia="Arial" w:hAnsi="Arial"/>
        </w:rPr>
        <w:t xml:space="preserve">7. Statistical Interpretation</w:t>
      </w:r>
    </w:p>
    <w:p>
      <w:pPr>
        <w:spacing w:after="120" w:line="276"/>
      </w:pPr>
      <w:r>
        <w:rPr>
          <w:rFonts w:ascii="Arial" w:cs="Arial" w:eastAsia="Arial" w:hAnsi="Arial"/>
        </w:rPr>
        <w:t xml:space="preserve">The 28 validation episodes are February daily windows. The 60 test episodes are March-April daily windows. Day-block bootstrap intervals use 500 draws. A validation month interval cannot identify multi-month generalization because February supplies one month. The two-month test month-block interval describes variation within those two fixed months, not future-year uncertainty.</w:t>
      </w:r>
    </w:p>
    <w:p>
      <w:pPr>
        <w:spacing w:after="120" w:line="276"/>
      </w:pPr>
      <w:r>
        <w:rPr>
          <w:rFonts w:ascii="Arial" w:cs="Arial" w:eastAsia="Arial" w:hAnsi="Arial"/>
        </w:rPr>
        <w:t xml:space="preserve">The six markets are reported individually and as a macro mean. They are not treated as iid samples from a superpopulation of US markets. Market-specific success is a conjunctive gate. The ensemble result also does not estimate training variability of a newly trained ensemble: V4R has one frozen recovered ensemble composed from the five already trained V3 origins.</w:t>
      </w:r>
    </w:p>
    <w:p>
      <w:pPr>
        <w:spacing w:after="120" w:line="276"/>
      </w:pPr>
      <w:r>
        <w:rPr>
          <w:rFonts w:ascii="Arial" w:cs="Arial" w:eastAsia="Arial" w:hAnsi="Arial"/>
        </w:rPr>
        <w:t xml:space="preserve">Validation selected the frozen identity and authorized one sealed opening. Test results were not used to alter policy membership, member weights, source code, forecasts, thresholds, normalization, decoder, cost limit, or success criteria. The 1 GW-total and c-h analyses occurred post-selection and cannot strengthen the primary test's nominal independence.</w:t>
      </w:r>
    </w:p>
    <w:p>
      <w:pPr>
        <w:pStyle w:val="Heading1"/>
        <w:keepNext/>
        <w:pageBreakBefore/>
      </w:pPr>
      <w:r>
        <w:rPr>
          <w:rFonts w:ascii="Arial" w:cs="Arial" w:eastAsia="Arial" w:hAnsi="Arial"/>
        </w:rPr>
        <w:t xml:space="preserve">8. Limitations and Threats to Validity</w:t>
      </w:r>
    </w:p>
    <w:p>
      <w:pPr>
        <w:pStyle w:val="Heading2"/>
        <w:keepNext/>
      </w:pPr>
      <w:r>
        <w:rPr>
          <w:rFonts w:ascii="Arial" w:cs="Arial" w:eastAsia="Arial" w:hAnsi="Arial"/>
        </w:rPr>
        <w:t xml:space="preserve">8.1 Geography and market structure</w:t>
      </w:r>
    </w:p>
    <w:p>
      <w:pPr>
        <w:spacing w:after="120" w:line="276"/>
      </w:pPr>
      <w:r>
        <w:rPr>
          <w:rFonts w:ascii="Arial" w:cs="Arial" w:eastAsia="Arial" w:hAnsi="Arial"/>
        </w:rPr>
        <w:t xml:space="preserve">Hub and zonal prices may differ from a facility settlement node. Balancing-area load and renewable context differ from utility, feeder, and transmission constraints. The result is market-level ramp accounting, not a local reliability claim. PJM and Northern Virginia remain absent.</w:t>
      </w:r>
    </w:p>
    <w:p>
      <w:pPr>
        <w:spacing w:after="120" w:line="276"/>
      </w:pPr>
      <w:r>
        <w:rPr>
          <w:rFonts w:ascii="Arial" w:cs="Arial" w:eastAsia="Arial" w:hAnsi="Arial"/>
        </w:rPr>
        <w:t xml:space="preserve">The controller is price-taking: data-center action does not change LMP, unit commitment, reserves, or network constraints. This is most plausible for the 600 MW primary case. The 1 GW-total case is a bounded sensitivity, while larger penetration overrides are stress tests.</w:t>
      </w:r>
    </w:p>
    <w:p>
      <w:pPr>
        <w:pStyle w:val="Heading2"/>
        <w:keepNext/>
      </w:pPr>
      <w:r>
        <w:rPr>
          <w:rFonts w:ascii="Arial" w:cs="Arial" w:eastAsia="Arial" w:hAnsi="Arial"/>
        </w:rPr>
        <w:t xml:space="preserve">8.2 Data and forecast horizon</w:t>
      </w:r>
    </w:p>
    <w:p>
      <w:pPr>
        <w:spacing w:after="120" w:line="276"/>
      </w:pPr>
      <w:r>
        <w:rPr>
          <w:rFonts w:ascii="Arial" w:cs="Arial" w:eastAsia="Arial" w:hAnsi="Arial"/>
        </w:rPr>
        <w:t xml:space="preserve">The panel covers eight months, not prior years. It does not establish robustness to future weather, fuel, transmission, policy, generation buildout, or data-center growth. Operator and EIA products differ in revision status, cadence, location, and licensing. Reconstructed forecasts omit many variables available to production grid and workload forecasters.</w:t>
      </w:r>
    </w:p>
    <w:p>
      <w:pPr>
        <w:spacing w:after="120" w:line="276"/>
      </w:pPr>
      <w:r>
        <w:rPr>
          <w:rFonts w:ascii="Arial" w:cs="Arial" w:eastAsia="Arial" w:hAnsi="Arial"/>
        </w:rPr>
        <w:t xml:space="preserve">The requested prior-year and future-year extension cannot be claimed from the present evidence. It would require complete all-six licensed source coverage, new train/validation/test boundaries, newly frozen forecast vintages, and a fresh protocol. Reusing the present sealed months for development would violate the study.</w:t>
      </w:r>
    </w:p>
    <w:p>
      <w:pPr>
        <w:pStyle w:val="Heading2"/>
        <w:keepNext/>
      </w:pPr>
      <w:r>
        <w:rPr>
          <w:rFonts w:ascii="Arial" w:cs="Arial" w:eastAsia="Arial" w:hAnsi="Arial"/>
        </w:rPr>
        <w:t xml:space="preserve">8.3 Workload and infrastructure</w:t>
      </w:r>
    </w:p>
    <w:p>
      <w:pPr>
        <w:spacing w:after="120" w:line="276"/>
      </w:pPr>
      <w:r>
        <w:rPr>
          <w:rFonts w:ascii="Arial" w:cs="Arial" w:eastAsia="Arial" w:hAnsi="Arial"/>
        </w:rPr>
        <w:t xml:space="preserve">Google 2019 workload is tiled over a later energy calendar. Proxy sites omit latency, data residency, bandwidth, migration energy, cooling, PUE variation, batteries, generators, reliability domains, and application affinity. Unrestricted routing is optimistic. Exact safety is exact within the simulator, not a deployment certificate.</w:t>
      </w:r>
    </w:p>
    <w:p>
      <w:pPr>
        <w:pStyle w:val="Heading2"/>
        <w:keepNext/>
      </w:pPr>
      <w:r>
        <w:rPr>
          <w:rFonts w:ascii="Arial" w:cs="Arial" w:eastAsia="Arial" w:hAnsi="Arial"/>
        </w:rPr>
        <w:t xml:space="preserve">8.4 Attribution and optimality</w:t>
      </w:r>
    </w:p>
    <w:p>
      <w:pPr>
        <w:spacing w:after="120" w:line="276"/>
      </w:pPr>
      <w:r>
        <w:rPr>
          <w:rFonts w:ascii="Arial" w:cs="Arial" w:eastAsia="Arial" w:hAnsi="Arial"/>
        </w:rPr>
        <w:t xml:space="preserve">The deterministic decoder, not PPO, guarantees feasibility. The correct attribution is reward-only PPO preferences plus constraint-only execution and fixed equal-action aggregation. Recovery equivalence establishes internal identity and provenance; it does not establish that the recovered ensemble is globally optimal. A different valid formulation or seed population may produce different results.</w:t>
      </w:r>
    </w:p>
    <w:p>
      <w:pPr>
        <w:pStyle w:val="Heading1"/>
        <w:keepNext/>
        <w:pageBreakBefore/>
      </w:pPr>
      <w:r>
        <w:rPr>
          <w:rFonts w:ascii="Arial" w:cs="Arial" w:eastAsia="Arial" w:hAnsi="Arial"/>
        </w:rPr>
        <w:t xml:space="preserve">9. Reproduction and Audit</w:t>
      </w:r>
    </w:p>
    <w:p>
      <w:pPr>
        <w:pStyle w:val="Heading2"/>
        <w:keepNext/>
      </w:pPr>
      <w:r>
        <w:rPr>
          <w:rFonts w:ascii="Arial" w:cs="Arial" w:eastAsia="Arial" w:hAnsi="Arial"/>
        </w:rPr>
        <w:t xml:space="preserve">9.1 Committed and local evidence</w:t>
      </w:r>
    </w:p>
    <w:p>
      <w:pPr>
        <w:spacing w:after="120" w:line="276"/>
      </w:pPr>
      <w:r>
        <w:rPr>
          <w:rFonts w:ascii="Arial" w:cs="Arial" w:eastAsia="Arial" w:hAnsi="Arial"/>
        </w:rPr>
        <w:t xml:space="preserve">The final publication path is </w:t>
      </w:r>
      <w:r>
        <w:rPr>
          <w:rFonts w:ascii="Courier New" w:cs="Courier New" w:eastAsia="Courier New" w:hAnsi="Courier New"/>
          <w:sz w:val="20"/>
          <w:szCs w:val="20"/>
          <w:shd w:fill="EEF1F4" w:val="clear"/>
        </w:rPr>
        <w:t xml:space="preserve">output/ramp_rl_v6/recovered_v4r/canonical_evidence.json</w:t>
      </w:r>
      <w:r>
        <w:rPr>
          <w:rFonts w:ascii="Arial" w:cs="Arial" w:eastAsia="Arial" w:hAnsi="Arial"/>
        </w:rPr>
        <w:t xml:space="preserve">. Recovery binding, source freeze, validation/test decisions, single-open records, embedded raw results, and post-selection robustness records reside beside it. The generated claim ledger and CSV tables are under </w:t>
      </w:r>
      <w:r>
        <w:rPr>
          <w:rFonts w:ascii="Courier New" w:cs="Courier New" w:eastAsia="Courier New" w:hAnsi="Courier New"/>
          <w:sz w:val="20"/>
          <w:szCs w:val="20"/>
          <w:shd w:fill="EEF1F4" w:val="clear"/>
        </w:rPr>
        <w:t xml:space="preserve">output/ramp_rl_v6/recovered_v4r/thesis/</w:t>
      </w:r>
      <w:r>
        <w:rPr>
          <w:rFonts w:ascii="Arial" w:cs="Arial" w:eastAsia="Arial" w:hAnsi="Arial"/>
        </w:rPr>
        <w:t xml:space="preserve">.</w:t>
      </w:r>
    </w:p>
    <w:p>
      <w:pPr>
        <w:spacing w:after="120" w:line="276"/>
      </w:pPr>
      <w:r>
        <w:rPr>
          <w:rFonts w:ascii="Arial" w:cs="Arial" w:eastAsia="Arial" w:hAnsi="Arial"/>
        </w:rPr>
        <w:t xml:space="preserve">Recovered model binaries may be intentionally local or unavailable in a fresh clone because of size or licensing constraints. Their required SHA-256 values, V3 training-manifest hashes, policy/critic tensor hashes, normalizer hashes, and recovery equivalence are committed in the binding and canonical evidence. The publication build validates those recorded identities; it does not retrain, retune, substitute, or download models.</w:t>
      </w:r>
    </w:p>
    <w:p>
      <w:pPr>
        <w:pStyle w:val="Heading2"/>
        <w:keepNext/>
      </w:pPr>
      <w:r>
        <w:rPr>
          <w:rFonts w:ascii="Arial" w:cs="Arial" w:eastAsia="Arial" w:hAnsi="Arial"/>
        </w:rPr>
        <w:t xml:space="preserve">9.2 Exact build commands</w:t>
      </w:r>
    </w:p>
    <w:p>
      <w:pPr>
        <w:spacing w:after="120" w:line="276"/>
      </w:pPr>
      <w:r>
        <w:rPr>
          <w:rFonts w:ascii="Arial" w:cs="Arial" w:eastAsia="Arial" w:hAnsi="Arial"/>
        </w:rPr>
        <w:t xml:space="preserve">Run from the repository root in this worktree:</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--v4r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output\ramp_rl_v6\recovered_v4r\canonical_evidence.json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output\ramp_rl_v6\recovered_v4r\thesis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scripts\build_ramp_thesis_figures.py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scripts\materialize_ramp_thesis.py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--results output\ramp_rl_v6\recovered_v4r\canonical_evidence.json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scripts\validate_ramp_thesis.py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--source thesis_paper.md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--results output\ramp_rl_v6\recovered_v4r\canonical_evidence.json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scripts\build_final_thesis.py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--source thesis_paper.md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thesis_paper.docx</w:t>
      </w:r>
    </w:p>
    <w:p>
      <w:pPr>
        <w:spacing w:after="120"/>
      </w:pPr>
    </w:p>
    <w:p>
      <w:pPr>
        <w:spacing w:after="120" w:line="276"/>
      </w:pPr>
      <w:r>
        <w:rPr>
          <w:rFonts w:ascii="Arial" w:cs="Arial" w:eastAsia="Arial" w:hAnsi="Arial"/>
        </w:rPr>
        <w:t xml:space="preserve">The builder rejects wrong canonical, protocol, source, recovery, model, and sidecar hashes; a missing market or member seed; unresolved placeholders; more than one test opening; test-driven selection/tuning; missing recovery equivalence; failed strict gates; and unsupported scope claims. The DOCX build normalizes package IDs, core timestamps, relationship IDs, and ZIP timestamps before schema/package validation and SHA-256 reporting.</w:t>
      </w:r>
    </w:p>
    <w:p>
      <w:pPr>
        <w:pStyle w:val="Heading2"/>
        <w:keepNext/>
      </w:pPr>
      <w:r>
        <w:rPr>
          <w:rFonts w:ascii="Arial" w:cs="Arial" w:eastAsia="Arial" w:hAnsi="Arial"/>
        </w:rPr>
        <w:t xml:space="preserve">9.3 Preserved earlier reproduction</w:t>
      </w:r>
    </w:p>
    <w:p>
      <w:pPr>
        <w:spacing w:after="120" w:line="276"/>
      </w:pPr>
      <w:r>
        <w:rPr>
          <w:rFonts w:ascii="Arial" w:cs="Arial" w:eastAsia="Arial" w:hAnsi="Arial"/>
        </w:rPr>
        <w:t xml:space="preserve">Legacy V2-V5 commands, data, models, and evidence remain in their original paths. The V4R publication tooling is additive. It does not rewrite frozen energy-model V2 artifacts, V5 canonical evidence, V6 V1-V3 decisions, or the blocked original V4 record.</w:t>
      </w:r>
    </w:p>
    <w:p>
      <w:pPr>
        <w:pStyle w:val="Heading1"/>
        <w:keepNext/>
        <w:pageBreakBefore/>
      </w:pPr>
      <w:r>
        <w:rPr>
          <w:rFonts w:ascii="Arial" w:cs="Arial" w:eastAsia="Arial" w:hAnsi="Arial"/>
        </w:rPr>
        <w:t xml:space="preserve">10. Conclusion</w:t>
      </w:r>
    </w:p>
    <w:p>
      <w:pPr>
        <w:spacing w:after="120" w:line="276"/>
      </w:pPr>
      <w:r>
        <w:rPr>
          <w:rFonts w:ascii="Arial" w:cs="Arial" w:eastAsia="Arial" w:hAnsi="Arial"/>
        </w:rPr>
        <w:t xml:space="preserve">The thesis began with a negative attribution result: the earlier V5 controller was safe and effective within its controlled archetype, but supervised imitation explained almost all absolute performance. V6 therefore replaced the headline objective and removed the teacher. Its protocol history was not linear success. V1 confirmation, V2 retries, and V3 all failed strict validation; original V4 could not be evaluated after an operational model-loss error.</w:t>
      </w:r>
    </w:p>
    <w:p>
      <w:pPr>
        <w:spacing w:after="120" w:line="276"/>
      </w:pPr>
      <w:r>
        <w:rPr>
          <w:rFonts w:ascii="Arial" w:cs="Arial" w:eastAsia="Arial" w:hAnsi="Arial"/>
        </w:rPr>
        <w:t xml:space="preserve">V4R resolves only the recovery problem, not by hiding it. Five independently random-init, reward-only V3 PPO policies were repackaged into new containers with exact internal weight, normalizer, and provenance equivalence, then combined by a fixed deterministic equal-action mean. This recovered ensemble passed all February gates and, after a single authorized opening, all March-April sealed-test gates. It reduced normalized incremental squared-ramp impact in every evaluated market, lowered modeled wholesale cost, preserved exact simulated service and deadlines, and required no emergency action.</w:t>
      </w:r>
    </w:p>
    <w:p>
      <w:pPr>
        <w:spacing w:after="120" w:line="276"/>
      </w:pPr>
      <w:r>
        <w:rPr>
          <w:rFonts w:ascii="Arial" w:cs="Arial" w:eastAsia="Arial" w:hAnsi="Arial"/>
        </w:rPr>
        <w:t xml:space="preserve">The result supports a narrow conclusion: under the frozen six-market, price-taking simulator and fixed 2025-2026 panel, pure-RL-origin preferences with constraint-only decoding can anticipate and counter measured market-scale ramps. It does not establish feeder relief, endogenous market effects, retail savings, universal US-grid generalization, or future-year performance.</w:t>
      </w:r>
    </w:p>
    <w:p>
      <w:pPr>
        <w:pStyle w:val="Heading1"/>
        <w:keepNext/>
        <w:pageBreakBefore/>
      </w:pPr>
      <w:r>
        <w:rPr>
          <w:rFonts w:ascii="Arial" w:cs="Arial" w:eastAsia="Arial" w:hAnsi="Arial"/>
        </w:rPr>
        <w:t xml:space="preserve">References</w:t>
      </w:r>
    </w:p>
    <w:p>
      <w:pPr>
        <w:spacing w:after="60" w:line="240"/>
        <w:ind w:left="360" w:hanging="360"/>
      </w:pPr>
      <w:r>
        <w:rPr>
          <w:rFonts w:ascii="Arial" w:cs="Arial" w:eastAsia="Arial" w:hAnsi="Arial"/>
          <w:sz w:val="18"/>
          <w:szCs w:val="18"/>
        </w:rPr>
        <w:t xml:space="preserve">[1] A. Verma et al., "Large-scale cluster management at Google with Borg," </w:t>
      </w:r>
      <w:r>
        <w:rPr>
          <w:rFonts w:ascii="Arial" w:cs="Arial" w:eastAsia="Arial" w:hAnsi="Arial"/>
          <w:i/>
          <w:iCs/>
          <w:sz w:val="18"/>
          <w:szCs w:val="18"/>
        </w:rPr>
        <w:t xml:space="preserve">EuroSys</w:t>
      </w:r>
      <w:r>
        <w:rPr>
          <w:rFonts w:ascii="Arial" w:cs="Arial" w:eastAsia="Arial" w:hAnsi="Arial"/>
          <w:sz w:val="18"/>
          <w:szCs w:val="18"/>
        </w:rPr>
        <w:t xml:space="preserve">, 2015. DOI: 10.1145/2741948.2741964.</w:t>
      </w:r>
    </w:p>
    <w:p>
      <w:pPr>
        <w:spacing w:after="60" w:line="240"/>
        <w:ind w:left="360" w:hanging="360"/>
      </w:pPr>
      <w:r>
        <w:rPr>
          <w:rFonts w:ascii="Arial" w:cs="Arial" w:eastAsia="Arial" w:hAnsi="Arial"/>
          <w:sz w:val="18"/>
          <w:szCs w:val="18"/>
        </w:rPr>
        <w:t xml:space="preserve">[2] A. Tirmazi et al., "Borg: the Next Generation," </w:t>
      </w:r>
      <w:r>
        <w:rPr>
          <w:rFonts w:ascii="Arial" w:cs="Arial" w:eastAsia="Arial" w:hAnsi="Arial"/>
          <w:i/>
          <w:iCs/>
          <w:sz w:val="18"/>
          <w:szCs w:val="18"/>
        </w:rPr>
        <w:t xml:space="preserve">EuroSys</w:t>
      </w:r>
      <w:r>
        <w:rPr>
          <w:rFonts w:ascii="Arial" w:cs="Arial" w:eastAsia="Arial" w:hAnsi="Arial"/>
          <w:sz w:val="18"/>
          <w:szCs w:val="18"/>
        </w:rPr>
        <w:t xml:space="preserve">, 2020. DOI: 10.1145/3342195.3387517.</w:t>
      </w:r>
    </w:p>
    <w:p>
      <w:pPr>
        <w:spacing w:after="60" w:line="240"/>
        <w:ind w:left="360" w:hanging="360"/>
      </w:pPr>
      <w:r>
        <w:rPr>
          <w:rFonts w:ascii="Arial" w:cs="Arial" w:eastAsia="Arial" w:hAnsi="Arial"/>
          <w:sz w:val="18"/>
          <w:szCs w:val="18"/>
        </w:rPr>
        <w:t xml:space="preserve">[3] X. Fan, W.-D. Weber, and L. Barroso, "Power Provisioning for a Warehouse-sized Computer," </w:t>
      </w:r>
      <w:r>
        <w:rPr>
          <w:rFonts w:ascii="Arial" w:cs="Arial" w:eastAsia="Arial" w:hAnsi="Arial"/>
          <w:i/>
          <w:iCs/>
          <w:sz w:val="18"/>
          <w:szCs w:val="18"/>
        </w:rPr>
        <w:t xml:space="preserve">ISCA</w:t>
      </w:r>
      <w:r>
        <w:rPr>
          <w:rFonts w:ascii="Arial" w:cs="Arial" w:eastAsia="Arial" w:hAnsi="Arial"/>
          <w:sz w:val="18"/>
          <w:szCs w:val="18"/>
        </w:rPr>
        <w:t xml:space="preserve">, 2007. DOI: 10.1145/1250662.1250665.</w:t>
      </w:r>
    </w:p>
    <w:p>
      <w:pPr>
        <w:spacing w:after="60" w:line="240"/>
        <w:ind w:left="360" w:hanging="360"/>
      </w:pPr>
      <w:r>
        <w:rPr>
          <w:rFonts w:ascii="Arial" w:cs="Arial" w:eastAsia="Arial" w:hAnsi="Arial"/>
          <w:sz w:val="18"/>
          <w:szCs w:val="18"/>
        </w:rPr>
        <w:t xml:space="preserve">[4] A. Qureshi et al., "Cutting the Electric Bill for Internet-Scale Systems," </w:t>
      </w:r>
      <w:r>
        <w:rPr>
          <w:rFonts w:ascii="Arial" w:cs="Arial" w:eastAsia="Arial" w:hAnsi="Arial"/>
          <w:i/>
          <w:iCs/>
          <w:sz w:val="18"/>
          <w:szCs w:val="18"/>
        </w:rPr>
        <w:t xml:space="preserve">SIGCOMM</w:t>
      </w:r>
      <w:r>
        <w:rPr>
          <w:rFonts w:ascii="Arial" w:cs="Arial" w:eastAsia="Arial" w:hAnsi="Arial"/>
          <w:sz w:val="18"/>
          <w:szCs w:val="18"/>
        </w:rPr>
        <w:t xml:space="preserve">, 2009. DOI: 10.1145/1592568.1592584.</w:t>
      </w:r>
    </w:p>
    <w:p>
      <w:pPr>
        <w:spacing w:after="60" w:line="240"/>
        <w:ind w:left="360" w:hanging="360"/>
      </w:pPr>
      <w:r>
        <w:rPr>
          <w:rFonts w:ascii="Arial" w:cs="Arial" w:eastAsia="Arial" w:hAnsi="Arial"/>
          <w:sz w:val="18"/>
          <w:szCs w:val="18"/>
        </w:rPr>
        <w:t xml:space="preserve">[5] L. Rao et al., "Minimizing Electricity Cost: Optimization of Distributed Internet Data Centers in a Multi-Electricity-Market Environment," </w:t>
      </w:r>
      <w:r>
        <w:rPr>
          <w:rFonts w:ascii="Arial" w:cs="Arial" w:eastAsia="Arial" w:hAnsi="Arial"/>
          <w:i/>
          <w:iCs/>
          <w:sz w:val="18"/>
          <w:szCs w:val="18"/>
        </w:rPr>
        <w:t xml:space="preserve">INFOCOM</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10.1109/INFCOM.2010.5461933.</w:t>
      </w:r>
    </w:p>
    <w:p>
      <w:pPr>
        <w:spacing w:after="60" w:line="240"/>
        <w:ind w:left="360" w:hanging="360"/>
      </w:pPr>
      <w:r>
        <w:rPr>
          <w:rFonts w:ascii="Arial" w:cs="Arial" w:eastAsia="Arial" w:hAnsi="Arial"/>
          <w:sz w:val="18"/>
          <w:szCs w:val="18"/>
        </w:rPr>
        <w:t xml:space="preserve">[6] Z. Liu et al., "Greening Geographical Load Balancing," </w:t>
      </w:r>
      <w:r>
        <w:rPr>
          <w:rFonts w:ascii="Arial" w:cs="Arial" w:eastAsia="Arial" w:hAnsi="Arial"/>
          <w:i/>
          <w:iCs/>
          <w:sz w:val="18"/>
          <w:szCs w:val="18"/>
        </w:rPr>
        <w:t xml:space="preserve">SIGMETRICS</w:t>
      </w:r>
      <w:r>
        <w:rPr>
          <w:rFonts w:ascii="Arial" w:cs="Arial" w:eastAsia="Arial" w:hAnsi="Arial"/>
          <w:sz w:val="18"/>
          <w:szCs w:val="18"/>
        </w:rPr>
        <w:t xml:space="preserve">, 2011. DOI: 10.1145/1993744.1993767.</w:t>
      </w:r>
    </w:p>
    <w:p>
      <w:pPr>
        <w:spacing w:after="60" w:line="240"/>
        <w:ind w:left="360" w:hanging="360"/>
      </w:pPr>
      <w:r>
        <w:rPr>
          <w:rFonts w:ascii="Arial" w:cs="Arial" w:eastAsia="Arial" w:hAnsi="Arial"/>
          <w:sz w:val="18"/>
          <w:szCs w:val="18"/>
        </w:rPr>
        <w:t xml:space="preserve">[7] I. Goiri et al., "GreenSlot: Scheduling Energy Consumption in Green Datacenters," 2011. DOI: 10.1145/2063384.2063411.</w:t>
      </w:r>
    </w:p>
    <w:p>
      <w:pPr>
        <w:spacing w:after="60" w:line="240"/>
        <w:ind w:left="360" w:hanging="360"/>
      </w:pPr>
      <w:r>
        <w:rPr>
          <w:rFonts w:ascii="Arial" w:cs="Arial" w:eastAsia="Arial" w:hAnsi="Arial"/>
          <w:sz w:val="18"/>
          <w:szCs w:val="18"/>
        </w:rPr>
        <w:t xml:space="preserve">[8] J. Schulman et al., "Proximal Policy Optimization Algorithms," arXiv:1707.06347, 2017.</w:t>
      </w:r>
    </w:p>
    <w:p>
      <w:pPr>
        <w:spacing w:after="60" w:line="240"/>
        <w:ind w:left="360" w:hanging="360"/>
      </w:pPr>
      <w:r>
        <w:rPr>
          <w:rFonts w:ascii="Arial" w:cs="Arial" w:eastAsia="Arial" w:hAnsi="Arial"/>
          <w:sz w:val="18"/>
          <w:szCs w:val="18"/>
        </w:rPr>
        <w:t xml:space="preserve">[9] A. Raffin et al., "Stable-Baselines3: Reliable Reinforcement Learning Implementations," </w:t>
      </w:r>
      <w:r>
        <w:rPr>
          <w:rFonts w:ascii="Arial" w:cs="Arial" w:eastAsia="Arial" w:hAnsi="Arial"/>
          <w:i/>
          <w:iCs/>
          <w:sz w:val="18"/>
          <w:szCs w:val="18"/>
        </w:rPr>
        <w:t xml:space="preserve">JMLR</w:t>
      </w:r>
      <w:r>
        <w:rPr>
          <w:rFonts w:ascii="Arial" w:cs="Arial" w:eastAsia="Arial" w:hAnsi="Arial"/>
          <w:sz w:val="18"/>
          <w:szCs w:val="18"/>
        </w:rPr>
        <w:t xml:space="preserve">, 22(268), 2021.</w:t>
      </w:r>
    </w:p>
    <w:sectPr>
      <w:headerReference w:type="default" r:id="rId7"/>
      <w:footerReference w:type="default" r:id="rId8"/>
      <w:pgSz w:w="12240" w:h="15840" w:orient="portrait"/>
      <w:pgMar w:top="1080" w:right="1080" w:bottom="1080" w:left="1080" w:header="54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7"/>
        <w:szCs w:val="17"/>
      </w:rPr>
      <w:t xml:space="preserve">Page </w:t>
    </w:r>
    <w:r>
      <w:rPr>
        <w:rFonts w:ascii="Arial" w:cs="Arial" w:eastAsia="Arial" w:hAnsi="Arial"/>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1"/>
      </w:pBdr>
    </w:pPr>
    <w:r>
      <w:rPr>
        <w:rFonts w:ascii="Arial" w:cs="Arial" w:eastAsia="Arial" w:hAnsi="Arial"/>
        <w:color w:val="666666"/>
        <w:sz w:val="17"/>
        <w:szCs w:val="17"/>
      </w:rPr>
      <w:t xml:space="preserve">Safe Joint Energy Optimization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020"/>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00"/>
      <w:outlineLvl w:val="1"/>
    </w:pPr>
    <w:rPr>
      <w:rFonts w:ascii="Arial" w:cs="Arial" w:eastAsia="Arial" w:hAnsi="Arial"/>
      <w:b/>
      <w:bCs/>
      <w:color w:val="2F5597"/>
      <w:sz w:val="27"/>
      <w:szCs w:val="27"/>
    </w:rPr>
  </w:style>
  <w:style w:type="paragraph" w:styleId="Heading3">
    <w:name w:val="Heading 3"/>
    <w:basedOn w:val="Normal"/>
    <w:next w:val="Normal"/>
    <w:qFormat/>
    <w:pPr>
      <w:spacing w:after="100" w:before="160"/>
      <w:outlineLvl w:val="2"/>
    </w:pPr>
    <w:rPr>
      <w:rFonts w:ascii="Arial" w:cs="Arial" w:eastAsia="Arial" w:hAnsi="Arial"/>
      <w:b/>
      <w:bCs/>
      <w:color w:val="404040"/>
      <w:sz w:val="24"/>
      <w:szCs w:val="24"/>
    </w:rPr>
  </w:style>
  <w:style w:type="paragraph" w:styleId="Heading4">
    <w:name w:val="Heading 4"/>
    <w:basedOn w:val="Normal"/>
    <w:next w:val="Normal"/>
    <w:qFormat/>
    <w:pPr>
      <w:spacing w:after="80" w:before="140"/>
      <w:outlineLvl w:val="3"/>
    </w:pPr>
    <w:rPr>
      <w:rFonts w:ascii="Arial" w:cs="Arial" w:eastAsia="Arial" w:hAnsi="Arial"/>
      <w:b/>
      <w:bCs/>
      <w:i/>
      <w:iCs/>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33e6c277094e4354f26e71d663d5739a6a0333.png"/><Relationship Id="rId10" Type="http://schemas.openxmlformats.org/officeDocument/2006/relationships/image" Target="media/c23b11a031750f7cd83ec54f2f53c4fe561d7bb9.png"/><Relationship Id="rId11" Type="http://schemas.openxmlformats.org/officeDocument/2006/relationships/image" Target="media/2fc8206af9b533b4a23fee87166b4adf3fde650d.png"/><Relationship Id="rId12" Type="http://schemas.openxmlformats.org/officeDocument/2006/relationships/image" Target="media/064d092fa00ebbc7881494303b9997b63dd0e05c.png"/><Relationship Id="rId13" Type="http://schemas.openxmlformats.org/officeDocument/2006/relationships/image" Target="media/4e10da293d93b7e419b264e89f13611f5d094e5e.png"/><Relationship Id="rId14" Type="http://schemas.openxmlformats.org/officeDocument/2006/relationships/image" Target="media/37f048c10be7e13bf02ff9e9074091637c8064ce.png"/><Relationship Id="rId15" Type="http://schemas.openxmlformats.org/officeDocument/2006/relationships/image" Target="media/e4a3e3047d520742d6bf54a43d07b3e26c977e7c.png"/><Relationship Id="rId16" Type="http://schemas.openxmlformats.org/officeDocument/2006/relationships/image" Target="media/c7117e7b1080622678825a20acd08328a6fc6db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Anticipatory Grid-Ramp Smoothing with Pure Reinforcement Learning</dc:title>
  <dc:creator>GitHub Copilot CLI</dc:creator>
  <dc:description>Reproducible thesis on safe spatio-temporal data-center energy optimization.</dc:description>
  <cp:lastModifiedBy>GitHub Copilot CLI</cp:lastModifiedBy>
  <cp:revision>1</cp:revision>
  <dcterms:created xsi:type="dcterms:W3CDTF">2026-08-07T00:00:00.000Z</dcterms:created>
  <dcterms:modified xsi:type="dcterms:W3CDTF">2026-08-07T00:00:00.000Z</dcterms:modified>
</cp:coreProperties>
</file>

<file path=docProps/custom.xml><?xml version="1.0" encoding="utf-8"?>
<Properties xmlns="http://schemas.openxmlformats.org/officeDocument/2006/custom-properties" xmlns:vt="http://schemas.openxmlformats.org/officeDocument/2006/docPropsVTypes"/>
</file>