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before="1800"/>
      </w:pPr>
    </w:p>
    <w:p>
      <w:pPr>
        <w:spacing w:after="280"/>
        <w:jc w:val="center"/>
      </w:pPr>
      <w:r>
        <w:rPr>
          <w:rFonts w:ascii="Arial" w:cs="Arial" w:eastAsia="Arial" w:hAnsi="Arial"/>
          <w:b/>
          <w:bCs/>
          <w:color w:val="1F4E79"/>
          <w:sz w:val="40"/>
          <w:szCs w:val="40"/>
        </w:rPr>
        <w:t xml:space="preserve">Anticipatory Grid-Ramp Smoothing with Pure Reinforcement Learning</w:t>
      </w:r>
    </w:p>
    <w:p>
      <w:pPr>
        <w:spacing w:after="1000"/>
        <w:jc w:val="center"/>
      </w:pPr>
      <w:r>
        <w:rPr>
          <w:rFonts w:ascii="Arial" w:cs="Arial" w:eastAsia="Arial" w:hAnsi="Arial"/>
          <w:i/>
          <w:iCs/>
          <w:color w:val="404040"/>
          <w:sz w:val="25"/>
          <w:szCs w:val="25"/>
        </w:rPr>
        <w:t xml:space="preserve">A Reproducible Six-Market Study of Spatial and Temporal Data-Center Flexibility</w:t>
      </w:r>
    </w:p>
    <w:p>
      <w:pPr>
        <w:spacing w:after="180"/>
        <w:jc w:val="center"/>
      </w:pPr>
      <w:r>
        <w:rPr>
          <w:rFonts w:ascii="Arial" w:cs="Arial" w:eastAsia="Arial" w:hAnsi="Arial"/>
          <w:sz w:val="24"/>
          <w:szCs w:val="24"/>
        </w:rPr>
        <w:t xml:space="preserve">Janusz Gal</w:t>
      </w:r>
    </w:p>
    <w:p>
      <w:pPr>
        <w:spacing w:after="180"/>
        <w:jc w:val="center"/>
      </w:pPr>
      <w:r>
        <w:rPr>
          <w:rFonts w:ascii="Arial" w:cs="Arial" w:eastAsia="Arial" w:hAnsi="Arial"/>
          <w:sz w:val="22"/>
          <w:szCs w:val="22"/>
        </w:rPr>
        <w:t xml:space="preserve">August 2026</w:t>
      </w:r>
    </w:p>
    <w:p>
      <w:pPr>
        <w:spacing w:after="600"/>
        <w:jc w:val="center"/>
      </w:pPr>
      <w:r>
        <w:rPr>
          <w:rFonts w:ascii="Courier New" w:cs="Courier New" w:eastAsia="Courier New" w:hAnsi="Courier New"/>
          <w:color w:val="4472C4"/>
          <w:sz w:val="18"/>
          <w:szCs w:val="18"/>
        </w:rPr>
        <w:t xml:space="preserve">https://github.com/januszjgal/dc-energy-joint-optimization</w:t>
      </w:r>
    </w:p>
    <w:p>
      <w:r>
        <w:br w:type="page"/>
      </w:r>
    </w:p>
    <w:p>
      <w:pPr>
        <w:pStyle w:val="Heading1"/>
      </w:pPr>
      <w:r>
        <w:rPr>
          <w:rFonts w:ascii="Arial" w:cs="Arial" w:eastAsia="Arial" w:hAnsi="Arial"/>
        </w:rPr>
        <w:t xml:space="preserve">Table of Contents</w:t>
      </w:r>
    </w:p>
    <w:sdt>
      <w:sdtPr/>
      <w:sdtContent>
        <w:p>
          <w:r>
            <w:fldChar w:fldCharType="begin" w:dirty="true"/>
            <w:instrText xml:space="preserve">TOC \h \o "1-3"</w:instrText>
            <w:fldChar w:fldCharType="separate"/>
          </w:r>
        </w:p>
        <w:p>
          <w:r>
            <w:fldChar w:fldCharType="end"/>
          </w:r>
        </w:p>
      </w:sdtContent>
    </w:sdt>
    <w:p>
      <w:r>
        <w:br w:type="page"/>
      </w:r>
    </w:p>
    <w:p>
      <w:pPr>
        <w:pStyle w:val="Heading1"/>
        <w:keepNext/>
        <w:pageBreakBefore/>
      </w:pPr>
      <w:r>
        <w:rPr>
          <w:rFonts w:ascii="Arial" w:cs="Arial" w:eastAsia="Arial" w:hAnsi="Arial"/>
        </w:rPr>
        <w:t xml:space="preserve">Abstract</w:t>
      </w:r>
    </w:p>
    <w:p>
      <w:pPr>
        <w:pBdr>
          <w:left w:val="single" w:color="4472C4" w:sz="12" w:space="10"/>
        </w:pBdr>
        <w:shd w:fill="EEF4FB" w:val="clear"/>
        <w:spacing w:after="120" w:line="276"/>
        <w:ind w:left="480" w:right="480"/>
      </w:pPr>
      <w:r>
        <w:rPr>
          <w:rFonts w:ascii="Arial" w:cs="Arial" w:eastAsia="Arial" w:hAnsi="Arial"/>
          <w:b/>
          <w:bCs/>
        </w:rPr>
        <w:t xml:space="preserve">Evidence and correction notice.</w:t>
      </w:r>
      <w:r>
        <w:rPr>
          <w:rFonts w:ascii="Arial" w:cs="Arial" w:eastAsia="Arial" w:hAnsi="Arial"/>
          <w:i/>
          <w:iCs/>
        </w:rPr>
        <w:t xml:space="preserve"> The March-April 2026 policy result below remains the original single-open sealed evaluation. A later deterministic replay of the frozen policy corrects physical-ramp aggregation, status-quo labeling, and decoder telemetry only. It is explicitly post-hoc, occurred after unblinding, and is not a second sealed generalization test. It changed no policy, member, weight, model selection, data split, forecast, reward, constraint, or primary objective.</w:t>
      </w:r>
    </w:p>
    <w:p>
      <w:pPr>
        <w:spacing w:after="120" w:line="276"/>
      </w:pPr>
      <w:r>
        <w:rPr>
          <w:rFonts w:ascii="Arial" w:cs="Arial" w:eastAsia="Arial" w:hAnsi="Arial"/>
        </w:rPr>
        <w:t xml:space="preserve">Large data centers can change when and where they consume electricity. A geographically distributed operator can route immediate service work among sites and can execute some deferrable work before its deadline. This thesis asks whether those two forms of flexibility can reduce a modeled fleet's incremental contribution to rapid electricity-system net-load changes. The primary target is physical grid-ramp smoothing over one-hour and three-hour windows. Modeled wholesale cost is a guardrail and secondary byproduct, not the headline objective. Demand charges, retail tariffs, and facility bill savings are explicitly out of scope.</w:t>
      </w:r>
    </w:p>
    <w:p>
      <w:pPr>
        <w:spacing w:after="120" w:line="276"/>
      </w:pPr>
      <w:r>
        <w:rPr>
          <w:rFonts w:ascii="Arial" w:cs="Arial" w:eastAsia="Arial" w:hAnsi="Arial"/>
        </w:rPr>
        <w:t xml:space="preserve">The experiment combines six price locations and six physical grid contexts: CAISO NP15, ERCOT North, NYISO Zone J, MISO Minnesota Hub, SPP North Hub, and ISO New England NEMA. All series share an exact hourly UTC index from September 2025 through April 2026. September 2025 through January 2026 is training, February 2026 is validation, and March-April 2026 is the sealed test. The energy pipeline retains source product, geography, interval convention, timezone, raw hash, retrieval, revision, quality, and redistribution metadata. Where a complete operator physical history was unavailable, the study uses a documented same-balancing-authority EIA bulk fallback. No market series is interpolated or silently substituted. PJM DOM / Northern Virginia was not evaluated because its required API credential was unavailable.</w:t>
      </w:r>
    </w:p>
    <w:p>
      <w:pPr>
        <w:spacing w:after="120" w:line="276"/>
      </w:pPr>
      <w:r>
        <w:rPr>
          <w:rFonts w:ascii="Arial" w:cs="Arial" w:eastAsia="Arial" w:hAnsi="Arial"/>
        </w:rPr>
        <w:t xml:space="preserve">The workload is not a 2011 trace. It is Google ClusterData2019: eight Borg cells measured during May 2019, with cells a-f mapped to the primary sites. Five-minute CPU use is classified into no-SLO batch work and immediate service/residual work using collection priority metadata, aggregated to hourly means, converted to proxy power through per-cell PowerData2019 affine models, and tiled over the later energy calendar. The original trace does not supply the experiment's deadlines, so deadlines are synthetic and disclosed. The cross-year alignment is a counterfactual modeling convention, not a contemporaneous operational replay.</w:t>
      </w:r>
    </w:p>
    <w:p>
      <w:pPr>
        <w:spacing w:after="120" w:line="276"/>
      </w:pPr>
      <w:r>
        <w:rPr>
          <w:rFonts w:ascii="Arial" w:cs="Arial" w:eastAsia="Arial" w:hAnsi="Arial"/>
        </w:rPr>
        <w:t xml:space="preserve">The final controller is a fixed equal-action ensemble of five independently initialized PPO members whose learned preferences came only from environment reward. A deterministic decoder enforces service conservation, capacity, earliest-deadline-first batch execution, destination capacity, and exact origin-destination transport. The ensemble invokes every member once per decision and averages the 13 environment-space actions with weights of 0.2. There is no teacher, behavior cloning, demonstration replay, model-predictive controller, optimizer action, member selection, learned weighting, or trainable combiner. The defensible attribution is therefore reward-only PPO member preferences plus fixed equal-action aggregation plus constraint-only execution.</w:t>
      </w:r>
    </w:p>
    <w:p>
      <w:pPr>
        <w:spacing w:after="120" w:line="276"/>
      </w:pPr>
      <w:r>
        <w:rPr>
          <w:rFonts w:ascii="Arial" w:cs="Arial" w:eastAsia="Arial" w:hAnsi="Arial"/>
        </w:rPr>
        <w:t xml:space="preserve">The immutable sealed evaluation contains 60 daily episodes. Its primary mean incremental normalized squared-ramp impact is -1.4258710514e-05, with a day-block bootstrap interval of approximately [-1.492e-05, -1.352e-05]. All six policy impacts are negative relative to their native grid ramps. A separate operational comparison shows that policy outperforms status quo in five of six markets; MISO is the exception. The overall macro difference strongly favors policy. Ramp-period power falls from about 313,167 to 303,078 persisted audit units, a 3.22% reduction. Secondary modeled day-ahead cost falls from USD 21,582,662 to USD 21,098,314, about USD 484,349 or 2.244%, even though the prespecified gate allowed cost to rise by as much as 2%. All five training cost multipliers remained zero.</w:t>
      </w:r>
    </w:p>
    <w:p>
      <w:pPr>
        <w:spacing w:after="120" w:line="276"/>
      </w:pPr>
      <w:r>
        <w:rPr>
          <w:rFonts w:ascii="Arial" w:cs="Arial" w:eastAsia="Arial" w:hAnsi="Arial"/>
        </w:rPr>
        <w:t xml:space="preserve">The result supports a narrow claim: in this simulator, fixed calendar, and price-taking scope, the frozen reward-only PPO ensemble reduced the modeled fleet's incremental squared-ramp contribution while satisfying modeled work constraints. It does not prove that reinforcement learning was necessary. There is no untrained/random PPO comparator, simple causal ramp heuristic, forecast-masked ablation, or equally resourced non-RL controller in the final protocol. It also does not establish feeder relief, reserve delivery, endogenous market response, retail savings, demand-charge savings, or future-year generalization.</w:t>
      </w:r>
    </w:p>
    <w:p>
      <w:pPr>
        <w:pStyle w:val="Heading1"/>
        <w:keepNext/>
        <w:pageBreakBefore/>
      </w:pPr>
      <w:r>
        <w:rPr>
          <w:rFonts w:ascii="Arial" w:cs="Arial" w:eastAsia="Arial" w:hAnsi="Arial"/>
        </w:rPr>
        <w:t xml:space="preserve">1. Introduction</w:t>
      </w:r>
    </w:p>
    <w:p>
      <w:pPr>
        <w:pStyle w:val="Heading2"/>
        <w:keepNext/>
      </w:pPr>
      <w:r>
        <w:rPr>
          <w:rFonts w:ascii="Arial" w:cs="Arial" w:eastAsia="Arial" w:hAnsi="Arial"/>
        </w:rPr>
        <w:t xml:space="preserve">1.1 The operational problem</w:t>
      </w:r>
    </w:p>
    <w:p>
      <w:pPr>
        <w:spacing w:after="120" w:line="276"/>
      </w:pPr>
      <w:r>
        <w:rPr>
          <w:rFonts w:ascii="Arial" w:cs="Arial" w:eastAsia="Arial" w:hAnsi="Arial"/>
        </w:rPr>
        <w:t xml:space="preserve">Electricity supply and demand must remain balanced continuously. Variable renewable generation can make net load - demand after selected renewable generation - change quickly even when gross demand is smooth. The familiar California "duck curve" illustrates a steep evening increase as solar output falls. Operators manage ramps with generation, storage, interchange, reserves, and flexible demand. A data-center fleet is potentially flexible demand because computational work can be routed among regions and some work can be shifted in time.</w:t>
      </w:r>
    </w:p>
    <w:p>
      <w:pPr>
        <w:spacing w:after="120" w:line="276"/>
      </w:pPr>
      <w:r>
        <w:rPr>
          <w:rFonts w:ascii="Arial" w:cs="Arial" w:eastAsia="Arial" w:hAnsi="Arial"/>
        </w:rPr>
        <w:t xml:space="preserve">That potential should not be confused with a demonstrated grid service. A market-level simulation does not observe a feeder, transmission contingency, unit-commitment action, or reserve activation. The defensible question is smaller: conditional on fixed native grid trajectories, does modeled data-center power make one-hour and three-hour net-load changes larger or smaller?</w:t>
      </w:r>
    </w:p>
    <w:p>
      <w:pPr>
        <w:spacing w:after="120" w:line="276"/>
      </w:pPr>
      <w:r>
        <w:rPr>
          <w:rFonts w:ascii="Arial" w:cs="Arial" w:eastAsia="Arial" w:hAnsi="Arial"/>
        </w:rPr>
        <w:t xml:space="preserve">Spatial and temporal control answer different parts of that question. Spatial control chooses which site serves immediate work or executes batch work. Temporal control chooses how much queued batch work to execute now, subject to deadlines. Spatial control can move power between markets within an hour. Temporal control can move power between hours. Joint control can therefore shape both the market distribution and time profile of fleet power.</w:t>
      </w:r>
    </w:p>
    <w:p>
      <w:pPr>
        <w:pStyle w:val="Heading2"/>
        <w:keepNext/>
      </w:pPr>
      <w:r>
        <w:rPr>
          <w:rFonts w:ascii="Arial" w:cs="Arial" w:eastAsia="Arial" w:hAnsi="Arial"/>
        </w:rPr>
        <w:t xml:space="preserve">1.2 Research question</w:t>
      </w:r>
    </w:p>
    <w:p>
      <w:pPr>
        <w:spacing w:after="120" w:line="276"/>
      </w:pPr>
      <w:r>
        <w:rPr>
          <w:rFonts w:ascii="Arial" w:cs="Arial" w:eastAsia="Arial" w:hAnsi="Arial"/>
        </w:rPr>
        <w:t xml:space="preserve">The central research question is:</w:t>
      </w:r>
    </w:p>
    <w:p>
      <w:pPr>
        <w:pBdr>
          <w:left w:val="single" w:color="4472C4" w:sz="12" w:space="10"/>
        </w:pBdr>
        <w:shd w:fill="EEF4FB" w:val="clear"/>
        <w:spacing w:after="120" w:line="276"/>
        <w:ind w:left="480" w:right="480"/>
      </w:pPr>
      <w:r>
        <w:rPr>
          <w:rFonts w:ascii="Arial" w:cs="Arial" w:eastAsia="Arial" w:hAnsi="Arial"/>
          <w:i/>
          <w:iCs/>
        </w:rPr>
        <w:t xml:space="preserve">Can reward-only PPO preferences, combined by a fixed equal-action ensemble and executed through a constraint-only decoder, reduce a geo-distributed fleet's incremental contribution to one-hour and three-hour market-scale net-load ramps while preserving exact modeled workload service and a day-ahead energy-cost guardrail?</w:t>
      </w:r>
    </w:p>
    <w:p>
      <w:pPr>
        <w:spacing w:after="120" w:line="276"/>
      </w:pPr>
      <w:r>
        <w:rPr>
          <w:rFonts w:ascii="Arial" w:cs="Arial" w:eastAsia="Arial" w:hAnsi="Arial"/>
        </w:rPr>
        <w:t xml:space="preserve">The phrase </w:t>
      </w:r>
      <w:r>
        <w:rPr>
          <w:rFonts w:ascii="Arial" w:cs="Arial" w:eastAsia="Arial" w:hAnsi="Arial"/>
          <w:i/>
          <w:iCs/>
        </w:rPr>
        <w:t xml:space="preserve">incremental contribution</w:t>
      </w:r>
      <w:r>
        <w:rPr>
          <w:rFonts w:ascii="Arial" w:cs="Arial" w:eastAsia="Arial" w:hAnsi="Arial"/>
        </w:rPr>
        <w:t xml:space="preserve"> is important. The controller is not credited for a native grid ramp that would have occurred without the modeled fleet. It is scored on the difference between the squared adjusted ramp and the squared native ramp. Negative impact means adding the modeled fleet made the squared ramp smaller; positive impact means it made the squared ramp larger.</w:t>
      </w:r>
    </w:p>
    <w:p>
      <w:pPr>
        <w:pStyle w:val="Heading2"/>
        <w:keepNext/>
      </w:pPr>
      <w:r>
        <w:rPr>
          <w:rFonts w:ascii="Arial" w:cs="Arial" w:eastAsia="Arial" w:hAnsi="Arial"/>
        </w:rPr>
        <w:t xml:space="preserve">1.3 Scope and non-claims</w:t>
      </w:r>
    </w:p>
    <w:p>
      <w:pPr>
        <w:spacing w:after="120" w:line="276"/>
      </w:pPr>
      <w:r>
        <w:rPr>
          <w:rFonts w:ascii="Arial" w:cs="Arial" w:eastAsia="Arial" w:hAnsi="Arial"/>
        </w:rPr>
        <w:t xml:space="preserve">The primary scope is spatial plus temporal workload control for grid-ramp smoothing. The study does not optimize demand charges. It does not model 15-minute billing peaks, ratchets, coincident peaks, customer-specific tariffs, capacity charges, transmission charges, taxes, power-purchase agreements, hedges, or ancillary-service revenue. The modeled cost is wholesale day-ahead LMP multiplied by modeled power and one hour. It is not a retail electricity bill.</w:t>
      </w:r>
    </w:p>
    <w:p>
      <w:pPr>
        <w:spacing w:after="120" w:line="276"/>
      </w:pPr>
      <w:r>
        <w:rPr>
          <w:rFonts w:ascii="Arial" w:cs="Arial" w:eastAsia="Arial" w:hAnsi="Arial"/>
        </w:rPr>
        <w:t xml:space="preserve">The market cases are fixed observations, not iid samples of all US power systems. Physical context is generally balancing-authority or system scale; price is a hub or zone. Those geographies are not always identical. The model is price-taking: fleet action does not change price, generation dispatch, commitment, transmission flows, or reserve procurement. The primary 600 MW fleet is therefore an accounting experiment, not a claim that a deployed fleet could move the same amount without market feedback.</w:t>
      </w:r>
    </w:p>
    <w:p>
      <w:pPr>
        <w:pStyle w:val="Heading2"/>
        <w:keepNext/>
      </w:pPr>
      <w:r>
        <w:rPr>
          <w:rFonts w:ascii="Arial" w:cs="Arial" w:eastAsia="Arial" w:hAnsi="Arial"/>
        </w:rPr>
        <w:t xml:space="preserve">1.4 Contributions</w:t>
      </w:r>
    </w:p>
    <w:p>
      <w:pPr>
        <w:spacing w:after="120" w:line="276"/>
      </w:pPr>
      <w:r>
        <w:rPr>
          <w:rFonts w:ascii="Arial" w:cs="Arial" w:eastAsia="Arial" w:hAnsi="Arial"/>
        </w:rPr>
        <w:t xml:space="preserve">This thesis makes seven concrete contributions:</w:t>
      </w:r>
    </w:p>
    <w:p>
      <w:pPr>
        <w:pStyle w:val="ListParagraph"/>
        <w:numPr>
          <w:ilvl w:val="0"/>
          <w:numId w:val="2"/>
        </w:numPr>
        <w:spacing w:after="60"/>
      </w:pPr>
      <w:r>
        <w:rPr>
          <w:rFonts w:ascii="Arial" w:cs="Arial" w:eastAsia="Arial" w:hAnsi="Arial"/>
        </w:rPr>
        <w:t xml:space="preserve">It documents a six-market hourly energy pipeline with product-level source,</w:t>
      </w:r>
    </w:p>
    <w:p>
      <w:pPr>
        <w:spacing w:after="120" w:line="276"/>
      </w:pPr>
      <w:r>
        <w:rPr>
          <w:rFonts w:ascii="Arial" w:cs="Arial" w:eastAsia="Arial" w:hAnsi="Arial"/>
        </w:rPr>
        <w:t xml:space="preserve">timestamp, quality, licensing, retrieval, and hash provenance.</w:t>
      </w:r>
    </w:p>
    <w:p>
      <w:pPr>
        <w:pStyle w:val="ListParagraph"/>
        <w:numPr>
          <w:ilvl w:val="0"/>
          <w:numId w:val="2"/>
        </w:numPr>
        <w:spacing w:after="60"/>
      </w:pPr>
      <w:r>
        <w:rPr>
          <w:rFonts w:ascii="Arial" w:cs="Arial" w:eastAsia="Arial" w:hAnsi="Arial"/>
        </w:rPr>
        <w:t xml:space="preserve">It documents a measured ClusterData2019 workload transformation from</w:t>
      </w:r>
    </w:p>
    <w:p>
      <w:pPr>
        <w:spacing w:after="120" w:line="276"/>
      </w:pPr>
      <w:r>
        <w:rPr>
          <w:rFonts w:ascii="Arial" w:cs="Arial" w:eastAsia="Arial" w:hAnsi="Arial"/>
        </w:rPr>
        <w:t xml:space="preserve">five-minute CPU usage and collection priorities to hourly service and deferrable arrivals, including synthetic deadline semantics.</w:t>
      </w:r>
    </w:p>
    <w:p>
      <w:pPr>
        <w:pStyle w:val="ListParagraph"/>
        <w:numPr>
          <w:ilvl w:val="0"/>
          <w:numId w:val="2"/>
        </w:numPr>
        <w:spacing w:after="60"/>
      </w:pPr>
      <w:r>
        <w:rPr>
          <w:rFonts w:ascii="Arial" w:cs="Arial" w:eastAsia="Arial" w:hAnsi="Arial"/>
        </w:rPr>
        <w:t xml:space="preserve">It implements an N-site ramp-aware Gymnasium environment with causal</w:t>
      </w:r>
    </w:p>
    <w:p>
      <w:pPr>
        <w:spacing w:after="120" w:line="276"/>
      </w:pPr>
      <w:r>
        <w:rPr>
          <w:rFonts w:ascii="Arial" w:cs="Arial" w:eastAsia="Arial" w:hAnsi="Arial"/>
        </w:rPr>
        <w:t xml:space="preserve">observations, exact warm history, an explicitly scored terminal tail, and a constraint-only semantic action decoder.</w:t>
      </w:r>
    </w:p>
    <w:p>
      <w:pPr>
        <w:pStyle w:val="ListParagraph"/>
        <w:numPr>
          <w:ilvl w:val="0"/>
          <w:numId w:val="2"/>
        </w:numPr>
        <w:spacing w:after="60"/>
      </w:pPr>
      <w:r>
        <w:rPr>
          <w:rFonts w:ascii="Arial" w:cs="Arial" w:eastAsia="Arial" w:hAnsi="Arial"/>
        </w:rPr>
        <w:t xml:space="preserve">It trains genuine reward-only PPO members and records actor, critic,</w:t>
      </w:r>
    </w:p>
    <w:p>
      <w:pPr>
        <w:spacing w:after="120" w:line="276"/>
      </w:pPr>
      <w:r>
        <w:rPr>
          <w:rFonts w:ascii="Arial" w:cs="Arial" w:eastAsia="Arial" w:hAnsi="Arial"/>
        </w:rPr>
        <w:t xml:space="preserve">normalizer, interaction, update, and data-provenance identities.</w:t>
      </w:r>
    </w:p>
    <w:p>
      <w:pPr>
        <w:pStyle w:val="ListParagraph"/>
        <w:numPr>
          <w:ilvl w:val="0"/>
          <w:numId w:val="2"/>
        </w:numPr>
        <w:spacing w:after="60"/>
      </w:pPr>
      <w:r>
        <w:rPr>
          <w:rFonts w:ascii="Arial" w:cs="Arial" w:eastAsia="Arial" w:hAnsi="Arial"/>
        </w:rPr>
        <w:t xml:space="preserve">It preserves failed V1-V3 protocols and the blocked original V4 rather than</w:t>
      </w:r>
    </w:p>
    <w:p>
      <w:pPr>
        <w:spacing w:after="120" w:line="276"/>
      </w:pPr>
      <w:r>
        <w:rPr>
          <w:rFonts w:ascii="Arial" w:cs="Arial" w:eastAsia="Arial" w:hAnsi="Arial"/>
        </w:rPr>
        <w:t xml:space="preserve">rewriting them after the final result.</w:t>
      </w:r>
    </w:p>
    <w:p>
      <w:pPr>
        <w:pStyle w:val="ListParagraph"/>
        <w:numPr>
          <w:ilvl w:val="0"/>
          <w:numId w:val="2"/>
        </w:numPr>
        <w:spacing w:after="60"/>
      </w:pPr>
      <w:r>
        <w:rPr>
          <w:rFonts w:ascii="Arial" w:cs="Arial" w:eastAsia="Arial" w:hAnsi="Arial"/>
        </w:rPr>
        <w:t xml:space="preserve">It separates the preregistered native-grid-relative gate from a new,</w:t>
      </w:r>
    </w:p>
    <w:p>
      <w:pPr>
        <w:spacing w:after="120" w:line="276"/>
      </w:pPr>
      <w:r>
        <w:rPr>
          <w:rFonts w:ascii="Arial" w:cs="Arial" w:eastAsia="Arial" w:hAnsi="Arial"/>
        </w:rPr>
        <w:t xml:space="preserve">first-class policy-versus-status-quo diagnostic.</w:t>
      </w:r>
    </w:p>
    <w:p>
      <w:pPr>
        <w:pStyle w:val="ListParagraph"/>
        <w:numPr>
          <w:ilvl w:val="0"/>
          <w:numId w:val="2"/>
        </w:numPr>
        <w:spacing w:after="60"/>
      </w:pPr>
      <w:r>
        <w:rPr>
          <w:rFonts w:ascii="Arial" w:cs="Arial" w:eastAsia="Arial" w:hAnsi="Arial"/>
        </w:rPr>
        <w:t xml:space="preserve">It corrects physical-ramp and decoder telemetry in a post-hoc frozen-policy</w:t>
      </w:r>
    </w:p>
    <w:p>
      <w:pPr>
        <w:spacing w:after="120" w:line="276"/>
      </w:pPr>
      <w:r>
        <w:rPr>
          <w:rFonts w:ascii="Arial" w:cs="Arial" w:eastAsia="Arial" w:hAnsi="Arial"/>
        </w:rPr>
        <w:t xml:space="preserve">replay without altering the original sealed evidence or claiming a second test.</w:t>
      </w:r>
    </w:p>
    <w:p>
      <w:pPr>
        <w:pStyle w:val="Heading1"/>
        <w:keepNext/>
        <w:pageBreakBefore/>
      </w:pPr>
      <w:r>
        <w:rPr>
          <w:rFonts w:ascii="Arial" w:cs="Arial" w:eastAsia="Arial" w:hAnsi="Arial"/>
        </w:rPr>
        <w:t xml:space="preserve">2. Relationship to the Earlier V5 Study</w:t>
      </w:r>
    </w:p>
    <w:p>
      <w:pPr>
        <w:pStyle w:val="Heading2"/>
        <w:keepNext/>
      </w:pPr>
      <w:r>
        <w:rPr>
          <w:rFonts w:ascii="Arial" w:cs="Arial" w:eastAsia="Arial" w:hAnsi="Arial"/>
        </w:rPr>
        <w:t xml:space="preserve">2.1 What V5 established</w:t>
      </w:r>
    </w:p>
    <w:p>
      <w:pPr>
        <w:spacing w:after="120" w:line="276"/>
      </w:pPr>
      <w:r>
        <w:rPr>
          <w:rFonts w:ascii="Arial" w:cs="Arial" w:eastAsia="Arial" w:hAnsi="Arial"/>
        </w:rPr>
        <w:t xml:space="preserve">The repository's V5 study combined behavior cloning, a short TD3+BC reward phase, and a deterministic safety decoder. It produced exact modeled workload completion and favorable objective values in a four-site CAISO-derived archetype. Those results remain part of the repository history.</w:t>
      </w:r>
    </w:p>
    <w:p>
      <w:pPr>
        <w:spacing w:after="120" w:line="276"/>
      </w:pPr>
      <w:r>
        <w:rPr>
          <w:rFonts w:ascii="Arial" w:cs="Arial" w:eastAsia="Arial" w:hAnsi="Arial"/>
        </w:rPr>
        <w:t xml:space="preserve">The important limitation was attribution. Behavior cloning alone produced almost all of the reported performance. Post-RL changes were approximately zero relative to the cloned policy. The V5 result was therefore best described as teacher imitation preserved by reward training, not performance caused primarily by reinforcement learning. That conclusion is not a defect to hide; it motivated a new study.</w:t>
      </w:r>
    </w:p>
    <w:p>
      <w:pPr>
        <w:pStyle w:val="Heading2"/>
        <w:keepNext/>
      </w:pPr>
      <w:r>
        <w:rPr>
          <w:rFonts w:ascii="Arial" w:cs="Arial" w:eastAsia="Arial" w:hAnsi="Arial"/>
        </w:rPr>
        <w:t xml:space="preserve">2.2 How V4R supersedes V5 scientifically</w:t>
      </w:r>
    </w:p>
    <w:p>
      <w:pPr>
        <w:spacing w:after="120" w:line="276"/>
      </w:pPr>
      <w:r>
        <w:rPr>
          <w:rFonts w:ascii="Arial" w:cs="Arial" w:eastAsia="Arial" w:hAnsi="Arial"/>
        </w:rPr>
        <w:t xml:space="preserve">V4R does not erase V5 or reuse its final controller. It changes the scientific question and experimental boundary: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Dimension</w:t>
            </w:r>
          </w:p>
        </w:tc>
        <w:tc>
          <w:tcPr>
            <w:tcW w:type="dxa" w:w="312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V5</w:t>
            </w:r>
          </w:p>
        </w:tc>
        <w:tc>
          <w:tcPr>
            <w:tcW w:type="dxa" w:w="312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V4R</w:t>
            </w:r>
          </w:p>
        </w:tc>
      </w:tr>
      <w:tr>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Main objective</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mixed energy/grid-stress objective</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incremental squared 1 h/3 h ramp impact</w:t>
            </w:r>
          </w:p>
        </w:tc>
      </w:tr>
      <w:tr>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Learned origin</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behavior cloning plus TD3+BC</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random initialization plus PPO reward only</w:t>
            </w:r>
          </w:p>
        </w:tc>
      </w:tr>
      <w:tr>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Geography</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CAISO-derived slot archetypes</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six separately sourced market/BA cases</w:t>
            </w:r>
          </w:p>
        </w:tc>
      </w:tr>
      <w:tr>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Data cadence</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five minutes</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one hour</w:t>
            </w:r>
          </w:p>
        </w:tc>
      </w:tr>
      <w:tr>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Final aggregation</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individual trained networks</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fixed equal-action mean of five members</w:t>
            </w:r>
          </w:p>
        </w:tc>
      </w:tr>
      <w:tr>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Cost role</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central objective component</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separate 2% guardrail and secondary outcome</w:t>
            </w:r>
          </w:p>
        </w:tc>
      </w:tr>
      <w:tr>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Demand charges</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secondary sensitivity existed</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explicitly out of scope</w:t>
            </w:r>
          </w:p>
        </w:tc>
      </w:tr>
      <w:tr>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Test discipline</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frozen confirmation and transfer scopes</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validation freeze then one sealed opening</w:t>
            </w:r>
          </w:p>
        </w:tc>
      </w:tr>
    </w:tbl>
    <w:p>
      <w:pPr>
        <w:spacing w:after="120"/>
      </w:pPr>
    </w:p>
    <w:p>
      <w:pPr>
        <w:spacing w:after="120" w:line="276"/>
      </w:pPr>
      <w:r>
        <w:rPr>
          <w:rFonts w:ascii="Arial" w:cs="Arial" w:eastAsia="Arial" w:hAnsi="Arial"/>
        </w:rPr>
        <w:t xml:space="preserve">The continuity is the deterministic feasibility principle. Both studies refuse to let a neural policy violate conservation, capacity, or deadlines. The change is that V4R removes the demonstration teacher and makes ramp impact the primary estimand.</w:t>
      </w:r>
    </w:p>
    <w:p>
      <w:pPr>
        <w:pStyle w:val="Heading2"/>
        <w:keepNext/>
      </w:pPr>
      <w:r>
        <w:rPr>
          <w:rFonts w:ascii="Arial" w:cs="Arial" w:eastAsia="Arial" w:hAnsi="Arial"/>
        </w:rPr>
        <w:t xml:space="preserve">2.3 What V4R still does not prove</w:t>
      </w:r>
    </w:p>
    <w:p>
      <w:pPr>
        <w:spacing w:after="120" w:line="276"/>
      </w:pPr>
      <w:r>
        <w:rPr>
          <w:rFonts w:ascii="Arial" w:cs="Arial" w:eastAsia="Arial" w:hAnsi="Arial"/>
        </w:rPr>
        <w:t xml:space="preserve">Removing behavior cloning establishes a reward-only origin for the learned preferences. It does not establish the necessity of RL. The fixed decoder may make simple heuristics effective, and the forecasts may provide enough structure for a causal hand-designed policy. A convincing RL-necessity claim would require at least:</w:t>
      </w:r>
    </w:p>
    <w:p>
      <w:pPr>
        <w:pStyle w:val="ListParagraph"/>
        <w:numPr>
          <w:ilvl w:val="0"/>
          <w:numId w:val="3"/>
        </w:numPr>
        <w:spacing w:after="60"/>
      </w:pPr>
      <w:r>
        <w:rPr>
          <w:rFonts w:ascii="Arial" w:cs="Arial" w:eastAsia="Arial" w:hAnsi="Arial"/>
        </w:rPr>
        <w:t xml:space="preserve">an untrained or random-network PPO action comparator;</w:t>
      </w:r>
    </w:p>
    <w:p>
      <w:pPr>
        <w:pStyle w:val="ListParagraph"/>
        <w:numPr>
          <w:ilvl w:val="0"/>
          <w:numId w:val="3"/>
        </w:numPr>
        <w:spacing w:after="60"/>
      </w:pPr>
      <w:r>
        <w:rPr>
          <w:rFonts w:ascii="Arial" w:cs="Arial" w:eastAsia="Arial" w:hAnsi="Arial"/>
        </w:rPr>
        <w:t xml:space="preserve">a simple forecast-aware ramp heuristic with the same decoder;</w:t>
      </w:r>
    </w:p>
    <w:p>
      <w:pPr>
        <w:pStyle w:val="ListParagraph"/>
        <w:numPr>
          <w:ilvl w:val="0"/>
          <w:numId w:val="3"/>
        </w:numPr>
        <w:spacing w:after="60"/>
      </w:pPr>
      <w:r>
        <w:rPr>
          <w:rFonts w:ascii="Arial" w:cs="Arial" w:eastAsia="Arial" w:hAnsi="Arial"/>
        </w:rPr>
        <w:t xml:space="preserve">a no-forecast or forecast-masked PPO ablation;</w:t>
      </w:r>
    </w:p>
    <w:p>
      <w:pPr>
        <w:pStyle w:val="ListParagraph"/>
        <w:numPr>
          <w:ilvl w:val="0"/>
          <w:numId w:val="3"/>
        </w:numPr>
        <w:spacing w:after="60"/>
      </w:pPr>
      <w:r>
        <w:rPr>
          <w:rFonts w:ascii="Arial" w:cs="Arial" w:eastAsia="Arial" w:hAnsi="Arial"/>
        </w:rPr>
        <w:t xml:space="preserve">an equally resourced optimization or model-predictive benchmark; and</w:t>
      </w:r>
    </w:p>
    <w:p>
      <w:pPr>
        <w:pStyle w:val="ListParagraph"/>
        <w:numPr>
          <w:ilvl w:val="0"/>
          <w:numId w:val="3"/>
        </w:numPr>
        <w:spacing w:after="60"/>
      </w:pPr>
      <w:r>
        <w:rPr>
          <w:rFonts w:ascii="Arial" w:cs="Arial" w:eastAsia="Arial" w:hAnsi="Arial"/>
        </w:rPr>
        <w:t xml:space="preserve">repeated end-to-end ensemble training to estimate training variability.</w:t>
      </w:r>
    </w:p>
    <w:p>
      <w:pPr>
        <w:spacing w:after="120" w:line="276"/>
      </w:pPr>
      <w:r>
        <w:rPr>
          <w:rFonts w:ascii="Arial" w:cs="Arial" w:eastAsia="Arial" w:hAnsi="Arial"/>
        </w:rPr>
        <w:t xml:space="preserve">Those experiments are absent. The thesis reports that gap rather than inferring necessity from the success of one trained controller.</w:t>
      </w:r>
    </w:p>
    <w:p>
      <w:pPr>
        <w:pStyle w:val="Heading1"/>
        <w:keepNext/>
        <w:pageBreakBefore/>
      </w:pPr>
      <w:r>
        <w:rPr>
          <w:rFonts w:ascii="Arial" w:cs="Arial" w:eastAsia="Arial" w:hAnsi="Arial"/>
        </w:rPr>
        <w:t xml:space="preserve">3. Related Work</w:t>
      </w:r>
    </w:p>
    <w:p>
      <w:pPr>
        <w:pStyle w:val="Heading2"/>
        <w:keepNext/>
      </w:pPr>
      <w:r>
        <w:rPr>
          <w:rFonts w:ascii="Arial" w:cs="Arial" w:eastAsia="Arial" w:hAnsi="Arial"/>
        </w:rPr>
        <w:t xml:space="preserve">3.1 Electricity-aware geographical load balancing</w:t>
      </w:r>
    </w:p>
    <w:p>
      <w:pPr>
        <w:spacing w:after="120" w:line="276"/>
      </w:pPr>
      <w:r>
        <w:rPr>
          <w:rFonts w:ascii="Arial" w:cs="Arial" w:eastAsia="Arial" w:hAnsi="Arial"/>
        </w:rPr>
        <w:t xml:space="preserve">Qureshi et al. quantified electricity-price variation across geographically distributed Internet systems and showed that routing can exploit it [4]. Rao et al. formalized distributed data-center scheduling in multiple electricity markets under service constraints [5]. Liu et al. extended geographical load balancing to energy and environmental objectives [6]. These papers establish that location is a control variable, but their primary targets are not the incremental physical ramp measure used here.</w:t>
      </w:r>
    </w:p>
    <w:p>
      <w:pPr>
        <w:spacing w:after="120" w:line="276"/>
      </w:pPr>
      <w:r>
        <w:rPr>
          <w:rFonts w:ascii="Arial" w:cs="Arial" w:eastAsia="Arial" w:hAnsi="Arial"/>
        </w:rPr>
        <w:t xml:space="preserve">This thesis retains their central systems idea - computational demand can move among sites - while separating market price from physical grid context. Hub/zonal LMP supplies an economic guardrail. Balancing-area or system net load supplies the physical ramp objective. The separation matters because low price does not necessarily imply low or falling physical net load.</w:t>
      </w:r>
    </w:p>
    <w:p>
      <w:pPr>
        <w:pStyle w:val="Heading2"/>
        <w:keepNext/>
      </w:pPr>
      <w:r>
        <w:rPr>
          <w:rFonts w:ascii="Arial" w:cs="Arial" w:eastAsia="Arial" w:hAnsi="Arial"/>
        </w:rPr>
        <w:t xml:space="preserve">3.2 Temporal workload shifting</w:t>
      </w:r>
    </w:p>
    <w:p>
      <w:pPr>
        <w:spacing w:after="120" w:line="276"/>
      </w:pPr>
      <w:r>
        <w:rPr>
          <w:rFonts w:ascii="Arial" w:cs="Arial" w:eastAsia="Arial" w:hAnsi="Arial"/>
        </w:rPr>
        <w:t xml:space="preserve">GreenSlot scheduled batch work to align with renewable availability [7]. Related green data-center systems use forecasts, batteries, or deferrable jobs to shift power through time. V4R adopts the broad temporal-flexibility concept but uses global earliest-deadline-first accounting and a one-hour control interval. It does not claim to reproduce Borg's production scheduler or application-level SLOs.</w:t>
      </w:r>
    </w:p>
    <w:p>
      <w:pPr>
        <w:pStyle w:val="Heading2"/>
        <w:keepNext/>
      </w:pPr>
      <w:r>
        <w:rPr>
          <w:rFonts w:ascii="Arial" w:cs="Arial" w:eastAsia="Arial" w:hAnsi="Arial"/>
        </w:rPr>
        <w:t xml:space="preserve">3.3 Data-center demand response and grid interaction</w:t>
      </w:r>
    </w:p>
    <w:p>
      <w:pPr>
        <w:spacing w:after="120" w:line="276"/>
      </w:pPr>
      <w:r>
        <w:rPr>
          <w:rFonts w:ascii="Arial" w:cs="Arial" w:eastAsia="Arial" w:hAnsi="Arial"/>
        </w:rPr>
        <w:t xml:space="preserve">Demand response treats controllable load as a balancing resource. Flexible data centers are attractive because software can alter work placement faster than many physical industrial processes. Nevertheless, a simulated reduction in market-scale ramp magnitude is not equivalent to qualification for a wholesale demand-response product. FERC Order 745 provides regulatory context for compensating demand response at LMP [10], but this study models neither market participation nor settlement.</w:t>
      </w:r>
    </w:p>
    <w:p>
      <w:pPr>
        <w:spacing w:after="120" w:line="276"/>
      </w:pPr>
      <w:r>
        <w:rPr>
          <w:rFonts w:ascii="Arial" w:cs="Arial" w:eastAsia="Arial" w:hAnsi="Arial"/>
        </w:rPr>
        <w:t xml:space="preserve">The closest defensible interpretation is grid-interactive scheduling: forecasts inform when flexible compute is executed, and resulting power is audited against native net-load changes. Reliability, telemetry, baselines, dispatch instructions, and performance penalties would be required for a real product.</w:t>
      </w:r>
    </w:p>
    <w:p>
      <w:pPr>
        <w:spacing w:after="120" w:line="276"/>
      </w:pPr>
      <w:r>
        <w:rPr>
          <w:rFonts w:ascii="Arial" w:cs="Arial" w:eastAsia="Arial" w:hAnsi="Arial"/>
        </w:rPr>
        <w:t xml:space="preserve">Production and research systems provide evidence that temporal shifting is technically plausible even though they optimize different signals. Radovanovic et al. describe Google's carbon-aware compute management, which uses day-ahead capacity curves to defer flexible workloads while preserving daily capacity [26]. Wiesner et al. analyze intra-region temporal workload shifting under changing grid carbon intensity [27]. These studies support the availability of temporal flexibility; neither validates V4R's specific ramp metric or its six-market result.</w:t>
      </w:r>
    </w:p>
    <w:p>
      <w:pPr>
        <w:pStyle w:val="Heading2"/>
        <w:keepNext/>
      </w:pPr>
      <w:r>
        <w:rPr>
          <w:rFonts w:ascii="Arial" w:cs="Arial" w:eastAsia="Arial" w:hAnsi="Arial"/>
        </w:rPr>
        <w:t xml:space="preserve">3.4 Ramp flexibility</w:t>
      </w:r>
    </w:p>
    <w:p>
      <w:pPr>
        <w:spacing w:after="120" w:line="276"/>
      </w:pPr>
      <w:r>
        <w:rPr>
          <w:rFonts w:ascii="Arial" w:cs="Arial" w:eastAsia="Arial" w:hAnsi="Arial"/>
        </w:rPr>
        <w:t xml:space="preserve">CAISO's duck-curve materials explain why increasing solar can create a steep late-day net-load ramp [11]. The engineering issue is not renewable generation itself; it is the need for sufficient flexibility as net load changes. V4R uses one-hour and three-hour windows because they are long enough to interact with hourly workload scheduling and short enough to represent operationally meaningful change. It does not claim that those windows are the only relevant ones or that its metric is a reliability standard.</w:t>
      </w:r>
    </w:p>
    <w:p>
      <w:pPr>
        <w:spacing w:after="120" w:line="276"/>
      </w:pPr>
      <w:r>
        <w:rPr>
          <w:rFonts w:ascii="Arial" w:cs="Arial" w:eastAsia="Arial" w:hAnsi="Arial"/>
        </w:rPr>
        <w:t xml:space="preserve">Haider et al. formulate coordinated distributed flexible loads, batteries, and solar as a duck-curve ramp-support problem and report reduced bulk-system ramping in an IEEE-34-node case study [28]. That work supplies a power-systems control precedent for using flexible demand to reduce ramp burden. V4R differs by treating computation as the controllable load and by evaluating historical market-scale trajectories rather than a distribution-network optimal power flow.</w:t>
      </w:r>
    </w:p>
    <w:p>
      <w:pPr>
        <w:pStyle w:val="Heading2"/>
        <w:keepNext/>
      </w:pPr>
      <w:r>
        <w:rPr>
          <w:rFonts w:ascii="Arial" w:cs="Arial" w:eastAsia="Arial" w:hAnsi="Arial"/>
        </w:rPr>
        <w:t xml:space="preserve">3.5 Reinforcement learning and constrained control</w:t>
      </w:r>
    </w:p>
    <w:p>
      <w:pPr>
        <w:spacing w:after="120" w:line="276"/>
      </w:pPr>
      <w:r>
        <w:rPr>
          <w:rFonts w:ascii="Arial" w:cs="Arial" w:eastAsia="Arial" w:hAnsi="Arial"/>
        </w:rPr>
        <w:t xml:space="preserve">PPO alternates environment interaction with multiple minibatch updates to a clipped policy-gradient objective [8]. The actor produces an action distribution; the critic estimates expected return and reduces gradient variance. Stable-Baselines3 supplies the tested implementation used here [9].</w:t>
      </w:r>
    </w:p>
    <w:p>
      <w:pPr>
        <w:spacing w:after="120" w:line="276"/>
      </w:pPr>
      <w:r>
        <w:rPr>
          <w:rFonts w:ascii="Arial" w:cs="Arial" w:eastAsia="Arial" w:hAnsi="Arial"/>
        </w:rPr>
        <w:t xml:space="preserve">Constrained Markov decision processes formalize reward optimization subject to expected costs [12]. Constrained Policy Optimization is one safe-RL approach [13]. V4R takes a structurally different route. Hard workload constraints are not learned and are not enforced only in expectation. A deterministic decoder maps preferences to feasible allocations on every step. A scalar Lagrangian term exists for the soft day-ahead cost guardrail, but all five frozen training runs kept the multiplier at exactly zero because the measured training cost never required a positive penalty.</w:t>
      </w:r>
    </w:p>
    <w:p>
      <w:pPr>
        <w:pStyle w:val="Heading2"/>
        <w:keepNext/>
      </w:pPr>
      <w:r>
        <w:rPr>
          <w:rFonts w:ascii="Arial" w:cs="Arial" w:eastAsia="Arial" w:hAnsi="Arial"/>
        </w:rPr>
        <w:t xml:space="preserve">3.6 Ensembles</w:t>
      </w:r>
    </w:p>
    <w:p>
      <w:pPr>
        <w:spacing w:after="120" w:line="276"/>
      </w:pPr>
      <w:r>
        <w:rPr>
          <w:rFonts w:ascii="Arial" w:cs="Arial" w:eastAsia="Arial" w:hAnsi="Arial"/>
        </w:rPr>
        <w:t xml:space="preserve">Deep ensembles commonly average independently initialized networks [14]. V4R uses equal action averaging for a narrower purpose: to combine five frozen PPO members without learning or selecting weights. It does not use the ensemble as a calibrated uncertainty estimate. All members are invoked, no member is dropped, and the weights remain [0.2, 0.2, 0.2, 0.2, 0.2].</w:t>
      </w:r>
    </w:p>
    <w:p>
      <w:pPr>
        <w:pStyle w:val="Heading2"/>
        <w:keepNext/>
      </w:pPr>
      <w:r>
        <w:rPr>
          <w:rFonts w:ascii="Arial" w:cs="Arial" w:eastAsia="Arial" w:hAnsi="Arial"/>
        </w:rPr>
        <w:t xml:space="preserve">3.7 Workload traces</w:t>
      </w:r>
    </w:p>
    <w:p>
      <w:pPr>
        <w:spacing w:after="120" w:line="276"/>
      </w:pPr>
      <w:r>
        <w:rPr>
          <w:rFonts w:ascii="Arial" w:cs="Arial" w:eastAsia="Arial" w:hAnsi="Arial"/>
        </w:rPr>
        <w:t xml:space="preserve">Borg is Google's large-scale cluster manager [1,2]. Google ClusterData2019 contains eight Borg-cell traces from May 2019 and adds five-minute CPU histograms, allocation sets, and other structure not present in the older 2011 trace [15]. PowerData2019 provides related power-domain observations [16]. Both are distributed under CC-BY 4.0 according to their repository documentation.</w:t>
      </w:r>
    </w:p>
    <w:p>
      <w:pPr>
        <w:spacing w:after="120" w:line="276"/>
      </w:pPr>
      <w:r>
        <w:rPr>
          <w:rFonts w:ascii="Arial" w:cs="Arial" w:eastAsia="Arial" w:hAnsi="Arial"/>
        </w:rPr>
        <w:t xml:space="preserve">Earlier project descriptions can conflate this workload with Google's 2011 trace. That would be inaccurate for this study. ClusterData2011 is a different single-cell, 29-day trace [17]. The implemented workload uses ClusterData2019 cells a-f for the primary study. This distinction matters because trace generation, schema, cell count, and priority semantics differ.</w:t>
      </w:r>
    </w:p>
    <w:p>
      <w:pPr>
        <w:pStyle w:val="Heading1"/>
        <w:keepNext/>
        <w:pageBreakBefore/>
      </w:pPr>
      <w:r>
        <w:rPr>
          <w:rFonts w:ascii="Arial" w:cs="Arial" w:eastAsia="Arial" w:hAnsi="Arial"/>
        </w:rPr>
        <w:t xml:space="preserve">4. Protocol Lineage and Experimental Governance</w:t>
      </w:r>
    </w:p>
    <w:p>
      <w:pPr>
        <w:pStyle w:val="Heading2"/>
        <w:keepNext/>
      </w:pPr>
      <w:r>
        <w:rPr>
          <w:rFonts w:ascii="Arial" w:cs="Arial" w:eastAsia="Arial" w:hAnsi="Arial"/>
        </w:rPr>
        <w:t xml:space="preserve">4.1 Why protocol history matters</w:t>
      </w:r>
    </w:p>
    <w:p>
      <w:pPr>
        <w:spacing w:after="120" w:line="276"/>
      </w:pPr>
      <w:r>
        <w:rPr>
          <w:rFonts w:ascii="Arial" w:cs="Arial" w:eastAsia="Arial" w:hAnsi="Arial"/>
        </w:rPr>
        <w:t xml:space="preserve">The final result followed several failures. Reporting only V4R would conceal the amount of iteration and invite hindsight bias. The repository therefore keeps frozen protocol documents, source hashes, validation decisions, and failure reports for each stage.</w:t>
      </w:r>
    </w:p>
    <w:p>
      <w:pPr>
        <w:spacing w:after="60" w:before="120"/>
        <w:jc w:val="center"/>
      </w:pPr>
      <w:r>
        <w:drawing>
          <wp:inline distT="0" distB="0" distL="0" distR="0">
            <wp:extent cx="6191250" cy="1924050"/>
            <wp:effectExtent t="0" r="0" b="0" l="0"/>
            <wp:docPr id="1" name="Figure 1. Experiment lineage from V1 through V4R and the post-hoc telemetry correction; failed and blocked stages remain visible." descr="Figure 1. Experiment lineage from V1 through V4R and the post-hoc telemetry correction; failed and blocked stages remain visible." title="Figure 1. Experiment lineage from V1 through V4R and the post-hoc telemetry correction; failed and blocked stages remain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9" cstate="none"/>
                    <a:srcRect/>
                    <a:stretch>
                      <a:fillRect/>
                    </a:stretch>
                  </pic:blipFill>
                  <pic:spPr bwMode="auto">
                    <a:xfrm>
                      <a:off x="0" y="0"/>
                      <a:ext cx="6191250" cy="1924050"/>
                    </a:xfrm>
                    <a:prstGeom prst="rect">
                      <a:avLst/>
                    </a:prstGeom>
                  </pic:spPr>
                </pic:pic>
              </a:graphicData>
            </a:graphic>
          </wp:inline>
        </w:drawing>
      </w:r>
    </w:p>
    <w:p>
      <w:pPr>
        <w:spacing w:after="180"/>
        <w:jc w:val="center"/>
      </w:pPr>
      <w:r>
        <w:rPr>
          <w:rFonts w:ascii="Arial" w:cs="Arial" w:eastAsia="Arial" w:hAnsi="Arial"/>
          <w:i/>
          <w:iCs/>
          <w:sz w:val="18"/>
          <w:szCs w:val="18"/>
        </w:rPr>
        <w:t xml:space="preserve">Figure 1. Experiment lineage from V1 through V4R and the post-hoc telemetry correction; failed and blocked stages remain visible.</w:t>
      </w:r>
    </w:p>
    <w:p>
      <w:pPr>
        <w:pStyle w:val="Heading2"/>
        <w:keepNext/>
      </w:pPr>
      <w:r>
        <w:rPr>
          <w:rFonts w:ascii="Arial" w:cs="Arial" w:eastAsia="Arial" w:hAnsi="Arial"/>
        </w:rPr>
        <w:t xml:space="preserve">4.2 V1</w:t>
      </w:r>
    </w:p>
    <w:p>
      <w:pPr>
        <w:spacing w:after="120" w:line="276"/>
      </w:pPr>
      <w:r>
        <w:rPr>
          <w:rFonts w:ascii="Arial" w:cs="Arial" w:eastAsia="Arial" w:hAnsi="Arial"/>
        </w:rPr>
        <w:t xml:space="preserve">V1 used the original pure-RL ramp formulation. A 100k screen looked promising, but the longer confirmation did not satisfy every per-seed, per-market, and behavior gate. The result was published as a failure. The sealed test stayed closed.</w:t>
      </w:r>
    </w:p>
    <w:p>
      <w:pPr>
        <w:pStyle w:val="Heading2"/>
        <w:keepNext/>
      </w:pPr>
      <w:r>
        <w:rPr>
          <w:rFonts w:ascii="Arial" w:cs="Arial" w:eastAsia="Arial" w:hAnsi="Arial"/>
        </w:rPr>
        <w:t xml:space="preserve">4.3 V2</w:t>
      </w:r>
    </w:p>
    <w:p>
      <w:pPr>
        <w:spacing w:after="120" w:line="276"/>
      </w:pPr>
      <w:r>
        <w:rPr>
          <w:rFonts w:ascii="Arial" w:cs="Arial" w:eastAsia="Arial" w:hAnsi="Arial"/>
        </w:rPr>
        <w:t xml:space="preserve">V2 introduced predeclared learning-rate, epoch, KL, and reward-shaping changes. Both candidates failed validation gates. No tolerance was added after seeing the failures, no aggregate mean overrode a failed conjunctive gate, and the test remained closed.</w:t>
      </w:r>
    </w:p>
    <w:p>
      <w:pPr>
        <w:pStyle w:val="Heading2"/>
        <w:keepNext/>
      </w:pPr>
      <w:r>
        <w:rPr>
          <w:rFonts w:ascii="Arial" w:cs="Arial" w:eastAsia="Arial" w:hAnsi="Arial"/>
        </w:rPr>
        <w:t xml:space="preserve">4.4 V3</w:t>
      </w:r>
    </w:p>
    <w:p>
      <w:pPr>
        <w:spacing w:after="120" w:line="276"/>
      </w:pPr>
      <w:r>
        <w:rPr>
          <w:rFonts w:ascii="Arial" w:cs="Arial" w:eastAsia="Arial" w:hAnsi="Arial"/>
        </w:rPr>
        <w:t xml:space="preserve">V3 returned to the stronger original PPO recipe using fresh seeds 2801-2805. Four members passed all strict checks. Seed 2805 produced a small positive MISO native-relative impact, so the all-five validation decision was false. The V3 test remained closed.</w:t>
      </w:r>
    </w:p>
    <w:p>
      <w:pPr>
        <w:pStyle w:val="Heading2"/>
        <w:keepNext/>
      </w:pPr>
      <w:r>
        <w:rPr>
          <w:rFonts w:ascii="Arial" w:cs="Arial" w:eastAsia="Arial" w:hAnsi="Arial"/>
        </w:rPr>
        <w:t xml:space="preserve">4.5 Original V4</w:t>
      </w:r>
    </w:p>
    <w:p>
      <w:pPr>
        <w:spacing w:after="120" w:line="276"/>
      </w:pPr>
      <w:r>
        <w:rPr>
          <w:rFonts w:ascii="Arial" w:cs="Arial" w:eastAsia="Arial" w:hAnsi="Arial"/>
        </w:rPr>
        <w:t xml:space="preserve">Original V4 proposed a deterministic equal-action ensemble of the five V3 members. The required model containers were lost before trustworthy evaluation. The correct record is "blocked and not evaluated," not a score of zero and not a failed performance result.</w:t>
      </w:r>
    </w:p>
    <w:p>
      <w:pPr>
        <w:pStyle w:val="Heading2"/>
        <w:keepNext/>
      </w:pPr>
      <w:r>
        <w:rPr>
          <w:rFonts w:ascii="Arial" w:cs="Arial" w:eastAsia="Arial" w:hAnsi="Arial"/>
        </w:rPr>
        <w:t xml:space="preserve">4.6 V4R recovery</w:t>
      </w:r>
    </w:p>
    <w:p>
      <w:pPr>
        <w:spacing w:after="120" w:line="276"/>
      </w:pPr>
      <w:r>
        <w:rPr>
          <w:rFonts w:ascii="Arial" w:cs="Arial" w:eastAsia="Arial" w:hAnsi="Arial"/>
        </w:rPr>
        <w:t xml:space="preserve">V4R is a new binary identity for recovered containers that reproduce the exact V3 policy tensors, critic tensors, normalizer state, and training provenance. The outer Stable-Baselines3 ZIP containers differ because runtime and ZIP metadata are not content-addressed policy identities. Recovery evidence binds both the new container hashes and the exact internal policy/critic hashes.</w:t>
      </w:r>
    </w:p>
    <w:p>
      <w:pPr>
        <w:spacing w:after="120" w:line="276"/>
      </w:pPr>
      <w:r>
        <w:rPr>
          <w:rFonts w:ascii="Arial" w:cs="Arial" w:eastAsia="Arial" w:hAnsi="Arial"/>
        </w:rPr>
        <w:t xml:space="preserve">There was no new V4R training. Validation evaluated the fixed ensemble over 28 February episodes. Passing validation authorized one March-April opening. The sealed test then ran once over 60 daily episodes. Test data did not change membership, weights, source, forecast, decoder, cost budget, or gates. This is the March-April 2026 sealed test referenced throughout the thesis.</w:t>
      </w:r>
    </w:p>
    <w:p>
      <w:pPr>
        <w:pStyle w:val="Heading2"/>
        <w:keepNext/>
      </w:pPr>
      <w:r>
        <w:rPr>
          <w:rFonts w:ascii="Arial" w:cs="Arial" w:eastAsia="Arial" w:hAnsi="Arial"/>
        </w:rPr>
        <w:t xml:space="preserve">4.7 Post-hoc metric correction</w:t>
      </w:r>
    </w:p>
    <w:p>
      <w:pPr>
        <w:spacing w:after="120" w:line="276"/>
      </w:pPr>
      <w:r>
        <w:rPr>
          <w:rFonts w:ascii="Arial" w:cs="Arial" w:eastAsia="Arial" w:hAnsi="Arial"/>
        </w:rPr>
        <w:t xml:space="preserve">The original environment correctly computed per-market signed adjusted ramps and the primary squared incremental objective. The telemetry bug occurred after those calculations: it exposed a signed cross-market mean, and the evaluator took p95 and maximum without absolute values. Opposite market signs could therefore cancel before the physical summary. In addition, the </w:t>
      </w:r>
      <w:r>
        <w:rPr>
          <w:rFonts w:ascii="Courier New" w:cs="Courier New" w:eastAsia="Courier New" w:hAnsi="Courier New"/>
          <w:sz w:val="20"/>
          <w:szCs w:val="20"/>
          <w:shd w:fill="EEF1F4" w:val="clear"/>
        </w:rPr>
        <w:t xml:space="preserve">semantic_adjustment_l2</w:t>
      </w:r>
      <w:r>
        <w:rPr>
          <w:rFonts w:ascii="Arial" w:cs="Arial" w:eastAsia="Arial" w:hAnsi="Arial"/>
        </w:rPr>
        <w:t xml:space="preserve"> field was a literal zero, and the historical gate name could be misread as a status-quo comparison.</w:t>
      </w:r>
    </w:p>
    <w:p>
      <w:pPr>
        <w:spacing w:after="120" w:line="276"/>
      </w:pPr>
      <w:r>
        <w:rPr>
          <w:rFonts w:ascii="Arial" w:cs="Arial" w:eastAsia="Arial" w:hAnsi="Arial"/>
        </w:rPr>
        <w:t xml:space="preserve">The correction replays the frozen policy with unchanged dynamics and action execution. It pools absolute adjusted ramp magnitudes at the market-timestep level, computes decoder adjustment in comparable decoded work coordinates, and adds explicit status-quo deltas. It reproduces decision- relevant objective, cost, safety, behavior, and action-chain identities. It is post-hoc descriptive evidence, not a fresh test.</w:t>
      </w:r>
    </w:p>
    <w:p>
      <w:pPr>
        <w:spacing w:after="120" w:line="276"/>
      </w:pPr>
      <w:r>
        <w:rPr>
          <w:rFonts w:ascii="Arial" w:cs="Arial" w:eastAsia="Arial" w:hAnsi="Arial"/>
        </w:rPr>
        <w:t xml:space="preserve">The exact ignored V4R containers were no longer available in this clean worktree. Before replay, an isolated deterministic checkpoint reconstruction therefore re-executed the already frozen V3 recipe. This did execute training code after unblinding and is disclosed in the wrapper; it cannot create fresh test evidence. The reconstructed outer ZIP hashes differ, but every policy tensor hash, critic tensor hash, normalizer hash, and ensemble action chain matches the frozen identities. No tuning, selection, weighting, or policy change occurred. The metric replay itself performed no training.</w:t>
      </w:r>
    </w:p>
    <w:p>
      <w:pPr>
        <w:pStyle w:val="Heading1"/>
        <w:keepNext/>
        <w:pageBreakBefore/>
      </w:pPr>
      <w:r>
        <w:rPr>
          <w:rFonts w:ascii="Arial" w:cs="Arial" w:eastAsia="Arial" w:hAnsi="Arial"/>
        </w:rPr>
        <w:t xml:space="preserve">5. Energy Data</w:t>
      </w:r>
    </w:p>
    <w:p>
      <w:pPr>
        <w:pStyle w:val="Heading2"/>
        <w:keepNext/>
      </w:pPr>
      <w:r>
        <w:rPr>
          <w:rFonts w:ascii="Arial" w:cs="Arial" w:eastAsia="Arial" w:hAnsi="Arial"/>
        </w:rPr>
        <w:t xml:space="preserve">5.1 Calendar and common index</w:t>
      </w:r>
    </w:p>
    <w:p>
      <w:pPr>
        <w:spacing w:after="120" w:line="276"/>
      </w:pPr>
      <w:r>
        <w:rPr>
          <w:rFonts w:ascii="Arial" w:cs="Arial" w:eastAsia="Arial" w:hAnsi="Arial"/>
        </w:rPr>
        <w:t xml:space="preserve">The locked calendar contains 5,808 hourly UTC rows from 2025-09-01T00:00:00Z through 2026-05-01T00:00:00Z exclusive: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Split</w:t>
            </w:r>
          </w:p>
        </w:tc>
        <w:tc>
          <w:tcPr>
            <w:tcW w:type="dxa" w:w="312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Months</w:t>
            </w:r>
          </w:p>
        </w:tc>
        <w:tc>
          <w:tcPr>
            <w:tcW w:type="dxa" w:w="312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Purpose</w:t>
            </w:r>
          </w:p>
        </w:tc>
      </w:tr>
      <w:tr>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Train</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2025-09 through 2026-01</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policy learning, normalizers, scales, thresholds, forecast fitting</w:t>
            </w:r>
          </w:p>
        </w:tc>
      </w:tr>
      <w:tr>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Validation</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2026-02</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fixed model/protocol selection and test-opening decision</w:t>
            </w:r>
          </w:p>
        </w:tc>
      </w:tr>
      <w:tr>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Sealed test</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2026-03 and 2026-04</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one authorized generalization evaluation</w:t>
            </w:r>
          </w:p>
        </w:tc>
      </w:tr>
    </w:tbl>
    <w:p>
      <w:pPr>
        <w:spacing w:after="120"/>
      </w:pPr>
    </w:p>
    <w:p>
      <w:pPr>
        <w:spacing w:after="120" w:line="276"/>
      </w:pPr>
      <w:r>
        <w:rPr>
          <w:rFonts w:ascii="Arial" w:cs="Arial" w:eastAsia="Arial" w:hAnsi="Arial"/>
        </w:rPr>
        <w:t xml:space="preserve">Each market must cover the exact common index. Duplicate timestamps, missing hours, mixed interval conventions, or an incomplete source product fail closed. The builder does not shorten the period or drop a market to make the intersection pass.</w:t>
      </w:r>
    </w:p>
    <w:p>
      <w:pPr>
        <w:pStyle w:val="Heading2"/>
        <w:keepNext/>
      </w:pPr>
      <w:r>
        <w:rPr>
          <w:rFonts w:ascii="Arial" w:cs="Arial" w:eastAsia="Arial" w:hAnsi="Arial"/>
        </w:rPr>
        <w:t xml:space="preserve">5.2 Source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Market case</w:t>
            </w:r>
          </w:p>
        </w:tc>
        <w:tc>
          <w:tcPr>
            <w:tcW w:type="dxa" w:w="234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Day-ahead price</w:t>
            </w:r>
          </w:p>
        </w:tc>
        <w:tc>
          <w:tcPr>
            <w:tcW w:type="dxa" w:w="234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Physical demand/renewables</w:t>
            </w:r>
          </w:p>
        </w:tc>
        <w:tc>
          <w:tcPr>
            <w:tcW w:type="dxa" w:w="234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Important geography or terms caveat</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CAISO NP15</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OASIS PRC_LMP v12, TH_NP15_GEN-APND</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EIA CAISO balancing-authority demand/wind/solar fallback</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price hub differs from BA physical context; CAISO attribution/OASIS terms</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ERCOT North</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MIS report 13060, LZ_NORTH</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native-load archives plus report 13052 WGR/PVGR reconstruction</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load-zone price versus ERCOT-system physical tuple; public reuse with notices</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NYISO Zone J</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damlbmp monthly archive, PTID 61761</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Zone J PAL load plus NYCA renewable context</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renewable geography is systemwide; archive correction hashes retained</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MISO Minnesota Hub</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daily DA ex-post LMP, MINN.HUB</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EIA MISO balancing-authority fallback</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restrictive MISO redistribution; derived metrics only</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SPP North Hub</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DA-LMP by settlement location, SPPNORTH_HUB</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EIA SPP balancing-authority fallback</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no clear bulk redistribution license; derived metrics only</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ISO-NE NEMA</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WW_DALMP_ISO daily final report, location 4008</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EIA ISO-NE balancing-authority fallback</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ISO-NE data-use terms; metadata/hashes/derived metrics only</w:t>
            </w:r>
          </w:p>
        </w:tc>
      </w:tr>
    </w:tbl>
    <w:p>
      <w:pPr>
        <w:spacing w:after="120"/>
      </w:pPr>
    </w:p>
    <w:p>
      <w:pPr>
        <w:spacing w:after="120" w:line="276"/>
      </w:pPr>
      <w:r>
        <w:rPr>
          <w:rFonts w:ascii="Arial" w:cs="Arial" w:eastAsia="Arial" w:hAnsi="Arial"/>
        </w:rPr>
        <w:t xml:space="preserve">CAISO OASIS, ERCOT MIS, NYISO archives, MISO market reports, SPP Marketplace Public Data, and ISO-NE reports are cited in [18-23]. EIA Form 930 / Hourly Electric Grid Monitor and the EBA.zip archive are cited in [24].</w:t>
      </w:r>
    </w:p>
    <w:p>
      <w:pPr>
        <w:pStyle w:val="Heading2"/>
        <w:keepNext/>
      </w:pPr>
      <w:r>
        <w:rPr>
          <w:rFonts w:ascii="Arial" w:cs="Arial" w:eastAsia="Arial" w:hAnsi="Arial"/>
        </w:rPr>
        <w:t xml:space="preserve">5.3 Download and raw-field contracts</w:t>
      </w:r>
    </w:p>
    <w:p>
      <w:pPr>
        <w:spacing w:after="120" w:line="276"/>
      </w:pPr>
      <w:r>
        <w:rPr>
          <w:rFonts w:ascii="Arial" w:cs="Arial" w:eastAsia="Arial" w:hAnsi="Arial"/>
        </w:rPr>
        <w:t xml:space="preserve">The source descriptors in </w:t>
      </w:r>
      <w:r>
        <w:rPr>
          <w:rFonts w:ascii="Courier New" w:cs="Courier New" w:eastAsia="Courier New" w:hAnsi="Courier New"/>
          <w:sz w:val="20"/>
          <w:szCs w:val="20"/>
          <w:shd w:fill="EEF1F4" w:val="clear"/>
        </w:rPr>
        <w:t xml:space="preserve">data/energy_model_v3/provenance/source_contract.json</w:t>
      </w:r>
      <w:r>
        <w:rPr>
          <w:rFonts w:ascii="Arial" w:cs="Arial" w:eastAsia="Arial" w:hAnsi="Arial"/>
        </w:rPr>
        <w:t xml:space="preserve"> record authentication, query parameters, feed version, location, native cadence, interval beginning or ending, timezone, DST rule, units, revision policy, retrieval status, licensing, redistribution, and quality flags.</w:t>
      </w:r>
    </w:p>
    <w:p>
      <w:pPr>
        <w:spacing w:after="120" w:line="276"/>
      </w:pPr>
      <w:r>
        <w:rPr>
          <w:rFonts w:ascii="Arial" w:cs="Arial" w:eastAsia="Arial" w:hAnsi="Arial"/>
        </w:rPr>
        <w:t xml:space="preserve">The locked product selectors are:</w:t>
      </w:r>
    </w:p>
    <w:p>
      <w:pPr>
        <w:pStyle w:val="ListParagraph"/>
        <w:numPr>
          <w:ilvl w:val="0"/>
          <w:numId w:val="3"/>
        </w:numPr>
        <w:spacing w:after="60"/>
      </w:pPr>
      <w:r>
        <w:rPr>
          <w:rFonts w:ascii="Arial" w:cs="Arial" w:eastAsia="Arial" w:hAnsi="Arial"/>
        </w:rPr>
        <w:t xml:space="preserve">CAISO price: OASIS </w:t>
      </w:r>
      <w:r>
        <w:rPr>
          <w:rFonts w:ascii="Courier New" w:cs="Courier New" w:eastAsia="Courier New" w:hAnsi="Courier New"/>
          <w:sz w:val="20"/>
          <w:szCs w:val="20"/>
          <w:shd w:fill="EEF1F4" w:val="clear"/>
        </w:rPr>
        <w:t xml:space="preserve">PRC_LMP</w:t>
      </w:r>
      <w:r>
        <w:rPr>
          <w:rFonts w:ascii="Arial" w:cs="Arial" w:eastAsia="Arial" w:hAnsi="Arial"/>
        </w:rPr>
        <w:t xml:space="preserve"> version 12 with</w:t>
      </w:r>
    </w:p>
    <w:p>
      <w:pPr>
        <w:spacing w:after="120" w:line="276"/>
      </w:pPr>
      <w:r>
        <w:rPr>
          <w:rFonts w:ascii="Courier New" w:cs="Courier New" w:eastAsia="Courier New" w:hAnsi="Courier New"/>
          <w:sz w:val="20"/>
          <w:szCs w:val="20"/>
          <w:shd w:fill="EEF1F4" w:val="clear"/>
        </w:rPr>
        <w:t xml:space="preserve">market_run_id=DAM</w:t>
      </w:r>
      <w:r>
        <w:rPr>
          <w:rFonts w:ascii="Arial" w:cs="Arial" w:eastAsia="Arial" w:hAnsi="Arial"/>
        </w:rPr>
        <w:t xml:space="preserve">, </w:t>
      </w:r>
      <w:r>
        <w:rPr>
          <w:rFonts w:ascii="Courier New" w:cs="Courier New" w:eastAsia="Courier New" w:hAnsi="Courier New"/>
          <w:sz w:val="20"/>
          <w:szCs w:val="20"/>
          <w:shd w:fill="EEF1F4" w:val="clear"/>
        </w:rPr>
        <w:t xml:space="preserve">lmp_type=LMP</w:t>
      </w:r>
      <w:r>
        <w:rPr>
          <w:rFonts w:ascii="Arial" w:cs="Arial" w:eastAsia="Arial" w:hAnsi="Arial"/>
        </w:rPr>
        <w:t xml:space="preserve">, and </w:t>
      </w:r>
      <w:r>
        <w:rPr>
          <w:rFonts w:ascii="Courier New" w:cs="Courier New" w:eastAsia="Courier New" w:hAnsi="Courier New"/>
          <w:sz w:val="20"/>
          <w:szCs w:val="20"/>
          <w:shd w:fill="EEF1F4" w:val="clear"/>
        </w:rPr>
        <w:t xml:space="preserve">node=TH_NP15_GEN-APND</w:t>
      </w:r>
      <w:r>
        <w:rPr>
          <w:rFonts w:ascii="Arial" w:cs="Arial" w:eastAsia="Arial" w:hAnsi="Arial"/>
        </w:rPr>
        <w:t xml:space="preserve">;</w:t>
      </w:r>
    </w:p>
    <w:p>
      <w:pPr>
        <w:pStyle w:val="ListParagraph"/>
        <w:numPr>
          <w:ilvl w:val="0"/>
          <w:numId w:val="3"/>
        </w:numPr>
        <w:spacing w:after="60"/>
      </w:pPr>
      <w:r>
        <w:rPr>
          <w:rFonts w:ascii="Arial" w:cs="Arial" w:eastAsia="Arial" w:hAnsi="Arial"/>
        </w:rPr>
        <w:t xml:space="preserve">ERCOT price: MIS report 13060 at </w:t>
      </w:r>
      <w:r>
        <w:rPr>
          <w:rFonts w:ascii="Courier New" w:cs="Courier New" w:eastAsia="Courier New" w:hAnsi="Courier New"/>
          <w:sz w:val="20"/>
          <w:szCs w:val="20"/>
          <w:shd w:fill="EEF1F4" w:val="clear"/>
        </w:rPr>
        <w:t xml:space="preserve">LZ_NORTH</w:t>
      </w:r>
      <w:r>
        <w:rPr>
          <w:rFonts w:ascii="Arial" w:cs="Arial" w:eastAsia="Arial" w:hAnsi="Arial"/>
        </w:rPr>
        <w:t xml:space="preserve">; native physical load from</w:t>
      </w:r>
    </w:p>
    <w:p>
      <w:pPr>
        <w:spacing w:after="120" w:line="276"/>
      </w:pPr>
      <w:r>
        <w:rPr>
          <w:rFonts w:ascii="Courier New" w:cs="Courier New" w:eastAsia="Courier New" w:hAnsi="Courier New"/>
          <w:sz w:val="20"/>
          <w:szCs w:val="20"/>
          <w:shd w:fill="EEF1F4" w:val="clear"/>
        </w:rPr>
        <w:t xml:space="preserve">Native_Load_2025.zip</w:t>
      </w:r>
      <w:r>
        <w:rPr>
          <w:rFonts w:ascii="Arial" w:cs="Arial" w:eastAsia="Arial" w:hAnsi="Arial"/>
        </w:rPr>
        <w:t xml:space="preserve"> and </w:t>
      </w:r>
      <w:r>
        <w:rPr>
          <w:rFonts w:ascii="Courier New" w:cs="Courier New" w:eastAsia="Courier New" w:hAnsi="Courier New"/>
          <w:sz w:val="20"/>
          <w:szCs w:val="20"/>
          <w:shd w:fill="EEF1F4" w:val="clear"/>
        </w:rPr>
        <w:t xml:space="preserve">Native_Load_2026.zip</w:t>
      </w:r>
      <w:r>
        <w:rPr>
          <w:rFonts w:ascii="Arial" w:cs="Arial" w:eastAsia="Arial" w:hAnsi="Arial"/>
        </w:rPr>
        <w:t xml:space="preserve">; renewable reconstruction from report 13052 fields including SCED timestamp, repeated-hour flag, resource name/type, and telemetered net output;</w:t>
      </w:r>
    </w:p>
    <w:p>
      <w:pPr>
        <w:pStyle w:val="ListParagraph"/>
        <w:numPr>
          <w:ilvl w:val="0"/>
          <w:numId w:val="3"/>
        </w:numPr>
        <w:spacing w:after="60"/>
      </w:pPr>
      <w:r>
        <w:rPr>
          <w:rFonts w:ascii="Arial" w:cs="Arial" w:eastAsia="Arial" w:hAnsi="Arial"/>
        </w:rPr>
        <w:t xml:space="preserve">NYISO price: monthly </w:t>
      </w:r>
      <w:r>
        <w:rPr>
          <w:rFonts w:ascii="Courier New" w:cs="Courier New" w:eastAsia="Courier New" w:hAnsi="Courier New"/>
          <w:sz w:val="20"/>
          <w:szCs w:val="20"/>
          <w:shd w:fill="EEF1F4" w:val="clear"/>
        </w:rPr>
        <w:t xml:space="preserve">damlbmp</w:t>
      </w:r>
      <w:r>
        <w:rPr>
          <w:rFonts w:ascii="Arial" w:cs="Arial" w:eastAsia="Arial" w:hAnsi="Arial"/>
        </w:rPr>
        <w:t xml:space="preserve"> archives at Zone J PTID 61761; physical load</w:t>
      </w:r>
    </w:p>
    <w:p>
      <w:pPr>
        <w:spacing w:after="120" w:line="276"/>
      </w:pPr>
      <w:r>
        <w:rPr>
          <w:rFonts w:ascii="Arial" w:cs="Arial" w:eastAsia="Arial" w:hAnsi="Arial"/>
        </w:rPr>
        <w:t xml:space="preserve">from </w:t>
      </w:r>
      <w:r>
        <w:rPr>
          <w:rFonts w:ascii="Courier New" w:cs="Courier New" w:eastAsia="Courier New" w:hAnsi="Courier New"/>
          <w:sz w:val="20"/>
          <w:szCs w:val="20"/>
          <w:shd w:fill="EEF1F4" w:val="clear"/>
        </w:rPr>
        <w:t xml:space="preserve">pal</w:t>
      </w:r>
      <w:r>
        <w:rPr>
          <w:rFonts w:ascii="Arial" w:cs="Arial" w:eastAsia="Arial" w:hAnsi="Arial"/>
        </w:rPr>
        <w:t xml:space="preserve">, with NYCA fuel-mix wind and behind-the-meter solar retained as broader renewable context;</w:t>
      </w:r>
    </w:p>
    <w:p>
      <w:pPr>
        <w:pStyle w:val="ListParagraph"/>
        <w:numPr>
          <w:ilvl w:val="0"/>
          <w:numId w:val="3"/>
        </w:numPr>
        <w:spacing w:after="60"/>
      </w:pPr>
      <w:r>
        <w:rPr>
          <w:rFonts w:ascii="Arial" w:cs="Arial" w:eastAsia="Arial" w:hAnsi="Arial"/>
        </w:rPr>
        <w:t xml:space="preserve">MISO price: </w:t>
      </w:r>
      <w:r>
        <w:rPr>
          <w:rFonts w:ascii="Courier New" w:cs="Courier New" w:eastAsia="Courier New" w:hAnsi="Courier New"/>
          <w:sz w:val="20"/>
          <w:szCs w:val="20"/>
          <w:shd w:fill="EEF1F4" w:val="clear"/>
        </w:rPr>
        <w:t xml:space="preserve">YYYYMMDD_da_expost_lmp.csv</w:t>
      </w:r>
      <w:r>
        <w:rPr>
          <w:rFonts w:ascii="Arial" w:cs="Arial" w:eastAsia="Arial" w:hAnsi="Arial"/>
        </w:rPr>
        <w:t xml:space="preserve">, row</w:t>
      </w:r>
    </w:p>
    <w:p>
      <w:pPr>
        <w:spacing w:after="120" w:line="276"/>
      </w:pPr>
      <w:r>
        <w:rPr>
          <w:rFonts w:ascii="Courier New" w:cs="Courier New" w:eastAsia="Courier New" w:hAnsi="Courier New"/>
          <w:sz w:val="20"/>
          <w:szCs w:val="20"/>
          <w:shd w:fill="EEF1F4" w:val="clear"/>
        </w:rPr>
        <w:t xml:space="preserve">MINN.HUB / Hub / LMP</w:t>
      </w:r>
      <w:r>
        <w:rPr>
          <w:rFonts w:ascii="Arial" w:cs="Arial" w:eastAsia="Arial" w:hAnsi="Arial"/>
        </w:rPr>
        <w:t xml:space="preserve">;</w:t>
      </w:r>
    </w:p>
    <w:p>
      <w:pPr>
        <w:pStyle w:val="ListParagraph"/>
        <w:numPr>
          <w:ilvl w:val="0"/>
          <w:numId w:val="3"/>
        </w:numPr>
        <w:spacing w:after="60"/>
      </w:pPr>
      <w:r>
        <w:rPr>
          <w:rFonts w:ascii="Arial" w:cs="Arial" w:eastAsia="Arial" w:hAnsi="Arial"/>
        </w:rPr>
        <w:t xml:space="preserve">SPP price: hourly</w:t>
      </w:r>
    </w:p>
    <w:p>
      <w:pPr>
        <w:spacing w:after="120" w:line="276"/>
      </w:pPr>
      <w:r>
        <w:rPr>
          <w:rFonts w:ascii="Courier New" w:cs="Courier New" w:eastAsia="Courier New" w:hAnsi="Courier New"/>
          <w:sz w:val="20"/>
          <w:szCs w:val="20"/>
          <w:shd w:fill="EEF1F4" w:val="clear"/>
        </w:rPr>
        <w:t xml:space="preserve">/YYYY/MM/By_Day/DA-LMP-SL-YYYYMMDDHH00.csv</w:t>
      </w:r>
      <w:r>
        <w:rPr>
          <w:rFonts w:ascii="Arial" w:cs="Arial" w:eastAsia="Arial" w:hAnsi="Arial"/>
        </w:rPr>
        <w:t xml:space="preserve"> rows at </w:t>
      </w:r>
      <w:r>
        <w:rPr>
          <w:rFonts w:ascii="Courier New" w:cs="Courier New" w:eastAsia="Courier New" w:hAnsi="Courier New"/>
          <w:sz w:val="20"/>
          <w:szCs w:val="20"/>
          <w:shd w:fill="EEF1F4" w:val="clear"/>
        </w:rPr>
        <w:t xml:space="preserve">SPPNORTH_HUB</w:t>
      </w:r>
      <w:r>
        <w:rPr>
          <w:rFonts w:ascii="Arial" w:cs="Arial" w:eastAsia="Arial" w:hAnsi="Arial"/>
        </w:rPr>
        <w:t xml:space="preserve">;</w:t>
      </w:r>
    </w:p>
    <w:p>
      <w:pPr>
        <w:pStyle w:val="ListParagraph"/>
        <w:numPr>
          <w:ilvl w:val="0"/>
          <w:numId w:val="3"/>
        </w:numPr>
        <w:spacing w:after="60"/>
      </w:pPr>
      <w:r>
        <w:rPr>
          <w:rFonts w:ascii="Arial" w:cs="Arial" w:eastAsia="Arial" w:hAnsi="Arial"/>
        </w:rPr>
        <w:t xml:space="preserve">ISO-NE price: final daily </w:t>
      </w:r>
      <w:r>
        <w:rPr>
          <w:rFonts w:ascii="Courier New" w:cs="Courier New" w:eastAsia="Courier New" w:hAnsi="Courier New"/>
          <w:sz w:val="20"/>
          <w:szCs w:val="20"/>
          <w:shd w:fill="EEF1F4" w:val="clear"/>
        </w:rPr>
        <w:t xml:space="preserve">WW_DALMP_ISO_YYYYMMDD.csv</w:t>
      </w:r>
      <w:r>
        <w:rPr>
          <w:rFonts w:ascii="Arial" w:cs="Arial" w:eastAsia="Arial" w:hAnsi="Arial"/>
        </w:rPr>
        <w:t xml:space="preserve"> at location</w:t>
      </w:r>
    </w:p>
    <w:p>
      <w:pPr>
        <w:spacing w:after="120" w:line="276"/>
      </w:pPr>
      <w:r>
        <w:rPr>
          <w:rFonts w:ascii="Arial" w:cs="Arial" w:eastAsia="Arial" w:hAnsi="Arial"/>
        </w:rPr>
        <w:t xml:space="preserve">4008 (</w:t>
      </w:r>
      <w:r>
        <w:rPr>
          <w:rFonts w:ascii="Courier New" w:cs="Courier New" w:eastAsia="Courier New" w:hAnsi="Courier New"/>
          <w:sz w:val="20"/>
          <w:szCs w:val="20"/>
          <w:shd w:fill="EEF1F4" w:val="clear"/>
        </w:rPr>
        <w:t xml:space="preserve">.Z.NEMASSBOST</w:t>
      </w:r>
      <w:r>
        <w:rPr>
          <w:rFonts w:ascii="Arial" w:cs="Arial" w:eastAsia="Arial" w:hAnsi="Arial"/>
        </w:rPr>
        <w:t xml:space="preserve">); and</w:t>
      </w:r>
    </w:p>
    <w:p>
      <w:pPr>
        <w:pStyle w:val="ListParagraph"/>
        <w:numPr>
          <w:ilvl w:val="0"/>
          <w:numId w:val="3"/>
        </w:numPr>
        <w:spacing w:after="60"/>
      </w:pPr>
      <w:r>
        <w:rPr>
          <w:rFonts w:ascii="Arial" w:cs="Arial" w:eastAsia="Arial" w:hAnsi="Arial"/>
        </w:rPr>
        <w:t xml:space="preserve">EIA physical fallback: hourly balancing-authority series of the form</w:t>
      </w:r>
    </w:p>
    <w:p>
      <w:pPr>
        <w:spacing w:after="120" w:line="276"/>
      </w:pPr>
      <w:r>
        <w:rPr>
          <w:rFonts w:ascii="Courier New" w:cs="Courier New" w:eastAsia="Courier New" w:hAnsi="Courier New"/>
          <w:sz w:val="20"/>
          <w:szCs w:val="20"/>
          <w:shd w:fill="EEF1F4" w:val="clear"/>
        </w:rPr>
        <w:t xml:space="preserve">EBA.&lt;BA&gt;-ALL.D.H</w:t>
      </w:r>
      <w:r>
        <w:rPr>
          <w:rFonts w:ascii="Arial" w:cs="Arial" w:eastAsia="Arial" w:hAnsi="Arial"/>
        </w:rPr>
        <w:t xml:space="preserve">, </w:t>
      </w:r>
      <w:r>
        <w:rPr>
          <w:rFonts w:ascii="Courier New" w:cs="Courier New" w:eastAsia="Courier New" w:hAnsi="Courier New"/>
          <w:sz w:val="20"/>
          <w:szCs w:val="20"/>
          <w:shd w:fill="EEF1F4" w:val="clear"/>
        </w:rPr>
        <w:t xml:space="preserve">EBA.&lt;BA&gt;-ALL.NG.WND.H</w:t>
      </w:r>
      <w:r>
        <w:rPr>
          <w:rFonts w:ascii="Arial" w:cs="Arial" w:eastAsia="Arial" w:hAnsi="Arial"/>
        </w:rPr>
        <w:t xml:space="preserve">, and </w:t>
      </w:r>
      <w:r>
        <w:rPr>
          <w:rFonts w:ascii="Courier New" w:cs="Courier New" w:eastAsia="Courier New" w:hAnsi="Courier New"/>
          <w:sz w:val="20"/>
          <w:szCs w:val="20"/>
          <w:shd w:fill="EEF1F4" w:val="clear"/>
        </w:rPr>
        <w:t xml:space="preserve">EBA.&lt;BA&gt;-ALL.NG.SUN.H</w:t>
      </w:r>
      <w:r>
        <w:rPr>
          <w:rFonts w:ascii="Arial" w:cs="Arial" w:eastAsia="Arial" w:hAnsi="Arial"/>
        </w:rPr>
        <w:t xml:space="preserve"> for demand, wind, and solar.</w:t>
      </w:r>
    </w:p>
    <w:p>
      <w:pPr>
        <w:spacing w:after="120" w:line="276"/>
      </w:pPr>
      <w:r>
        <w:rPr>
          <w:rFonts w:ascii="Arial" w:cs="Arial" w:eastAsia="Arial" w:hAnsi="Arial"/>
        </w:rPr>
        <w:t xml:space="preserve">Examples illustrate why that detail matters:</w:t>
      </w:r>
    </w:p>
    <w:p>
      <w:pPr>
        <w:pStyle w:val="ListParagraph"/>
        <w:numPr>
          <w:ilvl w:val="0"/>
          <w:numId w:val="3"/>
        </w:numPr>
        <w:spacing w:after="60"/>
      </w:pPr>
      <w:r>
        <w:rPr>
          <w:rFonts w:ascii="Arial" w:cs="Arial" w:eastAsia="Arial" w:hAnsi="Arial"/>
        </w:rPr>
        <w:t xml:space="preserve">CAISO price uses </w:t>
      </w:r>
      <w:r>
        <w:rPr>
          <w:rFonts w:ascii="Courier New" w:cs="Courier New" w:eastAsia="Courier New" w:hAnsi="Courier New"/>
          <w:sz w:val="20"/>
          <w:szCs w:val="20"/>
          <w:shd w:fill="EEF1F4" w:val="clear"/>
        </w:rPr>
        <w:t xml:space="preserve">INTERVALSTARTTIME_GMT</w:t>
      </w:r>
      <w:r>
        <w:rPr>
          <w:rFonts w:ascii="Arial" w:cs="Arial" w:eastAsia="Arial" w:hAnsi="Arial"/>
        </w:rPr>
        <w:t xml:space="preserve">; the GMT field is authoritative.</w:t>
      </w:r>
    </w:p>
    <w:p>
      <w:pPr>
        <w:pStyle w:val="ListParagraph"/>
        <w:numPr>
          <w:ilvl w:val="0"/>
          <w:numId w:val="3"/>
        </w:numPr>
        <w:spacing w:after="60"/>
      </w:pPr>
      <w:r>
        <w:rPr>
          <w:rFonts w:ascii="Arial" w:cs="Arial" w:eastAsia="Arial" w:hAnsi="Arial"/>
        </w:rPr>
        <w:t xml:space="preserve">ERCOT local delivery date, hour, interval, and </w:t>
      </w:r>
      <w:r>
        <w:rPr>
          <w:rFonts w:ascii="Courier New" w:cs="Courier New" w:eastAsia="Courier New" w:hAnsi="Courier New"/>
          <w:sz w:val="20"/>
          <w:szCs w:val="20"/>
          <w:shd w:fill="EEF1F4" w:val="clear"/>
        </w:rPr>
        <w:t xml:space="preserve">DSTFlag</w:t>
      </w:r>
      <w:r>
        <w:rPr>
          <w:rFonts w:ascii="Arial" w:cs="Arial" w:eastAsia="Arial" w:hAnsi="Arial"/>
        </w:rPr>
        <w:t xml:space="preserve"> must be parsed</w:t>
      </w:r>
    </w:p>
    <w:p>
      <w:pPr>
        <w:spacing w:after="120" w:line="276"/>
      </w:pPr>
      <w:r>
        <w:rPr>
          <w:rFonts w:ascii="Arial" w:cs="Arial" w:eastAsia="Arial" w:hAnsi="Arial"/>
        </w:rPr>
        <w:t xml:space="preserve">together.</w:t>
      </w:r>
    </w:p>
    <w:p>
      <w:pPr>
        <w:pStyle w:val="ListParagraph"/>
        <w:numPr>
          <w:ilvl w:val="0"/>
          <w:numId w:val="3"/>
        </w:numPr>
        <w:spacing w:after="60"/>
      </w:pPr>
      <w:r>
        <w:rPr>
          <w:rFonts w:ascii="Arial" w:cs="Arial" w:eastAsia="Arial" w:hAnsi="Arial"/>
        </w:rPr>
        <w:t xml:space="preserve">MISO reports fixed EST hour ending; civil-time inference is prohibited.</w:t>
      </w:r>
    </w:p>
    <w:p>
      <w:pPr>
        <w:pStyle w:val="ListParagraph"/>
        <w:numPr>
          <w:ilvl w:val="0"/>
          <w:numId w:val="3"/>
        </w:numPr>
        <w:spacing w:after="60"/>
      </w:pPr>
      <w:r>
        <w:rPr>
          <w:rFonts w:ascii="Arial" w:cs="Arial" w:eastAsia="Arial" w:hAnsi="Arial"/>
        </w:rPr>
        <w:t xml:space="preserve">NYISO archives are corrected over time, so each archive hash is retained.</w:t>
      </w:r>
    </w:p>
    <w:p>
      <w:pPr>
        <w:pStyle w:val="ListParagraph"/>
        <w:numPr>
          <w:ilvl w:val="0"/>
          <w:numId w:val="3"/>
        </w:numPr>
        <w:spacing w:after="60"/>
      </w:pPr>
      <w:r>
        <w:rPr>
          <w:rFonts w:ascii="Arial" w:cs="Arial" w:eastAsia="Arial" w:hAnsi="Arial"/>
        </w:rPr>
        <w:t xml:space="preserve">SPP physical files have rolling retention; collection time is part of</w:t>
      </w:r>
    </w:p>
    <w:p>
      <w:pPr>
        <w:spacing w:after="120" w:line="276"/>
      </w:pPr>
      <w:r>
        <w:rPr>
          <w:rFonts w:ascii="Arial" w:cs="Arial" w:eastAsia="Arial" w:hAnsi="Arial"/>
        </w:rPr>
        <w:t xml:space="preserve">reproducibility.</w:t>
      </w:r>
    </w:p>
    <w:p>
      <w:pPr>
        <w:pStyle w:val="ListParagraph"/>
        <w:numPr>
          <w:ilvl w:val="0"/>
          <w:numId w:val="3"/>
        </w:numPr>
        <w:spacing w:after="60"/>
      </w:pPr>
      <w:r>
        <w:rPr>
          <w:rFonts w:ascii="Arial" w:cs="Arial" w:eastAsia="Arial" w:hAnsi="Arial"/>
        </w:rPr>
        <w:t xml:space="preserve">ISO-NE repeated hour-ending values are resolved using report order.</w:t>
      </w:r>
    </w:p>
    <w:p>
      <w:pPr>
        <w:spacing w:after="120" w:line="276"/>
      </w:pPr>
      <w:r>
        <w:rPr>
          <w:rFonts w:ascii="Arial" w:cs="Arial" w:eastAsia="Arial" w:hAnsi="Arial"/>
        </w:rPr>
        <w:t xml:space="preserve">Raw restricted files are not committed when terms prohibit redistribution. Instead, permissible manifests retain file size, SHA-256, query, and derived coverage evidence. The canonical results are therefore auditable without publishing raw data that the repository is not authorized to redistribute.</w:t>
      </w:r>
    </w:p>
    <w:p>
      <w:pPr>
        <w:pStyle w:val="Heading2"/>
        <w:keepNext/>
      </w:pPr>
      <w:r>
        <w:rPr>
          <w:rFonts w:ascii="Arial" w:cs="Arial" w:eastAsia="Arial" w:hAnsi="Arial"/>
        </w:rPr>
        <w:t xml:space="preserve">5.4 Cleaning and alignment</w:t>
      </w:r>
    </w:p>
    <w:p>
      <w:pPr>
        <w:spacing w:after="120" w:line="276"/>
      </w:pPr>
      <w:r>
        <w:rPr>
          <w:rFonts w:ascii="Arial" w:cs="Arial" w:eastAsia="Arial" w:hAnsi="Arial"/>
        </w:rPr>
        <w:t xml:space="preserve">Native records are normalized to UTC interval start. Subhourly physical products require every contributing interval before hourly aggregation. A five-minute or fifteen-minute hour with a missing interval is rejected rather than forward-filled. Price remains hourly. Physical demand, wind, solar, and price remain separate columns until the canonical join.</w:t>
      </w:r>
    </w:p>
    <w:p>
      <w:pPr>
        <w:spacing w:after="120" w:line="276"/>
      </w:pPr>
      <w:r>
        <w:rPr>
          <w:rFonts w:ascii="Arial" w:cs="Arial" w:eastAsia="Arial" w:hAnsi="Arial"/>
        </w:rPr>
        <w:t xml:space="preserve">Net load is either a defensible source field or is derived exactly once:</w:t>
      </w:r>
    </w:p>
    <w:p>
      <w:pPr>
        <w:spacing w:after="0" w:before="100"/>
      </w:pPr>
      <w:r>
        <w:rPr>
          <w:rFonts w:ascii="Courier New" w:cs="Courier New" w:eastAsia="Courier New" w:hAnsi="Courier New"/>
          <w:b/>
          <w:bCs/>
          <w:sz w:val="17"/>
          <w:szCs w:val="17"/>
        </w:rPr>
        <w:t xml:space="preserve">text</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net_load_mw = gross_demand_mw - wind_mw - solar_mw</w:t>
      </w:r>
    </w:p>
    <w:p>
      <w:pPr>
        <w:spacing w:after="120"/>
      </w:pPr>
    </w:p>
    <w:p>
      <w:pPr>
        <w:spacing w:after="120" w:line="276"/>
      </w:pPr>
      <w:r>
        <w:rPr>
          <w:rFonts w:ascii="Arial" w:cs="Arial" w:eastAsia="Arial" w:hAnsi="Arial"/>
        </w:rPr>
        <w:t xml:space="preserve">CAISO published net demand and NYISO PAL are not double-subtracted. EIA bulk occasionally contains negative renewable adjustments; those values are explicitly clipped to zero before derivation, and affected-hour counts and raw minima remain in the acquisition manifest. This is a disclosed non-negativity normalization, not interpolation.</w:t>
      </w:r>
    </w:p>
    <w:p>
      <w:pPr>
        <w:spacing w:after="120" w:line="276"/>
      </w:pPr>
      <w:r>
        <w:rPr>
          <w:rFonts w:ascii="Arial" w:cs="Arial" w:eastAsia="Arial" w:hAnsi="Arial"/>
        </w:rPr>
        <w:t xml:space="preserve">The builder validates:</w:t>
      </w:r>
    </w:p>
    <w:p>
      <w:pPr>
        <w:pStyle w:val="ListParagraph"/>
        <w:numPr>
          <w:ilvl w:val="0"/>
          <w:numId w:val="3"/>
        </w:numPr>
        <w:spacing w:after="60"/>
      </w:pPr>
      <w:r>
        <w:rPr>
          <w:rFonts w:ascii="Arial" w:cs="Arial" w:eastAsia="Arial" w:hAnsi="Arial"/>
        </w:rPr>
        <w:t xml:space="preserve">one row per market-hour;</w:t>
      </w:r>
    </w:p>
    <w:p>
      <w:pPr>
        <w:pStyle w:val="ListParagraph"/>
        <w:numPr>
          <w:ilvl w:val="0"/>
          <w:numId w:val="3"/>
        </w:numPr>
        <w:spacing w:after="60"/>
      </w:pPr>
      <w:r>
        <w:rPr>
          <w:rFonts w:ascii="Arial" w:cs="Arial" w:eastAsia="Arial" w:hAnsi="Arial"/>
        </w:rPr>
        <w:t xml:space="preserve">a common ordered market set;</w:t>
      </w:r>
    </w:p>
    <w:p>
      <w:pPr>
        <w:pStyle w:val="ListParagraph"/>
        <w:numPr>
          <w:ilvl w:val="0"/>
          <w:numId w:val="3"/>
        </w:numPr>
        <w:spacing w:after="60"/>
      </w:pPr>
      <w:r>
        <w:rPr>
          <w:rFonts w:ascii="Arial" w:cs="Arial" w:eastAsia="Arial" w:hAnsi="Arial"/>
        </w:rPr>
        <w:t xml:space="preserve">finite demand, renewable, price, and forecast values;</w:t>
      </w:r>
    </w:p>
    <w:p>
      <w:pPr>
        <w:pStyle w:val="ListParagraph"/>
        <w:numPr>
          <w:ilvl w:val="0"/>
          <w:numId w:val="3"/>
        </w:numPr>
        <w:spacing w:after="60"/>
      </w:pPr>
      <w:r>
        <w:rPr>
          <w:rFonts w:ascii="Arial" w:cs="Arial" w:eastAsia="Arial" w:hAnsi="Arial"/>
        </w:rPr>
        <w:t xml:space="preserve">positive market scales;</w:t>
      </w:r>
    </w:p>
    <w:p>
      <w:pPr>
        <w:pStyle w:val="ListParagraph"/>
        <w:numPr>
          <w:ilvl w:val="0"/>
          <w:numId w:val="3"/>
        </w:numPr>
        <w:spacing w:after="60"/>
      </w:pPr>
      <w:r>
        <w:rPr>
          <w:rFonts w:ascii="Arial" w:cs="Arial" w:eastAsia="Arial" w:hAnsi="Arial"/>
        </w:rPr>
        <w:t xml:space="preserve">causal forecast issue time;</w:t>
      </w:r>
    </w:p>
    <w:p>
      <w:pPr>
        <w:pStyle w:val="ListParagraph"/>
        <w:numPr>
          <w:ilvl w:val="0"/>
          <w:numId w:val="3"/>
        </w:numPr>
        <w:spacing w:after="60"/>
      </w:pPr>
      <w:r>
        <w:rPr>
          <w:rFonts w:ascii="Arial" w:cs="Arial" w:eastAsia="Arial" w:hAnsi="Arial"/>
        </w:rPr>
        <w:t xml:space="preserve">consistent source and revision identity;</w:t>
      </w:r>
    </w:p>
    <w:p>
      <w:pPr>
        <w:pStyle w:val="ListParagraph"/>
        <w:numPr>
          <w:ilvl w:val="0"/>
          <w:numId w:val="3"/>
        </w:numPr>
        <w:spacing w:after="60"/>
      </w:pPr>
      <w:r>
        <w:rPr>
          <w:rFonts w:ascii="Arial" w:cs="Arial" w:eastAsia="Arial" w:hAnsi="Arial"/>
        </w:rPr>
        <w:t xml:space="preserve">no missing active hour, three-hour warm history, or three-hour terminal</w:t>
      </w:r>
    </w:p>
    <w:p>
      <w:pPr>
        <w:spacing w:after="120" w:line="276"/>
      </w:pPr>
      <w:r>
        <w:rPr>
          <w:rFonts w:ascii="Arial" w:cs="Arial" w:eastAsia="Arial" w:hAnsi="Arial"/>
        </w:rPr>
        <w:t xml:space="preserve">tail; and</w:t>
      </w:r>
    </w:p>
    <w:p>
      <w:pPr>
        <w:pStyle w:val="ListParagraph"/>
        <w:numPr>
          <w:ilvl w:val="0"/>
          <w:numId w:val="3"/>
        </w:numPr>
        <w:spacing w:after="60"/>
      </w:pPr>
      <w:r>
        <w:rPr>
          <w:rFonts w:ascii="Arial" w:cs="Arial" w:eastAsia="Arial" w:hAnsi="Arial"/>
        </w:rPr>
        <w:t xml:space="preserve">exact declared file hashes.</w:t>
      </w:r>
    </w:p>
    <w:p>
      <w:pPr>
        <w:pStyle w:val="Heading2"/>
        <w:keepNext/>
      </w:pPr>
      <w:r>
        <w:rPr>
          <w:rFonts w:ascii="Arial" w:cs="Arial" w:eastAsia="Arial" w:hAnsi="Arial"/>
        </w:rPr>
        <w:t xml:space="preserve">5.5 Normalization</w:t>
      </w:r>
    </w:p>
    <w:p>
      <w:pPr>
        <w:spacing w:after="120" w:line="276"/>
      </w:pPr>
      <w:r>
        <w:rPr>
          <w:rFonts w:ascii="Arial" w:cs="Arial" w:eastAsia="Arial" w:hAnsi="Arial"/>
        </w:rPr>
        <w:t xml:space="preserve">For each market, the training-only Q95 gross demand is the physical scale </w:t>
      </w:r>
      <w:r>
        <w:rPr>
          <w:rFonts w:ascii="Courier New" w:cs="Courier New" w:eastAsia="Courier New" w:hAnsi="Courier New"/>
          <w:sz w:val="20"/>
          <w:szCs w:val="20"/>
          <w:shd w:fill="EEF1F4" w:val="clear"/>
        </w:rPr>
        <w:t xml:space="preserve">S_m</w:t>
      </w:r>
      <w:r>
        <w:rPr>
          <w:rFonts w:ascii="Arial" w:cs="Arial" w:eastAsia="Arial" w:hAnsi="Arial"/>
        </w:rPr>
        <w:t xml:space="preserve">. Training-only means and standard deviations normalize gross and net levels in the observation. Training-only Q90 native absolute ramp thresholds support the smaller residual-tail reward term. February, March, and April do not influence these quantities.</w:t>
      </w:r>
    </w:p>
    <w:p>
      <w:pPr>
        <w:spacing w:after="120" w:line="276"/>
      </w:pPr>
      <w:r>
        <w:rPr>
          <w:rFonts w:ascii="Arial" w:cs="Arial" w:eastAsia="Arial" w:hAnsi="Arial"/>
        </w:rPr>
        <w:t xml:space="preserve">Normalization makes market cases comparable without pretending they have the same MW scale. A normalized ramp value of 0.05 means a change equal to five percent of that market's training Q95 gross demand per hour. It is not a cross-market MW total.</w:t>
      </w:r>
    </w:p>
    <w:p>
      <w:pPr>
        <w:pStyle w:val="Heading2"/>
        <w:keepNext/>
      </w:pPr>
      <w:r>
        <w:rPr>
          <w:rFonts w:ascii="Arial" w:cs="Arial" w:eastAsia="Arial" w:hAnsi="Arial"/>
        </w:rPr>
        <w:t xml:space="preserve">5.6 Forecast construction and leakage control</w:t>
      </w:r>
    </w:p>
    <w:p>
      <w:pPr>
        <w:spacing w:after="120" w:line="276"/>
      </w:pPr>
      <w:r>
        <w:rPr>
          <w:rFonts w:ascii="Arial" w:cs="Arial" w:eastAsia="Arial" w:hAnsi="Arial"/>
        </w:rPr>
        <w:t xml:space="preserve">The policy does not receive realized future load, renewable generation, or real-time price. It receives reconstructed causal gross and net forecasts for one, two, and three hours ahead. The model is an expanding-window ridge regression using only observations whose target time strictly precedes the vintage. Features include observed lags, trailing means, target hour, and day of week.</w:t>
      </w:r>
    </w:p>
    <w:p>
      <w:pPr>
        <w:spacing w:after="120" w:line="276"/>
      </w:pPr>
      <w:r>
        <w:rPr>
          <w:rFonts w:ascii="Arial" w:cs="Arial" w:eastAsia="Arial" w:hAnsi="Arial"/>
        </w:rPr>
        <w:t xml:space="preserve">Daily expanding vintages are fit during training. At the February boundary, the first-five-month model is frozen for validation and test. Every forecast row records target, value, issue time, vintage, horizon, model identifier, and quality. The environment rejects any issue time after the controller timestamp.</w:t>
      </w:r>
    </w:p>
    <w:p>
      <w:pPr>
        <w:spacing w:after="120" w:line="276"/>
      </w:pPr>
      <w:r>
        <w:rPr>
          <w:rFonts w:ascii="Arial" w:cs="Arial" w:eastAsia="Arial" w:hAnsi="Arial"/>
        </w:rPr>
        <w:t xml:space="preserve">These are reconstructed research forecasts, not archived operator forecast products. Their errors are reported by split, but no test error is used to change the policy or model. In short, they are reconstructed causal forecasts with explicit issue and vintage identities.</w:t>
      </w:r>
    </w:p>
    <w:p>
      <w:pPr>
        <w:pStyle w:val="Heading2"/>
        <w:keepNext/>
      </w:pPr>
      <w:r>
        <w:rPr>
          <w:rFonts w:ascii="Arial" w:cs="Arial" w:eastAsia="Arial" w:hAnsi="Arial"/>
        </w:rPr>
        <w:t xml:space="preserve">5.7 Data hashes and manifests</w:t>
      </w:r>
    </w:p>
    <w:p>
      <w:pPr>
        <w:spacing w:after="120" w:line="276"/>
      </w:pPr>
      <w:r>
        <w:rPr>
          <w:rFonts w:ascii="Arial" w:cs="Arial" w:eastAsia="Arial" w:hAnsi="Arial"/>
        </w:rPr>
        <w:t xml:space="preserve">The principal data identities are retained 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Artifact</w:t>
            </w:r>
          </w:p>
        </w:tc>
        <w:tc>
          <w:tcPr>
            <w:tcW w:type="dxa" w:w="468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Role</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data/energy_model_v3/manifest.json</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inventory of native, panel, diagnostic, and protocol artifacts</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data/energy_model_v3/provenance/source_contract.json</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product/geography/timezone/licensing contract</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data/energy_model_v3/provenance/live-acquisition-manifest.json</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actual acquisition, raw hashes, cleaning diagnostics</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data/energy_model_v3/provenance/workload-power-manifest.json</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cell mapping and power-fit hashes</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data/energy_model_v3/forecasts/manifest.json</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forecast vintages, coefficients, errors, and hashes</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output/energy_model_v3/ramp_v6/factory_manifest.json</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per-window panel/fixture hashes consumed by RL</w:t>
            </w:r>
          </w:p>
        </w:tc>
      </w:tr>
    </w:tbl>
    <w:p>
      <w:pPr>
        <w:spacing w:after="120"/>
      </w:pPr>
    </w:p>
    <w:p>
      <w:pPr>
        <w:spacing w:after="120" w:line="276"/>
      </w:pPr>
      <w:r>
        <w:rPr>
          <w:rFonts w:ascii="Arial" w:cs="Arial" w:eastAsia="Arial" w:hAnsi="Arial"/>
        </w:rPr>
        <w:t xml:space="preserve">The factory manifest binds every daily window to its </w:t>
      </w:r>
      <w:r>
        <w:rPr>
          <w:rFonts w:ascii="Courier New" w:cs="Courier New" w:eastAsia="Courier New" w:hAnsi="Courier New"/>
          <w:sz w:val="20"/>
          <w:szCs w:val="20"/>
          <w:shd w:fill="EEF1F4" w:val="clear"/>
        </w:rPr>
        <w:t xml:space="preserve">canonical_panel.csv</w:t>
      </w:r>
      <w:r>
        <w:rPr>
          <w:rFonts w:ascii="Arial" w:cs="Arial" w:eastAsia="Arial" w:hAnsi="Arial"/>
        </w:rPr>
        <w:t xml:space="preserve">, </w:t>
      </w:r>
      <w:r>
        <w:rPr>
          <w:rFonts w:ascii="Courier New" w:cs="Courier New" w:eastAsia="Courier New" w:hAnsi="Courier New"/>
          <w:sz w:val="20"/>
          <w:szCs w:val="20"/>
          <w:shd w:fill="EEF1F4" w:val="clear"/>
        </w:rPr>
        <w:t xml:space="preserve">fixture.json</w:t>
      </w:r>
      <w:r>
        <w:rPr>
          <w:rFonts w:ascii="Arial" w:cs="Arial" w:eastAsia="Arial" w:hAnsi="Arial"/>
        </w:rPr>
        <w:t xml:space="preserve">, forecast vintage, period, split, and source hashes.</w:t>
      </w:r>
    </w:p>
    <w:p>
      <w:pPr>
        <w:pStyle w:val="Heading1"/>
        <w:keepNext/>
        <w:pageBreakBefore/>
      </w:pPr>
      <w:r>
        <w:rPr>
          <w:rFonts w:ascii="Arial" w:cs="Arial" w:eastAsia="Arial" w:hAnsi="Arial"/>
        </w:rPr>
        <w:t xml:space="preserve">6. Workload Trace and Transformation</w:t>
      </w:r>
    </w:p>
    <w:p>
      <w:pPr>
        <w:pStyle w:val="Heading2"/>
        <w:keepNext/>
      </w:pPr>
      <w:r>
        <w:rPr>
          <w:rFonts w:ascii="Arial" w:cs="Arial" w:eastAsia="Arial" w:hAnsi="Arial"/>
        </w:rPr>
        <w:t xml:space="preserve">6.1 Source</w:t>
      </w:r>
    </w:p>
    <w:p>
      <w:pPr>
        <w:spacing w:after="120" w:line="276"/>
      </w:pPr>
      <w:r>
        <w:rPr>
          <w:rFonts w:ascii="Arial" w:cs="Arial" w:eastAsia="Arial" w:hAnsi="Arial"/>
        </w:rPr>
        <w:t xml:space="preserve">The primary workload comes from Google's public BigQuery datasets </w:t>
      </w:r>
      <w:r>
        <w:rPr>
          <w:rFonts w:ascii="Courier New" w:cs="Courier New" w:eastAsia="Courier New" w:hAnsi="Courier New"/>
          <w:sz w:val="20"/>
          <w:szCs w:val="20"/>
          <w:shd w:fill="EEF1F4" w:val="clear"/>
        </w:rPr>
        <w:t xml:space="preserve">google.com:google-cluster-data.clusterdata_2019_{cell}</w:t>
      </w:r>
      <w:r>
        <w:rPr>
          <w:rFonts w:ascii="Arial" w:cs="Arial" w:eastAsia="Arial" w:hAnsi="Arial"/>
        </w:rPr>
        <w:t xml:space="preserve"> for cells a-f. ClusterData2019 covers eight Borg cells during May 2019 and is approximately 2.4 TiB compressed in its hosted representation [15]. The repository retains derived curves and hashes, not the full BigQuery tables.</w:t>
      </w:r>
    </w:p>
    <w:p>
      <w:pPr>
        <w:spacing w:after="120" w:line="276"/>
      </w:pPr>
      <w:r>
        <w:rPr>
          <w:rFonts w:ascii="Arial" w:cs="Arial" w:eastAsia="Arial" w:hAnsi="Arial"/>
        </w:rPr>
        <w:t xml:space="preserve">PowerData2019 provides measurements from power domains associated with those cells [16]. Per-cell affine fits transform normalized CPU use into proxy facility power.</w:t>
      </w:r>
    </w:p>
    <w:p>
      <w:pPr>
        <w:pStyle w:val="Heading2"/>
        <w:keepNext/>
      </w:pPr>
      <w:r>
        <w:rPr>
          <w:rFonts w:ascii="Arial" w:cs="Arial" w:eastAsia="Arial" w:hAnsi="Arial"/>
        </w:rPr>
        <w:t xml:space="preserve">6.2 Extraction from usage and collection events</w:t>
      </w:r>
    </w:p>
    <w:p>
      <w:pPr>
        <w:spacing w:after="120" w:line="276"/>
      </w:pPr>
      <w:r>
        <w:rPr>
          <w:rFonts w:ascii="Arial" w:cs="Arial" w:eastAsia="Arial" w:hAnsi="Arial"/>
        </w:rPr>
        <w:t xml:space="preserve">The extraction uses </w:t>
      </w:r>
      <w:r>
        <w:rPr>
          <w:rFonts w:ascii="Courier New" w:cs="Courier New" w:eastAsia="Courier New" w:hAnsi="Courier New"/>
          <w:sz w:val="20"/>
          <w:szCs w:val="20"/>
          <w:shd w:fill="EEF1F4" w:val="clear"/>
        </w:rPr>
        <w:t xml:space="preserve">instance_usage</w:t>
      </w:r>
      <w:r>
        <w:rPr>
          <w:rFonts w:ascii="Arial" w:cs="Arial" w:eastAsia="Arial" w:hAnsi="Arial"/>
        </w:rPr>
        <w:t xml:space="preserve"> as the measured CPU-use source and joins collection metadata from </w:t>
      </w:r>
      <w:r>
        <w:rPr>
          <w:rFonts w:ascii="Courier New" w:cs="Courier New" w:eastAsia="Courier New" w:hAnsi="Courier New"/>
          <w:sz w:val="20"/>
          <w:szCs w:val="20"/>
          <w:shd w:fill="EEF1F4" w:val="clear"/>
        </w:rPr>
        <w:t xml:space="preserve">collection_events</w:t>
      </w:r>
      <w:r>
        <w:rPr>
          <w:rFonts w:ascii="Arial" w:cs="Arial" w:eastAsia="Arial" w:hAnsi="Arial"/>
        </w:rPr>
        <w:t xml:space="preserve">. The no-SLO class is matched priority &lt;=115, covering free and best-effort batch tiers under the trace's documented convention. Five-minute classified batch CPU is summed. The service/residual curve is:</w:t>
      </w:r>
    </w:p>
    <w:p>
      <w:pPr>
        <w:spacing w:after="0" w:before="100"/>
      </w:pPr>
      <w:r>
        <w:rPr>
          <w:rFonts w:ascii="Courier New" w:cs="Courier New" w:eastAsia="Courier New" w:hAnsi="Courier New"/>
          <w:b/>
          <w:bCs/>
          <w:sz w:val="17"/>
          <w:szCs w:val="17"/>
        </w:rPr>
        <w:t xml:space="preserve">text</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service_cpu = aggregate_cpu - classified_no_slo_batch_cpu</w:t>
      </w:r>
    </w:p>
    <w:p>
      <w:pPr>
        <w:spacing w:after="120"/>
      </w:pPr>
    </w:p>
    <w:p>
      <w:pPr>
        <w:spacing w:after="120" w:line="276"/>
      </w:pPr>
      <w:r>
        <w:rPr>
          <w:rFonts w:ascii="Arial" w:cs="Arial" w:eastAsia="Arial" w:hAnsi="Arial"/>
        </w:rPr>
        <w:t xml:space="preserve">The residual includes matched production priorities and any usage without a matched priority record. The repository does not claim that every residual sample has an observed production priority. At every timestep it verifies:</w:t>
      </w:r>
    </w:p>
    <w:p>
      <w:pPr>
        <w:spacing w:after="0" w:before="100"/>
      </w:pPr>
      <w:r>
        <w:rPr>
          <w:rFonts w:ascii="Courier New" w:cs="Courier New" w:eastAsia="Courier New" w:hAnsi="Courier New"/>
          <w:b/>
          <w:bCs/>
          <w:sz w:val="17"/>
          <w:szCs w:val="17"/>
        </w:rPr>
        <w:t xml:space="preserve">text</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service_demand_norm + batch_demand_norm = cpu_demand_norm</w:t>
      </w:r>
    </w:p>
    <w:p>
      <w:pPr>
        <w:spacing w:after="120"/>
      </w:pPr>
    </w:p>
    <w:p>
      <w:pPr>
        <w:spacing w:after="120" w:line="276"/>
      </w:pPr>
      <w:r>
        <w:rPr>
          <w:rFonts w:ascii="Arial" w:cs="Arial" w:eastAsia="Arial" w:hAnsi="Arial"/>
        </w:rPr>
        <w:t xml:space="preserve">The active trace has 8,929 boundary samples; the final boundary is excluded, leaving 8,928 five-minute intervals, or 744 complete hours.</w:t>
      </w:r>
    </w:p>
    <w:p>
      <w:pPr>
        <w:pStyle w:val="Heading2"/>
        <w:keepNext/>
      </w:pPr>
      <w:r>
        <w:rPr>
          <w:rFonts w:ascii="Arial" w:cs="Arial" w:eastAsia="Arial" w:hAnsi="Arial"/>
        </w:rPr>
        <w:t xml:space="preserve">6.3 Hourly transformation and tiling</w:t>
      </w:r>
    </w:p>
    <w:p>
      <w:pPr>
        <w:spacing w:after="120" w:line="276"/>
      </w:pPr>
      <w:r>
        <w:rPr>
          <w:rFonts w:ascii="Arial" w:cs="Arial" w:eastAsia="Arial" w:hAnsi="Arial"/>
        </w:rPr>
        <w:t xml:space="preserve">Each group of twelve five-minute intervals is averaged into one hourly service value and one hourly batch value. The resulting 744-hour profile is repeated to cover the 5,808-hour energy calendar. The repetition count and every source and derived artifact hash are recorded by market.</w:t>
      </w:r>
    </w:p>
    <w:p>
      <w:pPr>
        <w:spacing w:after="120" w:line="276"/>
      </w:pPr>
      <w:r>
        <w:rPr>
          <w:rFonts w:ascii="Arial" w:cs="Arial" w:eastAsia="Arial" w:hAnsi="Arial"/>
        </w:rPr>
        <w:t xml:space="preserve">This transformation preserves the measured intramonth shape but destroys a contemporaneous relationship between workload and 2025-2026 energy conditions. The original May 2019 absolute timestamps were not used for the later market alignment. Any apparent coordination is created by the controller, not by a historical correlation between the two datasets.</w:t>
      </w:r>
    </w:p>
    <w:p>
      <w:pPr>
        <w:pStyle w:val="Heading2"/>
        <w:keepNext/>
      </w:pPr>
      <w:r>
        <w:rPr>
          <w:rFonts w:ascii="Arial" w:cs="Arial" w:eastAsia="Arial" w:hAnsi="Arial"/>
        </w:rPr>
        <w:t xml:space="preserve">6.4 Workload archetypes and scaling</w:t>
      </w:r>
    </w:p>
    <w:p>
      <w:pPr>
        <w:spacing w:after="120" w:line="276"/>
      </w:pPr>
      <w:r>
        <w:rPr>
          <w:rFonts w:ascii="Arial" w:cs="Arial" w:eastAsia="Arial" w:hAnsi="Arial"/>
        </w:rPr>
        <w:t xml:space="preserve">Cells map to sites as follows: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Market case</w:t>
            </w:r>
          </w:p>
        </w:tc>
        <w:tc>
          <w:tcPr>
            <w:tcW w:type="dxa" w:w="234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Borg cell</w:t>
            </w:r>
          </w:p>
        </w:tc>
        <w:tc>
          <w:tcPr>
            <w:tcW w:type="dxa" w:w="234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Proxy rated power</w:t>
            </w:r>
          </w:p>
        </w:tc>
        <w:tc>
          <w:tcPr>
            <w:tcW w:type="dxa" w:w="234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Compute capacity</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CAISO NP15</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a</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100 MW</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1.0</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ERCOT North</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b</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100 MW</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1.0</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NYISO Zone J</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c</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100 MW</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1.0</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MISO Minnesota Hub</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d</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100 MW</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1.0</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SPP North Hub</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e</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100 MW</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1.0</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ISO-NE NEMA</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f</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100 MW</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1.0</w:t>
            </w:r>
          </w:p>
        </w:tc>
      </w:tr>
    </w:tbl>
    <w:p>
      <w:pPr>
        <w:spacing w:after="120"/>
      </w:pPr>
    </w:p>
    <w:p>
      <w:pPr>
        <w:spacing w:after="120" w:line="276"/>
      </w:pPr>
      <w:r>
        <w:rPr>
          <w:rFonts w:ascii="Arial" w:cs="Arial" w:eastAsia="Arial" w:hAnsi="Arial"/>
        </w:rPr>
        <w:t xml:space="preserve">The primary fleet is 600 MW total. A post-selection 1 GW-total sensitivity scales rated power, compute capacity, arrivals, and warm power together to 166.6667 MW per site. A larger 1 GW-per-site case is a stress configuration, not the primary result.</w:t>
      </w:r>
    </w:p>
    <w:p>
      <w:pPr>
        <w:spacing w:after="120" w:line="276"/>
      </w:pPr>
      <w:r>
        <w:rPr>
          <w:rFonts w:ascii="Arial" w:cs="Arial" w:eastAsia="Arial" w:hAnsi="Arial"/>
        </w:rPr>
        <w:t xml:space="preserve">For each cell, proxy power is:</w:t>
      </w:r>
    </w:p>
    <w:p>
      <w:pPr>
        <w:spacing w:after="0" w:before="100"/>
      </w:pPr>
      <w:r>
        <w:rPr>
          <w:rFonts w:ascii="Courier New" w:cs="Courier New" w:eastAsia="Courier New" w:hAnsi="Courier New"/>
          <w:b/>
          <w:bCs/>
          <w:sz w:val="17"/>
          <w:szCs w:val="17"/>
        </w:rPr>
        <w:t xml:space="preserve">text</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power_fraction = idle_fraction + slope * cpu_utilization</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power_mw = rated_power_mw * power_fraction</w:t>
      </w:r>
    </w:p>
    <w:p>
      <w:pPr>
        <w:spacing w:after="120"/>
      </w:pPr>
    </w:p>
    <w:p>
      <w:pPr>
        <w:spacing w:after="120" w:line="276"/>
      </w:pPr>
      <w:r>
        <w:rPr>
          <w:rFonts w:ascii="Arial" w:cs="Arial" w:eastAsia="Arial" w:hAnsi="Arial"/>
        </w:rPr>
        <w:t xml:space="preserve">The affine coefficients are fitted from PowerData2019. The model omits cooling control, PUE variation, UPS losses, storage, generators, and network equipment.</w:t>
      </w:r>
    </w:p>
    <w:p>
      <w:pPr>
        <w:pStyle w:val="Heading2"/>
        <w:keepNext/>
      </w:pPr>
      <w:r>
        <w:rPr>
          <w:rFonts w:ascii="Arial" w:cs="Arial" w:eastAsia="Arial" w:hAnsi="Arial"/>
        </w:rPr>
        <w:t xml:space="preserve">6.5 Admission envelope and conservation</w:t>
      </w:r>
    </w:p>
    <w:p>
      <w:pPr>
        <w:spacing w:after="120" w:line="276"/>
      </w:pPr>
      <w:r>
        <w:rPr>
          <w:rFonts w:ascii="Arial" w:cs="Arial" w:eastAsia="Arial" w:hAnsi="Arial"/>
        </w:rPr>
        <w:t xml:space="preserve">The hourly environment reserves at least 25% of fleet compute capacity for carried batch work. Immediate service is limited to 75%, and newly admitted batch is limited to 10%. If measured batch would exceed the batch-arrival envelope, the excess is conserved by reclassifying it as immediate service. It is not dropped. Both service and admitted batch must stay within their frozen causal envelopes.</w:t>
      </w:r>
    </w:p>
    <w:p>
      <w:pPr>
        <w:spacing w:after="120" w:line="276"/>
      </w:pPr>
      <w:r>
        <w:rPr>
          <w:rFonts w:ascii="Arial" w:cs="Arial" w:eastAsia="Arial" w:hAnsi="Arial"/>
        </w:rPr>
        <w:t xml:space="preserve">The environment tracks cumulative batch arrival, completion, and queue mass. The conservation identity is checked after every decision:</w:t>
      </w:r>
    </w:p>
    <w:p>
      <w:pPr>
        <w:spacing w:after="0" w:before="100"/>
      </w:pPr>
      <w:r>
        <w:rPr>
          <w:rFonts w:ascii="Courier New" w:cs="Courier New" w:eastAsia="Courier New" w:hAnsi="Courier New"/>
          <w:b/>
          <w:bCs/>
          <w:sz w:val="17"/>
          <w:szCs w:val="17"/>
        </w:rPr>
        <w:t xml:space="preserve">text</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arrived_batch - completed_batch - queued_batch = 0</w:t>
      </w:r>
    </w:p>
    <w:p>
      <w:pPr>
        <w:spacing w:after="120"/>
      </w:pPr>
    </w:p>
    <w:p>
      <w:pPr>
        <w:pStyle w:val="Heading2"/>
        <w:keepNext/>
      </w:pPr>
      <w:r>
        <w:rPr>
          <w:rFonts w:ascii="Arial" w:cs="Arial" w:eastAsia="Arial" w:hAnsi="Arial"/>
        </w:rPr>
        <w:t xml:space="preserve">6.6 Deadline semantics</w:t>
      </w:r>
    </w:p>
    <w:p>
      <w:pPr>
        <w:spacing w:after="120" w:line="276"/>
      </w:pPr>
      <w:r>
        <w:rPr>
          <w:rFonts w:ascii="Arial" w:cs="Arial" w:eastAsia="Arial" w:hAnsi="Arial"/>
        </w:rPr>
        <w:t xml:space="preserve">The trace supplies measured no-SLO job durations but not the deadlines used in this control experiment. For each cell, the deadline horizon is:</w:t>
      </w:r>
    </w:p>
    <w:p>
      <w:pPr>
        <w:spacing w:after="0" w:before="100"/>
      </w:pPr>
      <w:r>
        <w:rPr>
          <w:rFonts w:ascii="Courier New" w:cs="Courier New" w:eastAsia="Courier New" w:hAnsi="Courier New"/>
          <w:b/>
          <w:bCs/>
          <w:sz w:val="17"/>
          <w:szCs w:val="17"/>
        </w:rPr>
        <w:t xml:space="preserve">text</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deadline_hours = ceil(2 * measured_mean_completed_no_slo_duration / 1 hour)</w:t>
      </w:r>
    </w:p>
    <w:p>
      <w:pPr>
        <w:spacing w:after="120"/>
      </w:pPr>
    </w:p>
    <w:p>
      <w:pPr>
        <w:spacing w:after="120" w:line="276"/>
      </w:pPr>
      <w:r>
        <w:rPr>
          <w:rFonts w:ascii="Arial" w:cs="Arial" w:eastAsia="Arial" w:hAnsi="Arial"/>
        </w:rPr>
        <w:t xml:space="preserve">Every hourly batch arrival receives that experimental horizon. Global EDF drains the earliest deadlines first. These deadlines are not Borg SLOs, customer commitments, or production queue policies.</w:t>
      </w:r>
    </w:p>
    <w:p>
      <w:pPr>
        <w:pStyle w:val="Heading2"/>
        <w:keepNext/>
      </w:pPr>
      <w:r>
        <w:rPr>
          <w:rFonts w:ascii="Arial" w:cs="Arial" w:eastAsia="Arial" w:hAnsi="Arial"/>
        </w:rPr>
        <w:t xml:space="preserve">6.7 Workload quality checks</w:t>
      </w:r>
    </w:p>
    <w:p>
      <w:pPr>
        <w:spacing w:after="120" w:line="276"/>
      </w:pPr>
      <w:r>
        <w:rPr>
          <w:rFonts w:ascii="Arial" w:cs="Arial" w:eastAsia="Arial" w:hAnsi="Arial"/>
        </w:rPr>
        <w:t xml:space="preserve">Quality checks cover:</w:t>
      </w:r>
    </w:p>
    <w:p>
      <w:pPr>
        <w:pStyle w:val="ListParagraph"/>
        <w:numPr>
          <w:ilvl w:val="0"/>
          <w:numId w:val="3"/>
        </w:numPr>
        <w:spacing w:after="60"/>
      </w:pPr>
      <w:r>
        <w:rPr>
          <w:rFonts w:ascii="Arial" w:cs="Arial" w:eastAsia="Arial" w:hAnsi="Arial"/>
        </w:rPr>
        <w:t xml:space="preserve">exact service-plus-batch conservation in the extracted curves;</w:t>
      </w:r>
    </w:p>
    <w:p>
      <w:pPr>
        <w:pStyle w:val="ListParagraph"/>
        <w:numPr>
          <w:ilvl w:val="0"/>
          <w:numId w:val="3"/>
        </w:numPr>
        <w:spacing w:after="60"/>
      </w:pPr>
      <w:r>
        <w:rPr>
          <w:rFonts w:ascii="Arial" w:cs="Arial" w:eastAsia="Arial" w:hAnsi="Arial"/>
        </w:rPr>
        <w:t xml:space="preserve">complete groups of twelve five-minute intervals;</w:t>
      </w:r>
    </w:p>
    <w:p>
      <w:pPr>
        <w:pStyle w:val="ListParagraph"/>
        <w:numPr>
          <w:ilvl w:val="0"/>
          <w:numId w:val="3"/>
        </w:numPr>
        <w:spacing w:after="60"/>
      </w:pPr>
      <w:r>
        <w:rPr>
          <w:rFonts w:ascii="Arial" w:cs="Arial" w:eastAsia="Arial" w:hAnsi="Arial"/>
        </w:rPr>
        <w:t xml:space="preserve">finite nonnegative workload values;</w:t>
      </w:r>
    </w:p>
    <w:p>
      <w:pPr>
        <w:pStyle w:val="ListParagraph"/>
        <w:numPr>
          <w:ilvl w:val="0"/>
          <w:numId w:val="3"/>
        </w:numPr>
        <w:spacing w:after="60"/>
      </w:pPr>
      <w:r>
        <w:rPr>
          <w:rFonts w:ascii="Arial" w:cs="Arial" w:eastAsia="Arial" w:hAnsi="Arial"/>
        </w:rPr>
        <w:t xml:space="preserve">source and power-model hashes;</w:t>
      </w:r>
    </w:p>
    <w:p>
      <w:pPr>
        <w:pStyle w:val="ListParagraph"/>
        <w:numPr>
          <w:ilvl w:val="0"/>
          <w:numId w:val="3"/>
        </w:numPr>
        <w:spacing w:after="60"/>
      </w:pPr>
      <w:r>
        <w:rPr>
          <w:rFonts w:ascii="Arial" w:cs="Arial" w:eastAsia="Arial" w:hAnsi="Arial"/>
        </w:rPr>
        <w:t xml:space="preserve">per-cell hourly row counts and repetition counts;</w:t>
      </w:r>
    </w:p>
    <w:p>
      <w:pPr>
        <w:pStyle w:val="ListParagraph"/>
        <w:numPr>
          <w:ilvl w:val="0"/>
          <w:numId w:val="3"/>
        </w:numPr>
        <w:spacing w:after="60"/>
      </w:pPr>
      <w:r>
        <w:rPr>
          <w:rFonts w:ascii="Arial" w:cs="Arial" w:eastAsia="Arial" w:hAnsi="Arial"/>
        </w:rPr>
        <w:t xml:space="preserve">fleet service and batch envelope compliance;</w:t>
      </w:r>
    </w:p>
    <w:p>
      <w:pPr>
        <w:pStyle w:val="ListParagraph"/>
        <w:numPr>
          <w:ilvl w:val="0"/>
          <w:numId w:val="3"/>
        </w:numPr>
        <w:spacing w:after="60"/>
      </w:pPr>
      <w:r>
        <w:rPr>
          <w:rFonts w:ascii="Arial" w:cs="Arial" w:eastAsia="Arial" w:hAnsi="Arial"/>
        </w:rPr>
        <w:t xml:space="preserve">zero new arrivals in the terminal tail;</w:t>
      </w:r>
    </w:p>
    <w:p>
      <w:pPr>
        <w:pStyle w:val="ListParagraph"/>
        <w:numPr>
          <w:ilvl w:val="0"/>
          <w:numId w:val="3"/>
        </w:numPr>
        <w:spacing w:after="60"/>
      </w:pPr>
      <w:r>
        <w:rPr>
          <w:rFonts w:ascii="Arial" w:cs="Arial" w:eastAsia="Arial" w:hAnsi="Arial"/>
        </w:rPr>
        <w:t xml:space="preserve">exact queue conservation;</w:t>
      </w:r>
    </w:p>
    <w:p>
      <w:pPr>
        <w:pStyle w:val="ListParagraph"/>
        <w:numPr>
          <w:ilvl w:val="0"/>
          <w:numId w:val="3"/>
        </w:numPr>
        <w:spacing w:after="60"/>
      </w:pPr>
      <w:r>
        <w:rPr>
          <w:rFonts w:ascii="Arial" w:cs="Arial" w:eastAsia="Arial" w:hAnsi="Arial"/>
        </w:rPr>
        <w:t xml:space="preserve">zero expired work and zero terminal work in accepted results; and</w:t>
      </w:r>
    </w:p>
    <w:p>
      <w:pPr>
        <w:pStyle w:val="ListParagraph"/>
        <w:numPr>
          <w:ilvl w:val="0"/>
          <w:numId w:val="3"/>
        </w:numPr>
        <w:spacing w:after="60"/>
      </w:pPr>
      <w:r>
        <w:rPr>
          <w:rFonts w:ascii="Arial" w:cs="Arial" w:eastAsia="Arial" w:hAnsi="Arial"/>
        </w:rPr>
        <w:t xml:space="preserve">consistent scaling of work, capacity, and power.</w:t>
      </w:r>
    </w:p>
    <w:p>
      <w:pPr>
        <w:pStyle w:val="Heading2"/>
        <w:keepNext/>
      </w:pPr>
      <w:r>
        <w:rPr>
          <w:rFonts w:ascii="Arial" w:cs="Arial" w:eastAsia="Arial" w:hAnsi="Arial"/>
        </w:rPr>
        <w:t xml:space="preserve">6.8 External-validity limitations</w:t>
      </w:r>
    </w:p>
    <w:p>
      <w:pPr>
        <w:spacing w:after="120" w:line="276"/>
      </w:pPr>
      <w:r>
        <w:rPr>
          <w:rFonts w:ascii="Arial" w:cs="Arial" w:eastAsia="Arial" w:hAnsi="Arial"/>
        </w:rPr>
        <w:t xml:space="preserve">ClusterData2019 is a Google production trace, but it is still one company's 2019 workload. The primary map uses six cells and reuses the same 744-hour profile across eight months. It omits application latency, data locality, residency, wide-area bandwidth, migration energy, replication, failures, and customer-specific SLOs. The c-h robustness map overlaps the primary workload population; it is c-h overlapping/non-independent robustness and reuses primary-population cells.</w:t>
      </w:r>
    </w:p>
    <w:p>
      <w:pPr>
        <w:pStyle w:val="Heading1"/>
        <w:keepNext/>
        <w:pageBreakBefore/>
      </w:pPr>
      <w:r>
        <w:rPr>
          <w:rFonts w:ascii="Arial" w:cs="Arial" w:eastAsia="Arial" w:hAnsi="Arial"/>
        </w:rPr>
        <w:t xml:space="preserve">7. System Architecture and Code</w:t>
      </w:r>
    </w:p>
    <w:p>
      <w:pPr>
        <w:spacing w:after="60" w:before="120"/>
        <w:jc w:val="center"/>
      </w:pPr>
      <w:r>
        <w:drawing>
          <wp:inline distT="0" distB="0" distL="0" distR="0">
            <wp:extent cx="6191250" cy="3324225"/>
            <wp:effectExtent t="0" r="0" b="0" l="0"/>
            <wp:docPr id="2" name="Figure 2. End-to-end architecture from source acquisition through causal panel construction, PPO preferences, constraint decoding, and hash-bound evaluation." descr="Figure 2. End-to-end architecture from source acquisition through causal panel construction, PPO preferences, constraint decoding, and hash-bound evaluation." title="Figure 2. End-to-end architecture from source acquisition through causal panel construction, PPO preferences, constraint decoding, and hash-bound evalu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descr=""/>
                    <pic:cNvPicPr>
                      <a:picLocks noChangeAspect="1" noChangeArrowheads="1"/>
                    </pic:cNvPicPr>
                  </pic:nvPicPr>
                  <pic:blipFill>
                    <a:blip r:embed="rId10" cstate="none"/>
                    <a:srcRect/>
                    <a:stretch>
                      <a:fillRect/>
                    </a:stretch>
                  </pic:blipFill>
                  <pic:spPr bwMode="auto">
                    <a:xfrm>
                      <a:off x="0" y="0"/>
                      <a:ext cx="6191250" cy="3324225"/>
                    </a:xfrm>
                    <a:prstGeom prst="rect">
                      <a:avLst/>
                    </a:prstGeom>
                  </pic:spPr>
                </pic:pic>
              </a:graphicData>
            </a:graphic>
          </wp:inline>
        </w:drawing>
      </w:r>
    </w:p>
    <w:p>
      <w:pPr>
        <w:spacing w:after="180"/>
        <w:jc w:val="center"/>
      </w:pPr>
      <w:r>
        <w:rPr>
          <w:rFonts w:ascii="Arial" w:cs="Arial" w:eastAsia="Arial" w:hAnsi="Arial"/>
          <w:i/>
          <w:iCs/>
          <w:sz w:val="18"/>
          <w:szCs w:val="18"/>
        </w:rPr>
        <w:t xml:space="preserve">Figure 2. End-to-end architecture from source acquisition through causal panel construction, PPO preferences, constraint decoding, and hash-bound evaluation.</w:t>
      </w:r>
    </w:p>
    <w:p>
      <w:pPr>
        <w:pStyle w:val="Heading2"/>
        <w:keepNext/>
      </w:pPr>
      <w:r>
        <w:rPr>
          <w:rFonts w:ascii="Arial" w:cs="Arial" w:eastAsia="Arial" w:hAnsi="Arial"/>
        </w:rPr>
        <w:t xml:space="preserve">7.1 Data pipeline</w:t>
      </w:r>
    </w:p>
    <w:p>
      <w:pPr>
        <w:spacing w:after="120" w:line="276"/>
      </w:pPr>
      <w:r>
        <w:rPr>
          <w:rFonts w:ascii="Courier New" w:cs="Courier New" w:eastAsia="Courier New" w:hAnsi="Courier New"/>
          <w:sz w:val="20"/>
          <w:szCs w:val="20"/>
          <w:shd w:fill="EEF1F4" w:val="clear"/>
        </w:rPr>
        <w:t xml:space="preserve">energy_model_v3</w:t>
      </w:r>
      <w:r>
        <w:rPr>
          <w:rFonts w:ascii="Arial" w:cs="Arial" w:eastAsia="Arial" w:hAnsi="Arial"/>
        </w:rPr>
        <w:t xml:space="preserve"> acquires and parses native products, validates coverage, normalizes timestamp semantics, constructs the common panel, derives or retains net load, reconstructs forecasts, and writes provenance manifests. </w:t>
      </w:r>
      <w:r>
        <w:rPr>
          <w:rFonts w:ascii="Courier New" w:cs="Courier New" w:eastAsia="Courier New" w:hAnsi="Courier New"/>
          <w:sz w:val="20"/>
          <w:szCs w:val="20"/>
          <w:shd w:fill="EEF1F4" w:val="clear"/>
        </w:rPr>
        <w:t xml:space="preserve">energy_model_v3/ramp_factory.py</w:t>
      </w:r>
      <w:r>
        <w:rPr>
          <w:rFonts w:ascii="Arial" w:cs="Arial" w:eastAsia="Arial" w:hAnsi="Arial"/>
        </w:rPr>
        <w:t xml:space="preserve"> joins market rows with workload and power models, fits training-only statistics, and writes one daily environment artifact per split.</w:t>
      </w:r>
    </w:p>
    <w:p>
      <w:pPr>
        <w:pStyle w:val="Heading2"/>
        <w:keepNext/>
      </w:pPr>
      <w:r>
        <w:rPr>
          <w:rFonts w:ascii="Arial" w:cs="Arial" w:eastAsia="Arial" w:hAnsi="Arial"/>
        </w:rPr>
        <w:t xml:space="preserve">7.2 Environment factory</w:t>
      </w:r>
    </w:p>
    <w:p>
      <w:pPr>
        <w:spacing w:after="120" w:line="276"/>
      </w:pPr>
      <w:r>
        <w:rPr>
          <w:rFonts w:ascii="Courier New" w:cs="Courier New" w:eastAsia="Courier New" w:hAnsi="Courier New"/>
          <w:sz w:val="20"/>
          <w:szCs w:val="20"/>
          <w:shd w:fill="EEF1F4" w:val="clear"/>
        </w:rPr>
        <w:t xml:space="preserve">env/ramp_v6/factory.py</w:t>
      </w:r>
      <w:r>
        <w:rPr>
          <w:rFonts w:ascii="Arial" w:cs="Arial" w:eastAsia="Arial" w:hAnsi="Arial"/>
        </w:rPr>
        <w:t xml:space="preserve"> accepts an </w:t>
      </w:r>
      <w:r>
        <w:rPr>
          <w:rFonts w:ascii="Courier New" w:cs="Courier New" w:eastAsia="Courier New" w:hAnsi="Courier New"/>
          <w:sz w:val="20"/>
          <w:szCs w:val="20"/>
          <w:shd w:fill="EEF1F4" w:val="clear"/>
        </w:rPr>
        <w:t xml:space="preserve">EnvRequest</w:t>
      </w:r>
      <w:r>
        <w:rPr>
          <w:rFonts w:ascii="Arial" w:cs="Arial" w:eastAsia="Arial" w:hAnsi="Arial"/>
        </w:rPr>
        <w:t xml:space="preserve"> containing split, seed, rank, window, training flag, cost epsilon, and Lagrangian multiplier. It verifies the factory manifest and each daily panel/fixture hash before creating an environment. Training resets cycle through a seeded randomized ordering of training windows. Validation and test request fixed windows.</w:t>
      </w:r>
    </w:p>
    <w:p>
      <w:pPr>
        <w:pStyle w:val="Heading2"/>
        <w:keepNext/>
      </w:pPr>
      <w:r>
        <w:rPr>
          <w:rFonts w:ascii="Arial" w:cs="Arial" w:eastAsia="Arial" w:hAnsi="Arial"/>
        </w:rPr>
        <w:t xml:space="preserve">7.3 Episode structure</w:t>
      </w:r>
    </w:p>
    <w:p>
      <w:pPr>
        <w:spacing w:after="120" w:line="276"/>
      </w:pPr>
      <w:r>
        <w:rPr>
          <w:rFonts w:ascii="Arial" w:cs="Arial" w:eastAsia="Arial" w:hAnsi="Arial"/>
        </w:rPr>
        <w:t xml:space="preserve">Each daily window contains:</w:t>
      </w:r>
    </w:p>
    <w:p>
      <w:pPr>
        <w:pStyle w:val="ListParagraph"/>
        <w:numPr>
          <w:ilvl w:val="0"/>
          <w:numId w:val="3"/>
        </w:numPr>
        <w:spacing w:after="60"/>
      </w:pPr>
      <w:r>
        <w:rPr>
          <w:rFonts w:ascii="Arial" w:cs="Arial" w:eastAsia="Arial" w:hAnsi="Arial"/>
        </w:rPr>
        <w:t xml:space="preserve">three warm-history hours;</w:t>
      </w:r>
    </w:p>
    <w:p>
      <w:pPr>
        <w:pStyle w:val="ListParagraph"/>
        <w:numPr>
          <w:ilvl w:val="0"/>
          <w:numId w:val="3"/>
        </w:numPr>
        <w:spacing w:after="60"/>
      </w:pPr>
      <w:r>
        <w:rPr>
          <w:rFonts w:ascii="Arial" w:cs="Arial" w:eastAsia="Arial" w:hAnsi="Arial"/>
        </w:rPr>
        <w:t xml:space="preserve">24 active controller hours; and</w:t>
      </w:r>
    </w:p>
    <w:p>
      <w:pPr>
        <w:pStyle w:val="ListParagraph"/>
        <w:numPr>
          <w:ilvl w:val="0"/>
          <w:numId w:val="3"/>
        </w:numPr>
        <w:spacing w:after="60"/>
      </w:pPr>
      <w:r>
        <w:rPr>
          <w:rFonts w:ascii="Arial" w:cs="Arial" w:eastAsia="Arial" w:hAnsi="Arial"/>
        </w:rPr>
        <w:t xml:space="preserve">three no-arrival terminal-tail hours.</w:t>
      </w:r>
    </w:p>
    <w:p>
      <w:pPr>
        <w:spacing w:after="120" w:line="276"/>
      </w:pPr>
      <w:r>
        <w:rPr>
          <w:rFonts w:ascii="Arial" w:cs="Arial" w:eastAsia="Arial" w:hAnsi="Arial"/>
        </w:rPr>
        <w:t xml:space="preserve">The first scored three-hour ramp therefore has real antecedent power and load. The tail closes ramp windows and lets queued work finish. Tail power, cost, objective, decoder, and safety metrics are included exactly once.</w:t>
      </w:r>
    </w:p>
    <w:p>
      <w:pPr>
        <w:pStyle w:val="Heading2"/>
        <w:keepNext/>
      </w:pPr>
      <w:r>
        <w:rPr>
          <w:rFonts w:ascii="Arial" w:cs="Arial" w:eastAsia="Arial" w:hAnsi="Arial"/>
        </w:rPr>
        <w:t xml:space="preserve">7.4 Observation space</w:t>
      </w:r>
    </w:p>
    <w:p>
      <w:pPr>
        <w:spacing w:after="120" w:line="276"/>
      </w:pPr>
      <w:r>
        <w:rPr>
          <w:rFonts w:ascii="Arial" w:cs="Arial" w:eastAsia="Arial" w:hAnsi="Arial"/>
        </w:rPr>
        <w:t xml:space="preserve">For every market, the observation contains:</w:t>
      </w:r>
    </w:p>
    <w:p>
      <w:pPr>
        <w:pStyle w:val="ListParagraph"/>
        <w:numPr>
          <w:ilvl w:val="0"/>
          <w:numId w:val="3"/>
        </w:numPr>
        <w:spacing w:after="60"/>
      </w:pPr>
      <w:r>
        <w:rPr>
          <w:rFonts w:ascii="Arial" w:cs="Arial" w:eastAsia="Arial" w:hAnsi="Arial"/>
        </w:rPr>
        <w:t xml:space="preserve">current and three trailing normalized gross-demand levels;</w:t>
      </w:r>
    </w:p>
    <w:p>
      <w:pPr>
        <w:pStyle w:val="ListParagraph"/>
        <w:numPr>
          <w:ilvl w:val="0"/>
          <w:numId w:val="3"/>
        </w:numPr>
        <w:spacing w:after="60"/>
      </w:pPr>
      <w:r>
        <w:rPr>
          <w:rFonts w:ascii="Arial" w:cs="Arial" w:eastAsia="Arial" w:hAnsi="Arial"/>
        </w:rPr>
        <w:t xml:space="preserve">current and three trailing normalized net-load levels;</w:t>
      </w:r>
    </w:p>
    <w:p>
      <w:pPr>
        <w:pStyle w:val="ListParagraph"/>
        <w:numPr>
          <w:ilvl w:val="0"/>
          <w:numId w:val="3"/>
        </w:numPr>
        <w:spacing w:after="60"/>
      </w:pPr>
      <w:r>
        <w:rPr>
          <w:rFonts w:ascii="Arial" w:cs="Arial" w:eastAsia="Arial" w:hAnsi="Arial"/>
        </w:rPr>
        <w:t xml:space="preserve">closed native one-hour and three-hour ramps;</w:t>
      </w:r>
    </w:p>
    <w:p>
      <w:pPr>
        <w:pStyle w:val="ListParagraph"/>
        <w:numPr>
          <w:ilvl w:val="0"/>
          <w:numId w:val="3"/>
        </w:numPr>
        <w:spacing w:after="60"/>
      </w:pPr>
      <w:r>
        <w:rPr>
          <w:rFonts w:ascii="Arial" w:cs="Arial" w:eastAsia="Arial" w:hAnsi="Arial"/>
        </w:rPr>
        <w:t xml:space="preserve">causal gross and net forecast endpoints for h+1, h+2, and h+3;</w:t>
      </w:r>
    </w:p>
    <w:p>
      <w:pPr>
        <w:pStyle w:val="ListParagraph"/>
        <w:numPr>
          <w:ilvl w:val="0"/>
          <w:numId w:val="3"/>
        </w:numPr>
        <w:spacing w:after="60"/>
      </w:pPr>
      <w:r>
        <w:rPr>
          <w:rFonts w:ascii="Arial" w:cs="Arial" w:eastAsia="Arial" w:hAnsi="Arial"/>
        </w:rPr>
        <w:t xml:space="preserve">maximum upward forecast movement over the next three hours;</w:t>
      </w:r>
    </w:p>
    <w:p>
      <w:pPr>
        <w:pStyle w:val="ListParagraph"/>
        <w:numPr>
          <w:ilvl w:val="0"/>
          <w:numId w:val="3"/>
        </w:numPr>
        <w:spacing w:after="60"/>
      </w:pPr>
      <w:r>
        <w:rPr>
          <w:rFonts w:ascii="Arial" w:cs="Arial" w:eastAsia="Arial" w:hAnsi="Arial"/>
        </w:rPr>
        <w:t xml:space="preserve">day-ahead LMP, forecast-vintage age, and quality;</w:t>
      </w:r>
    </w:p>
    <w:p>
      <w:pPr>
        <w:pStyle w:val="ListParagraph"/>
        <w:numPr>
          <w:ilvl w:val="0"/>
          <w:numId w:val="3"/>
        </w:numPr>
        <w:spacing w:after="60"/>
      </w:pPr>
      <w:r>
        <w:rPr>
          <w:rFonts w:ascii="Arial" w:cs="Arial" w:eastAsia="Arial" w:hAnsi="Arial"/>
        </w:rPr>
        <w:t xml:space="preserve">prior modeled power; and</w:t>
      </w:r>
    </w:p>
    <w:p>
      <w:pPr>
        <w:pStyle w:val="ListParagraph"/>
        <w:numPr>
          <w:ilvl w:val="0"/>
          <w:numId w:val="3"/>
        </w:numPr>
        <w:spacing w:after="60"/>
      </w:pPr>
      <w:r>
        <w:rPr>
          <w:rFonts w:ascii="Arial" w:cs="Arial" w:eastAsia="Arial" w:hAnsi="Arial"/>
        </w:rPr>
        <w:t xml:space="preserve">market and site scale information.</w:t>
      </w:r>
    </w:p>
    <w:p>
      <w:pPr>
        <w:spacing w:after="120" w:line="276"/>
      </w:pPr>
      <w:r>
        <w:rPr>
          <w:rFonts w:ascii="Arial" w:cs="Arial" w:eastAsia="Arial" w:hAnsi="Arial"/>
        </w:rPr>
        <w:t xml:space="preserve">For every site and the global queue, it contains current service and batch arrivals, queued work, capacity, affine power parameters, EDF deadline buckets, episode progress, tail state, hour, and day of week. Realized future market or workload values are excluded.</w:t>
      </w:r>
    </w:p>
    <w:p>
      <w:pPr>
        <w:pStyle w:val="Heading2"/>
        <w:keepNext/>
      </w:pPr>
      <w:r>
        <w:rPr>
          <w:rFonts w:ascii="Arial" w:cs="Arial" w:eastAsia="Arial" w:hAnsi="Arial"/>
        </w:rPr>
        <w:t xml:space="preserve">7.5 Action space</w:t>
      </w:r>
    </w:p>
    <w:p>
      <w:pPr>
        <w:spacing w:after="120" w:line="276"/>
      </w:pPr>
      <w:r>
        <w:rPr>
          <w:rFonts w:ascii="Arial" w:cs="Arial" w:eastAsia="Arial" w:hAnsi="Arial"/>
        </w:rPr>
        <w:t xml:space="preserve">With N sites the bounded action has </w:t>
      </w:r>
      <w:r>
        <w:rPr>
          <w:rFonts w:ascii="Courier New" w:cs="Courier New" w:eastAsia="Courier New" w:hAnsi="Courier New"/>
          <w:sz w:val="20"/>
          <w:szCs w:val="20"/>
          <w:shd w:fill="EEF1F4" w:val="clear"/>
        </w:rPr>
        <w:t xml:space="preserve">2N+1</w:t>
      </w:r>
      <w:r>
        <w:rPr>
          <w:rFonts w:ascii="Arial" w:cs="Arial" w:eastAsia="Arial" w:hAnsi="Arial"/>
        </w:rPr>
        <w:t xml:space="preserve"> coordinates:</w:t>
      </w:r>
    </w:p>
    <w:p>
      <w:pPr>
        <w:pStyle w:val="ListParagraph"/>
        <w:numPr>
          <w:ilvl w:val="0"/>
          <w:numId w:val="2"/>
        </w:numPr>
        <w:spacing w:after="60"/>
      </w:pPr>
      <w:r>
        <w:rPr>
          <w:rFonts w:ascii="Arial" w:cs="Arial" w:eastAsia="Arial" w:hAnsi="Arial"/>
        </w:rPr>
        <w:t xml:space="preserve">N service destination preferences;</w:t>
      </w:r>
    </w:p>
    <w:p>
      <w:pPr>
        <w:pStyle w:val="ListParagraph"/>
        <w:numPr>
          <w:ilvl w:val="0"/>
          <w:numId w:val="2"/>
        </w:numPr>
        <w:spacing w:after="60"/>
      </w:pPr>
      <w:r>
        <w:rPr>
          <w:rFonts w:ascii="Arial" w:cs="Arial" w:eastAsia="Arial" w:hAnsi="Arial"/>
        </w:rPr>
        <w:t xml:space="preserve">one total optional batch-execution preference; and</w:t>
      </w:r>
    </w:p>
    <w:p>
      <w:pPr>
        <w:pStyle w:val="ListParagraph"/>
        <w:numPr>
          <w:ilvl w:val="0"/>
          <w:numId w:val="2"/>
        </w:numPr>
        <w:spacing w:after="60"/>
      </w:pPr>
      <w:r>
        <w:rPr>
          <w:rFonts w:ascii="Arial" w:cs="Arial" w:eastAsia="Arial" w:hAnsi="Arial"/>
        </w:rPr>
        <w:t xml:space="preserve">N batch destination preferences.</w:t>
      </w:r>
    </w:p>
    <w:p>
      <w:pPr>
        <w:spacing w:after="120" w:line="276"/>
      </w:pPr>
      <w:r>
        <w:rPr>
          <w:rFonts w:ascii="Arial" w:cs="Arial" w:eastAsia="Arial" w:hAnsi="Arial"/>
        </w:rPr>
        <w:t xml:space="preserve">For six sites, the action dimension is 13 and every coordinate lies in [-6, 6]. The coordinates are preferences, not MW dispatch instructions. Softmax converts the destination preferences into unconstrained requested work shares. The scalar maps linearly from [-6, 6] to [0, 1] of queued batch.</w:t>
      </w:r>
    </w:p>
    <w:p>
      <w:pPr>
        <w:pStyle w:val="Heading2"/>
        <w:keepNext/>
      </w:pPr>
      <w:r>
        <w:rPr>
          <w:rFonts w:ascii="Arial" w:cs="Arial" w:eastAsia="Arial" w:hAnsi="Arial"/>
        </w:rPr>
        <w:t xml:space="preserve">7.6 Status quo</w:t>
      </w:r>
    </w:p>
    <w:p>
      <w:pPr>
        <w:spacing w:after="120" w:line="276"/>
      </w:pPr>
      <w:r>
        <w:rPr>
          <w:rFonts w:ascii="Arial" w:cs="Arial" w:eastAsia="Arial" w:hAnsi="Arial"/>
        </w:rPr>
        <w:t xml:space="preserve">The operational status quo is an evaluation-only controller. It executes immediate service and uses a fixed local/no-deferral-style batch rule through the same environment and feasibility machinery. It has an independent shadow queue for cost calculation so the learned policy cannot influence its baseline. Status quo and policy are evaluated on identical market, workload, and forecast windows.</w:t>
      </w:r>
    </w:p>
    <w:p>
      <w:pPr>
        <w:spacing w:after="120" w:line="276"/>
      </w:pPr>
      <w:r>
        <w:rPr>
          <w:rFonts w:ascii="Arial" w:cs="Arial" w:eastAsia="Arial" w:hAnsi="Arial"/>
        </w:rPr>
        <w:t xml:space="preserve">Status quo is not the same as the native grid baseline. Native grid means net load without any modeled data-center power. Status quo includes modeled data-center power under the baseline operating policy. This distinction is central to the corrected results.</w:t>
      </w:r>
    </w:p>
    <w:p>
      <w:pPr>
        <w:pStyle w:val="Heading2"/>
        <w:keepNext/>
      </w:pPr>
      <w:r>
        <w:rPr>
          <w:rFonts w:ascii="Arial" w:cs="Arial" w:eastAsia="Arial" w:hAnsi="Arial"/>
        </w:rPr>
        <w:t xml:space="preserve">7.7 Constraint-only decoder</w:t>
      </w:r>
    </w:p>
    <w:p>
      <w:pPr>
        <w:spacing w:after="120" w:line="276"/>
      </w:pPr>
      <w:r>
        <w:rPr>
          <w:rFonts w:ascii="Arial" w:cs="Arial" w:eastAsia="Arial" w:hAnsi="Arial"/>
        </w:rPr>
        <w:t xml:space="preserve">The decoder applies four deterministic operations:</w:t>
      </w:r>
    </w:p>
    <w:p>
      <w:pPr>
        <w:pStyle w:val="ListParagraph"/>
        <w:numPr>
          <w:ilvl w:val="0"/>
          <w:numId w:val="2"/>
        </w:numPr>
        <w:spacing w:after="60"/>
      </w:pPr>
      <w:r>
        <w:rPr>
          <w:rFonts w:ascii="Arial" w:cs="Arial" w:eastAsia="Arial" w:hAnsi="Arial"/>
          <w:b/>
          <w:bCs/>
        </w:rPr>
        <w:t xml:space="preserve">Service projection.</w:t>
      </w:r>
      <w:r>
        <w:rPr>
          <w:rFonts w:ascii="Arial" w:cs="Arial" w:eastAsia="Arial" w:hAnsi="Arial"/>
        </w:rPr>
        <w:t xml:space="preserve"> Softmax service preferences are projected onto the</w:t>
      </w:r>
    </w:p>
    <w:p>
      <w:pPr>
        <w:spacing w:after="120" w:line="276"/>
      </w:pPr>
      <w:r>
        <w:rPr>
          <w:rFonts w:ascii="Arial" w:cs="Arial" w:eastAsia="Arial" w:hAnsi="Arial"/>
        </w:rPr>
        <w:t xml:space="preserve">capped simplex with exact service total and per-site capacity.</w:t>
      </w:r>
    </w:p>
    <w:p>
      <w:pPr>
        <w:pStyle w:val="ListParagraph"/>
        <w:numPr>
          <w:ilvl w:val="0"/>
          <w:numId w:val="2"/>
        </w:numPr>
        <w:spacing w:after="60"/>
      </w:pPr>
      <w:r>
        <w:rPr>
          <w:rFonts w:ascii="Arial" w:cs="Arial" w:eastAsia="Arial" w:hAnsi="Arial"/>
          <w:b/>
          <w:bCs/>
        </w:rPr>
        <w:t xml:space="preserve">Batch total.</w:t>
      </w:r>
      <w:r>
        <w:rPr>
          <w:rFonts w:ascii="Arial" w:cs="Arial" w:eastAsia="Arial" w:hAnsi="Arial"/>
        </w:rPr>
        <w:t xml:space="preserve"> The requested total is clipped between the causal</w:t>
      </w:r>
    </w:p>
    <w:p>
      <w:pPr>
        <w:spacing w:after="120" w:line="276"/>
      </w:pPr>
      <w:r>
        <w:rPr>
          <w:rFonts w:ascii="Arial" w:cs="Arial" w:eastAsia="Arial" w:hAnsi="Arial"/>
        </w:rPr>
        <w:t xml:space="preserve">deadline-mandatory minimum and available residual capacity.</w:t>
      </w:r>
    </w:p>
    <w:p>
      <w:pPr>
        <w:pStyle w:val="ListParagraph"/>
        <w:numPr>
          <w:ilvl w:val="0"/>
          <w:numId w:val="2"/>
        </w:numPr>
        <w:spacing w:after="60"/>
      </w:pPr>
      <w:r>
        <w:rPr>
          <w:rFonts w:ascii="Arial" w:cs="Arial" w:eastAsia="Arial" w:hAnsi="Arial"/>
          <w:b/>
          <w:bCs/>
        </w:rPr>
        <w:t xml:space="preserve">Batch destination projection.</w:t>
      </w:r>
      <w:r>
        <w:rPr>
          <w:rFonts w:ascii="Arial" w:cs="Arial" w:eastAsia="Arial" w:hAnsi="Arial"/>
        </w:rPr>
        <w:t xml:space="preserve"> Destination preferences are projected</w:t>
      </w:r>
    </w:p>
    <w:p>
      <w:pPr>
        <w:spacing w:after="120" w:line="276"/>
      </w:pPr>
      <w:r>
        <w:rPr>
          <w:rFonts w:ascii="Arial" w:cs="Arial" w:eastAsia="Arial" w:hAnsi="Arial"/>
        </w:rPr>
        <w:t xml:space="preserve">onto residual capacity with the selected exact total.</w:t>
      </w:r>
    </w:p>
    <w:p>
      <w:pPr>
        <w:pStyle w:val="ListParagraph"/>
        <w:numPr>
          <w:ilvl w:val="0"/>
          <w:numId w:val="2"/>
        </w:numPr>
        <w:spacing w:after="60"/>
      </w:pPr>
      <w:r>
        <w:rPr>
          <w:rFonts w:ascii="Arial" w:cs="Arial" w:eastAsia="Arial" w:hAnsi="Arial"/>
          <w:b/>
          <w:bCs/>
        </w:rPr>
        <w:t xml:space="preserve">Transport.</w:t>
      </w:r>
      <w:r>
        <w:rPr>
          <w:rFonts w:ascii="Arial" w:cs="Arial" w:eastAsia="Arial" w:hAnsi="Arial"/>
        </w:rPr>
        <w:t xml:space="preserve"> Deterministic northwest-corner transport matches EDF origin</w:t>
      </w:r>
    </w:p>
    <w:p>
      <w:pPr>
        <w:spacing w:after="120" w:line="276"/>
      </w:pPr>
      <w:r>
        <w:rPr>
          <w:rFonts w:ascii="Arial" w:cs="Arial" w:eastAsia="Arial" w:hAnsi="Arial"/>
        </w:rPr>
        <w:t xml:space="preserve">drainage to destination execution exactly.</w:t>
      </w:r>
    </w:p>
    <w:p>
      <w:pPr>
        <w:spacing w:after="120" w:line="276"/>
      </w:pPr>
      <w:r>
        <w:rPr>
          <w:rFonts w:ascii="Arial" w:cs="Arial" w:eastAsia="Arial" w:hAnsi="Arial"/>
        </w:rPr>
        <w:t xml:space="preserve">The decoder does not inspect price, ramp reward, forecast direction, or policy value. Its role is feasibility, not optimization. An infeasible causal envelope raises an inspectable error. The emergency fallback is separate telemetry and was never used in the accepted V4R evaluations.</w:t>
      </w:r>
    </w:p>
    <w:p>
      <w:pPr>
        <w:pStyle w:val="Heading2"/>
        <w:keepNext/>
      </w:pPr>
      <w:r>
        <w:rPr>
          <w:rFonts w:ascii="Arial" w:cs="Arial" w:eastAsia="Arial" w:hAnsi="Arial"/>
        </w:rPr>
        <w:t xml:space="preserve">7.8 Semantic decoder adjustment</w:t>
      </w:r>
    </w:p>
    <w:p>
      <w:pPr>
        <w:spacing w:after="120" w:line="276"/>
      </w:pPr>
      <w:r>
        <w:rPr>
          <w:rFonts w:ascii="Arial" w:cs="Arial" w:eastAsia="Arial" w:hAnsi="Arial"/>
        </w:rPr>
        <w:t xml:space="preserve">The corrected adjustment metric does not subtract allocations from logits. Both vectors use decoded work coordinates:</w:t>
      </w:r>
    </w:p>
    <w:p>
      <w:pPr>
        <w:spacing w:after="0" w:before="100"/>
      </w:pPr>
      <w:r>
        <w:rPr>
          <w:rFonts w:ascii="Courier New" w:cs="Courier New" w:eastAsia="Courier New" w:hAnsi="Courier New"/>
          <w:b/>
          <w:bCs/>
          <w:sz w:val="17"/>
          <w:szCs w:val="17"/>
        </w:rPr>
        <w:t xml:space="preserve">text</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requested = [N requested service amounts,</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1 requested total batch amount,</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N requested batch-destination amounts]</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executed  = [N projected service amounts,</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1 executed total batch amount,</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N projected batch-destination amounts]</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semantic_adjustment_l2 = norm(executed - requested, 2)</w:t>
      </w:r>
    </w:p>
    <w:p>
      <w:pPr>
        <w:spacing w:after="120"/>
      </w:pPr>
    </w:p>
    <w:p>
      <w:pPr>
        <w:spacing w:after="120" w:line="276"/>
      </w:pPr>
      <w:r>
        <w:rPr>
          <w:rFonts w:ascii="Arial" w:cs="Arial" w:eastAsia="Arial" w:hAnsi="Arial"/>
        </w:rPr>
        <w:t xml:space="preserve">The units are compute-work units per hourly decision. Zero means the decoded request already satisfied the hard constraints. Positive values mean ordinary capacity or deadline projection changed the request. This is normal constraint enforcement, not emergency intervention.</w:t>
      </w:r>
    </w:p>
    <w:p>
      <w:pPr>
        <w:pStyle w:val="Heading2"/>
        <w:keepNext/>
      </w:pPr>
      <w:r>
        <w:rPr>
          <w:rFonts w:ascii="Arial" w:cs="Arial" w:eastAsia="Arial" w:hAnsi="Arial"/>
        </w:rPr>
        <w:t xml:space="preserve">7.9 Training and model artifacts</w:t>
      </w:r>
    </w:p>
    <w:p>
      <w:pPr>
        <w:spacing w:after="120" w:line="276"/>
      </w:pPr>
      <w:r>
        <w:rPr>
          <w:rFonts w:ascii="Courier New" w:cs="Courier New" w:eastAsia="Courier New" w:hAnsi="Courier New"/>
          <w:sz w:val="20"/>
          <w:szCs w:val="20"/>
          <w:shd w:fill="EEF1F4" w:val="clear"/>
        </w:rPr>
        <w:t xml:space="preserve">ramp_rl/runner.py</w:t>
      </w:r>
      <w:r>
        <w:rPr>
          <w:rFonts w:ascii="Arial" w:cs="Arial" w:eastAsia="Arial" w:hAnsi="Arial"/>
        </w:rPr>
        <w:t xml:space="preserve"> creates four vectorized environments, wraps them with train-only </w:t>
      </w:r>
      <w:r>
        <w:rPr>
          <w:rFonts w:ascii="Courier New" w:cs="Courier New" w:eastAsia="Courier New" w:hAnsi="Courier New"/>
          <w:sz w:val="20"/>
          <w:szCs w:val="20"/>
          <w:shd w:fill="EEF1F4" w:val="clear"/>
        </w:rPr>
        <w:t xml:space="preserve">VecNormalize</w:t>
      </w:r>
      <w:r>
        <w:rPr>
          <w:rFonts w:ascii="Arial" w:cs="Arial" w:eastAsia="Arial" w:hAnsi="Arial"/>
        </w:rPr>
        <w:t xml:space="preserve">, seeds Python, NumPy, and PyTorch, and trains the Stable-Baselines3 model on CPU. Each checkpoint stores:</w:t>
      </w:r>
    </w:p>
    <w:p>
      <w:pPr>
        <w:pStyle w:val="ListParagraph"/>
        <w:numPr>
          <w:ilvl w:val="0"/>
          <w:numId w:val="3"/>
        </w:numPr>
        <w:spacing w:after="60"/>
      </w:pPr>
      <w:r>
        <w:rPr>
          <w:rFonts w:ascii="Courier New" w:cs="Courier New" w:eastAsia="Courier New" w:hAnsi="Courier New"/>
          <w:sz w:val="20"/>
          <w:szCs w:val="20"/>
          <w:shd w:fill="EEF1F4" w:val="clear"/>
        </w:rPr>
        <w:t xml:space="preserve">model.zip</w:t>
      </w:r>
      <w:r>
        <w:rPr>
          <w:rFonts w:ascii="Arial" w:cs="Arial" w:eastAsia="Arial" w:hAnsi="Arial"/>
        </w:rPr>
        <w:t xml:space="preserve">;</w:t>
      </w:r>
    </w:p>
    <w:p>
      <w:pPr>
        <w:pStyle w:val="ListParagraph"/>
        <w:numPr>
          <w:ilvl w:val="0"/>
          <w:numId w:val="3"/>
        </w:numPr>
        <w:spacing w:after="60"/>
      </w:pPr>
      <w:r>
        <w:rPr>
          <w:rFonts w:ascii="Courier New" w:cs="Courier New" w:eastAsia="Courier New" w:hAnsi="Courier New"/>
          <w:sz w:val="20"/>
          <w:szCs w:val="20"/>
          <w:shd w:fill="EEF1F4" w:val="clear"/>
        </w:rPr>
        <w:t xml:space="preserve">vecnormalize.pkl</w:t>
      </w:r>
      <w:r>
        <w:rPr>
          <w:rFonts w:ascii="Arial" w:cs="Arial" w:eastAsia="Arial" w:hAnsi="Arial"/>
        </w:rPr>
        <w:t xml:space="preserve">;</w:t>
      </w:r>
    </w:p>
    <w:p>
      <w:pPr>
        <w:pStyle w:val="ListParagraph"/>
        <w:numPr>
          <w:ilvl w:val="0"/>
          <w:numId w:val="3"/>
        </w:numPr>
        <w:spacing w:after="60"/>
      </w:pPr>
      <w:r>
        <w:rPr>
          <w:rFonts w:ascii="Arial" w:cs="Arial" w:eastAsia="Arial" w:hAnsi="Arial"/>
        </w:rPr>
        <w:t xml:space="preserve">initial and final actor hashes;</w:t>
      </w:r>
    </w:p>
    <w:p>
      <w:pPr>
        <w:pStyle w:val="ListParagraph"/>
        <w:numPr>
          <w:ilvl w:val="0"/>
          <w:numId w:val="3"/>
        </w:numPr>
        <w:spacing w:after="60"/>
      </w:pPr>
      <w:r>
        <w:rPr>
          <w:rFonts w:ascii="Arial" w:cs="Arial" w:eastAsia="Arial" w:hAnsi="Arial"/>
        </w:rPr>
        <w:t xml:space="preserve">initial and final critic hashes;</w:t>
      </w:r>
    </w:p>
    <w:p>
      <w:pPr>
        <w:pStyle w:val="ListParagraph"/>
        <w:numPr>
          <w:ilvl w:val="0"/>
          <w:numId w:val="3"/>
        </w:numPr>
        <w:spacing w:after="60"/>
      </w:pPr>
      <w:r>
        <w:rPr>
          <w:rFonts w:ascii="Arial" w:cs="Arial" w:eastAsia="Arial" w:hAnsi="Arial"/>
        </w:rPr>
        <w:t xml:space="preserve">interaction and update counts;</w:t>
      </w:r>
    </w:p>
    <w:p>
      <w:pPr>
        <w:pStyle w:val="ListParagraph"/>
        <w:numPr>
          <w:ilvl w:val="0"/>
          <w:numId w:val="3"/>
        </w:numPr>
        <w:spacing w:after="60"/>
      </w:pPr>
      <w:r>
        <w:rPr>
          <w:rFonts w:ascii="Arial" w:cs="Arial" w:eastAsia="Arial" w:hAnsi="Arial"/>
        </w:rPr>
        <w:t xml:space="preserve">protocol and source bundle hashes;</w:t>
      </w:r>
    </w:p>
    <w:p>
      <w:pPr>
        <w:pStyle w:val="ListParagraph"/>
        <w:numPr>
          <w:ilvl w:val="0"/>
          <w:numId w:val="3"/>
        </w:numPr>
        <w:spacing w:after="60"/>
      </w:pPr>
      <w:r>
        <w:rPr>
          <w:rFonts w:ascii="Arial" w:cs="Arial" w:eastAsia="Arial" w:hAnsi="Arial"/>
        </w:rPr>
        <w:t xml:space="preserve">training-window source and forecast identities;</w:t>
      </w:r>
    </w:p>
    <w:p>
      <w:pPr>
        <w:pStyle w:val="ListParagraph"/>
        <w:numPr>
          <w:ilvl w:val="0"/>
          <w:numId w:val="3"/>
        </w:numPr>
        <w:spacing w:after="60"/>
      </w:pPr>
      <w:r>
        <w:rPr>
          <w:rFonts w:ascii="Arial" w:cs="Arial" w:eastAsia="Arial" w:hAnsi="Arial"/>
        </w:rPr>
        <w:t xml:space="preserve">Lagrangian updates;</w:t>
      </w:r>
    </w:p>
    <w:p>
      <w:pPr>
        <w:pStyle w:val="ListParagraph"/>
        <w:numPr>
          <w:ilvl w:val="0"/>
          <w:numId w:val="3"/>
        </w:numPr>
        <w:spacing w:after="60"/>
      </w:pPr>
      <w:r>
        <w:rPr>
          <w:rFonts w:ascii="Arial" w:cs="Arial" w:eastAsia="Arial" w:hAnsi="Arial"/>
        </w:rPr>
        <w:t xml:space="preserve">semantic adjustment and emergency telemetry; and</w:t>
      </w:r>
    </w:p>
    <w:p>
      <w:pPr>
        <w:pStyle w:val="ListParagraph"/>
        <w:numPr>
          <w:ilvl w:val="0"/>
          <w:numId w:val="3"/>
        </w:numPr>
        <w:spacing w:after="60"/>
      </w:pPr>
      <w:r>
        <w:rPr>
          <w:rFonts w:ascii="Arial" w:cs="Arial" w:eastAsia="Arial" w:hAnsi="Arial"/>
        </w:rPr>
        <w:t xml:space="preserve">explicit false values for prohibited teacher, demonstration, optimizer, and</w:t>
      </w:r>
    </w:p>
    <w:p>
      <w:pPr>
        <w:spacing w:after="120" w:line="276"/>
      </w:pPr>
      <w:r>
        <w:rPr>
          <w:rFonts w:ascii="Arial" w:cs="Arial" w:eastAsia="Arial" w:hAnsi="Arial"/>
        </w:rPr>
        <w:t xml:space="preserve">warm-start inputs.</w:t>
      </w:r>
    </w:p>
    <w:p>
      <w:pPr>
        <w:pStyle w:val="Heading2"/>
        <w:keepNext/>
      </w:pPr>
      <w:r>
        <w:rPr>
          <w:rFonts w:ascii="Arial" w:cs="Arial" w:eastAsia="Arial" w:hAnsi="Arial"/>
        </w:rPr>
        <w:t xml:space="preserve">7.10 Equal-action ensemble</w:t>
      </w:r>
    </w:p>
    <w:p>
      <w:pPr>
        <w:spacing w:after="120" w:line="276"/>
      </w:pPr>
      <w:r>
        <w:rPr>
          <w:rFonts w:ascii="Arial" w:cs="Arial" w:eastAsia="Arial" w:hAnsi="Arial"/>
        </w:rPr>
        <w:t xml:space="preserve">Each V4R member loads its own persisted observation normalizer. For every raw observation:</w:t>
      </w:r>
    </w:p>
    <w:p>
      <w:pPr>
        <w:pStyle w:val="ListParagraph"/>
        <w:numPr>
          <w:ilvl w:val="0"/>
          <w:numId w:val="2"/>
        </w:numPr>
        <w:spacing w:after="60"/>
      </w:pPr>
      <w:r>
        <w:rPr>
          <w:rFonts w:ascii="Arial" w:cs="Arial" w:eastAsia="Arial" w:hAnsi="Arial"/>
        </w:rPr>
        <w:t xml:space="preserve">each member normalizes the observation with its own frozen statistics;</w:t>
      </w:r>
    </w:p>
    <w:p>
      <w:pPr>
        <w:pStyle w:val="ListParagraph"/>
        <w:numPr>
          <w:ilvl w:val="0"/>
          <w:numId w:val="2"/>
        </w:numPr>
        <w:spacing w:after="60"/>
      </w:pPr>
      <w:r>
        <w:rPr>
          <w:rFonts w:ascii="Arial" w:cs="Arial" w:eastAsia="Arial" w:hAnsi="Arial"/>
        </w:rPr>
        <w:t xml:space="preserve">each PPO actor predicts one deterministic 13-dimensional action;</w:t>
      </w:r>
    </w:p>
    <w:p>
      <w:pPr>
        <w:pStyle w:val="ListParagraph"/>
        <w:numPr>
          <w:ilvl w:val="0"/>
          <w:numId w:val="2"/>
        </w:numPr>
        <w:spacing w:after="60"/>
      </w:pPr>
      <w:r>
        <w:rPr>
          <w:rFonts w:ascii="Arial" w:cs="Arial" w:eastAsia="Arial" w:hAnsi="Arial"/>
        </w:rPr>
        <w:t xml:space="preserve">all five actions are checked against the environment bounds;</w:t>
      </w:r>
    </w:p>
    <w:p>
      <w:pPr>
        <w:pStyle w:val="ListParagraph"/>
        <w:numPr>
          <w:ilvl w:val="0"/>
          <w:numId w:val="2"/>
        </w:numPr>
        <w:spacing w:after="60"/>
      </w:pPr>
      <w:r>
        <w:rPr>
          <w:rFonts w:ascii="Arial" w:cs="Arial" w:eastAsia="Arial" w:hAnsi="Arial"/>
        </w:rPr>
        <w:t xml:space="preserve">actions are averaged with exact weights 0.2; and</w:t>
      </w:r>
    </w:p>
    <w:p>
      <w:pPr>
        <w:pStyle w:val="ListParagraph"/>
        <w:numPr>
          <w:ilvl w:val="0"/>
          <w:numId w:val="2"/>
        </w:numPr>
        <w:spacing w:after="60"/>
      </w:pPr>
      <w:r>
        <w:rPr>
          <w:rFonts w:ascii="Arial" w:cs="Arial" w:eastAsia="Arial" w:hAnsi="Arial"/>
        </w:rPr>
        <w:t xml:space="preserve">the average is passed once to the shared environment decoder.</w:t>
      </w:r>
    </w:p>
    <w:p>
      <w:pPr>
        <w:spacing w:after="120" w:line="276"/>
      </w:pPr>
      <w:r>
        <w:rPr>
          <w:rFonts w:ascii="Arial" w:cs="Arial" w:eastAsia="Arial" w:hAnsi="Arial"/>
        </w:rPr>
        <w:t xml:space="preserve">The evaluator records member invocation counts and hashes the observation and action chains. A repeatability probe requires exact action equality for the same raw observation.</w:t>
      </w:r>
    </w:p>
    <w:p>
      <w:pPr>
        <w:pStyle w:val="Heading1"/>
        <w:keepNext/>
        <w:pageBreakBefore/>
      </w:pPr>
      <w:r>
        <w:rPr>
          <w:rFonts w:ascii="Arial" w:cs="Arial" w:eastAsia="Arial" w:hAnsi="Arial"/>
        </w:rPr>
        <w:t xml:space="preserve">8. Reinforcement Learning in Plain Language</w:t>
      </w:r>
    </w:p>
    <w:p>
      <w:pPr>
        <w:spacing w:after="60" w:before="120"/>
        <w:jc w:val="center"/>
      </w:pPr>
      <w:r>
        <w:drawing>
          <wp:inline distT="0" distB="0" distL="0" distR="0">
            <wp:extent cx="6191250" cy="3514725"/>
            <wp:effectExtent t="0" r="0" b="0" l="0"/>
            <wp:docPr id="3" name="Figure 3. One PPO learning loop: observe the causal state, propose preferences, project them to feasible work, receive ramp reward, and update actor and critic only during training." descr="Figure 3. One PPO learning loop: observe the causal state, propose preferences, project them to feasible work, receive ramp reward, and update actor and critic only during training." title="Figure 3. One PPO learning loop: observe the causal state, propose preferences, project them to feasible work, receive ramp reward, and update actor and critic only during trai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descr=""/>
                    <pic:cNvPicPr>
                      <a:picLocks noChangeAspect="1" noChangeArrowheads="1"/>
                    </pic:cNvPicPr>
                  </pic:nvPicPr>
                  <pic:blipFill>
                    <a:blip r:embed="rId11" cstate="none"/>
                    <a:srcRect/>
                    <a:stretch>
                      <a:fillRect/>
                    </a:stretch>
                  </pic:blipFill>
                  <pic:spPr bwMode="auto">
                    <a:xfrm>
                      <a:off x="0" y="0"/>
                      <a:ext cx="6191250" cy="3514725"/>
                    </a:xfrm>
                    <a:prstGeom prst="rect">
                      <a:avLst/>
                    </a:prstGeom>
                  </pic:spPr>
                </pic:pic>
              </a:graphicData>
            </a:graphic>
          </wp:inline>
        </w:drawing>
      </w:r>
    </w:p>
    <w:p>
      <w:pPr>
        <w:spacing w:after="180"/>
        <w:jc w:val="center"/>
      </w:pPr>
      <w:r>
        <w:rPr>
          <w:rFonts w:ascii="Arial" w:cs="Arial" w:eastAsia="Arial" w:hAnsi="Arial"/>
          <w:i/>
          <w:iCs/>
          <w:sz w:val="18"/>
          <w:szCs w:val="18"/>
        </w:rPr>
        <w:t xml:space="preserve">Figure 3. One PPO learning loop: observe the causal state, propose preferences, project them to feasible work, receive ramp reward, and update actor and critic only during training.</w:t>
      </w:r>
    </w:p>
    <w:p>
      <w:pPr>
        <w:pStyle w:val="Heading2"/>
        <w:keepNext/>
      </w:pPr>
      <w:r>
        <w:rPr>
          <w:rFonts w:ascii="Arial" w:cs="Arial" w:eastAsia="Arial" w:hAnsi="Arial"/>
        </w:rPr>
        <w:t xml:space="preserve">8.1 Agent, state, action, transition, and reward</w:t>
      </w:r>
    </w:p>
    <w:p>
      <w:pPr>
        <w:spacing w:after="120" w:line="276"/>
      </w:pPr>
      <w:r>
        <w:rPr>
          <w:rFonts w:ascii="Arial" w:cs="Arial" w:eastAsia="Arial" w:hAnsi="Arial"/>
        </w:rPr>
        <w:t xml:space="preserve">The </w:t>
      </w:r>
      <w:r>
        <w:rPr>
          <w:rFonts w:ascii="Arial" w:cs="Arial" w:eastAsia="Arial" w:hAnsi="Arial"/>
          <w:i/>
          <w:iCs/>
        </w:rPr>
        <w:t xml:space="preserve">agent</w:t>
      </w:r>
      <w:r>
        <w:rPr>
          <w:rFonts w:ascii="Arial" w:cs="Arial" w:eastAsia="Arial" w:hAnsi="Arial"/>
        </w:rPr>
        <w:t xml:space="preserve"> is the PPO policy. The </w:t>
      </w:r>
      <w:r>
        <w:rPr>
          <w:rFonts w:ascii="Arial" w:cs="Arial" w:eastAsia="Arial" w:hAnsi="Arial"/>
          <w:i/>
          <w:iCs/>
        </w:rPr>
        <w:t xml:space="preserve">state</w:t>
      </w:r>
      <w:r>
        <w:rPr>
          <w:rFonts w:ascii="Arial" w:cs="Arial" w:eastAsia="Arial" w:hAnsi="Arial"/>
        </w:rPr>
        <w:t xml:space="preserve"> is the observation described above. The </w:t>
      </w:r>
      <w:r>
        <w:rPr>
          <w:rFonts w:ascii="Arial" w:cs="Arial" w:eastAsia="Arial" w:hAnsi="Arial"/>
          <w:i/>
          <w:iCs/>
        </w:rPr>
        <w:t xml:space="preserve">action</w:t>
      </w:r>
      <w:r>
        <w:rPr>
          <w:rFonts w:ascii="Arial" w:cs="Arial" w:eastAsia="Arial" w:hAnsi="Arial"/>
        </w:rPr>
        <w:t xml:space="preserve"> is a vector of routing and batch preferences. A </w:t>
      </w:r>
      <w:r>
        <w:rPr>
          <w:rFonts w:ascii="Arial" w:cs="Arial" w:eastAsia="Arial" w:hAnsi="Arial"/>
          <w:i/>
          <w:iCs/>
        </w:rPr>
        <w:t xml:space="preserve">transition</w:t>
      </w:r>
      <w:r>
        <w:rPr>
          <w:rFonts w:ascii="Arial" w:cs="Arial" w:eastAsia="Arial" w:hAnsi="Arial"/>
        </w:rPr>
        <w:t xml:space="preserve"> occurs when the decoder executes feasible work, the queue and power histories advance one hour, and new market/workload information becomes current. The </w:t>
      </w:r>
      <w:r>
        <w:rPr>
          <w:rFonts w:ascii="Arial" w:cs="Arial" w:eastAsia="Arial" w:hAnsi="Arial"/>
          <w:i/>
          <w:iCs/>
        </w:rPr>
        <w:t xml:space="preserve">reward</w:t>
      </w:r>
      <w:r>
        <w:rPr>
          <w:rFonts w:ascii="Arial" w:cs="Arial" w:eastAsia="Arial" w:hAnsi="Arial"/>
        </w:rPr>
        <w:t xml:space="preserve"> is higher when the policy reduces the incremental ramp objective and lower when it increases that objective or violates the soft cost budget.</w:t>
      </w:r>
    </w:p>
    <w:p>
      <w:pPr>
        <w:spacing w:after="120" w:line="276"/>
      </w:pPr>
      <w:r>
        <w:rPr>
          <w:rFonts w:ascii="Arial" w:cs="Arial" w:eastAsia="Arial" w:hAnsi="Arial"/>
        </w:rPr>
        <w:t xml:space="preserve">An </w:t>
      </w:r>
      <w:r>
        <w:rPr>
          <w:rFonts w:ascii="Arial" w:cs="Arial" w:eastAsia="Arial" w:hAnsi="Arial"/>
          <w:i/>
          <w:iCs/>
        </w:rPr>
        <w:t xml:space="preserve">episode</w:t>
      </w:r>
      <w:r>
        <w:rPr>
          <w:rFonts w:ascii="Arial" w:cs="Arial" w:eastAsia="Arial" w:hAnsi="Arial"/>
        </w:rPr>
        <w:t xml:space="preserve"> is one day plus warm history and tail. The agent cannot change the historical grid trajectory. It can only change modeled data-center power.</w:t>
      </w:r>
    </w:p>
    <w:p>
      <w:pPr>
        <w:pStyle w:val="Heading2"/>
        <w:keepNext/>
      </w:pPr>
      <w:r>
        <w:rPr>
          <w:rFonts w:ascii="Arial" w:cs="Arial" w:eastAsia="Arial" w:hAnsi="Arial"/>
        </w:rPr>
        <w:t xml:space="preserve">8.2 Actor and critic</w:t>
      </w:r>
    </w:p>
    <w:p>
      <w:pPr>
        <w:spacing w:after="120" w:line="276"/>
      </w:pPr>
      <w:r>
        <w:rPr>
          <w:rFonts w:ascii="Arial" w:cs="Arial" w:eastAsia="Arial" w:hAnsi="Arial"/>
        </w:rPr>
        <w:t xml:space="preserve">The actor maps the observation to an action distribution. During training, actions sampled from that distribution create experience. The critic estimates the expected future return from a state. The critic is not an optimizer that chooses the executed work; it helps estimate whether sampled actions performed better or worse than expected.</w:t>
      </w:r>
    </w:p>
    <w:p>
      <w:pPr>
        <w:pStyle w:val="Heading2"/>
        <w:keepNext/>
      </w:pPr>
      <w:r>
        <w:rPr>
          <w:rFonts w:ascii="Arial" w:cs="Arial" w:eastAsia="Arial" w:hAnsi="Arial"/>
        </w:rPr>
        <w:t xml:space="preserve">8.3 PPO updates</w:t>
      </w:r>
    </w:p>
    <w:p>
      <w:pPr>
        <w:spacing w:after="120" w:line="276"/>
      </w:pPr>
      <w:r>
        <w:rPr>
          <w:rFonts w:ascii="Arial" w:cs="Arial" w:eastAsia="Arial" w:hAnsi="Arial"/>
        </w:rPr>
        <w:t xml:space="preserve">After a rollout, PPO estimates advantages using the realized rewards and critic values. It then performs multiple minibatch epochs. The clipped PPO surrogate limits how far the new policy can move from the behavior policy in one update. V3 used: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Setting</w:t>
            </w:r>
          </w:p>
        </w:tc>
        <w:tc>
          <w:tcPr>
            <w:tcW w:type="dxa" w:w="468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Value</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Random seeds</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2801-2805</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Vector environments</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4</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Nominal interactions</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100,000</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Complete-boundary interactions</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110,592</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PPO updates</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540</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Rollout steps per environment</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512</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Batch size</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256</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Epochs per rollout</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10</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Learning rate</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0.0003</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Discount factor</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1.0</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GAE lambda</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0.95</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Hidden layers</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256, 256</w:t>
            </w:r>
          </w:p>
        </w:tc>
      </w:tr>
    </w:tbl>
    <w:p>
      <w:pPr>
        <w:spacing w:after="120"/>
      </w:pPr>
    </w:p>
    <w:p>
      <w:pPr>
        <w:spacing w:after="120" w:line="276"/>
      </w:pPr>
      <w:r>
        <w:rPr>
          <w:rFonts w:ascii="Arial" w:cs="Arial" w:eastAsia="Arial" w:hAnsi="Arial"/>
        </w:rPr>
        <w:t xml:space="preserve">Training stops at the first complete rollout and vector-episode boundary at or after the nominal target. It never saves a partial daily trajectory.</w:t>
      </w:r>
    </w:p>
    <w:p>
      <w:pPr>
        <w:pStyle w:val="Heading2"/>
        <w:keepNext/>
      </w:pPr>
      <w:r>
        <w:rPr>
          <w:rFonts w:ascii="Arial" w:cs="Arial" w:eastAsia="Arial" w:hAnsi="Arial"/>
        </w:rPr>
        <w:t xml:space="preserve">8.4 Training versus inference</w:t>
      </w:r>
    </w:p>
    <w:p>
      <w:pPr>
        <w:spacing w:after="120" w:line="276"/>
      </w:pPr>
      <w:r>
        <w:rPr>
          <w:rFonts w:ascii="Arial" w:cs="Arial" w:eastAsia="Arial" w:hAnsi="Arial"/>
        </w:rPr>
        <w:t xml:space="preserve">During training, the actor and critic parameters change and observation/reward normalizers accumulate training statistics. During validation and test, parameters are frozen, observation normalization is loaded but no longer updated, reward normalization is disabled, and actions are deterministic.</w:t>
      </w:r>
    </w:p>
    <w:p>
      <w:pPr>
        <w:spacing w:after="120" w:line="276"/>
      </w:pPr>
      <w:r>
        <w:rPr>
          <w:rFonts w:ascii="Arial" w:cs="Arial" w:eastAsia="Arial" w:hAnsi="Arial"/>
        </w:rPr>
        <w:t xml:space="preserve">The final V4R controller performs inference only. It loads the five previously trained V3 member weights, invokes them, averages actions, and decodes the result. Validation/test data cannot update a network or normalizer.</w:t>
      </w:r>
    </w:p>
    <w:p>
      <w:pPr>
        <w:pStyle w:val="Heading2"/>
        <w:keepNext/>
      </w:pPr>
      <w:r>
        <w:rPr>
          <w:rFonts w:ascii="Arial" w:cs="Arial" w:eastAsia="Arial" w:hAnsi="Arial"/>
        </w:rPr>
        <w:t xml:space="preserve">8.5 Why the policy origin is genuine reward-only RL</w:t>
      </w:r>
    </w:p>
    <w:p>
      <w:pPr>
        <w:spacing w:after="120" w:line="276"/>
      </w:pPr>
      <w:r>
        <w:rPr>
          <w:rFonts w:ascii="Arial" w:cs="Arial" w:eastAsia="Arial" w:hAnsi="Arial"/>
        </w:rPr>
        <w:t xml:space="preserve">The evidence records random actor and critic initialization, changed initial/final parameter hashes, positive interaction counts, and 540 PPO updates. Replay provenance permits only randomly initialized policy behavior. It records zero external, teacher, demonstration, optimizer, and expert rows. The action path at training time must be </w:t>
      </w:r>
      <w:r>
        <w:rPr>
          <w:rFonts w:ascii="Courier New" w:cs="Courier New" w:eastAsia="Courier New" w:hAnsi="Courier New"/>
          <w:sz w:val="20"/>
          <w:szCs w:val="20"/>
          <w:shd w:fill="EEF1F4" w:val="clear"/>
        </w:rPr>
        <w:t xml:space="preserve">agent_semantic</w:t>
      </w:r>
      <w:r>
        <w:rPr>
          <w:rFonts w:ascii="Arial" w:cs="Arial" w:eastAsia="Arial" w:hAnsi="Arial"/>
        </w:rPr>
        <w:t xml:space="preserve">.</w:t>
      </w:r>
    </w:p>
    <w:p>
      <w:pPr>
        <w:spacing w:after="120" w:line="276"/>
      </w:pPr>
      <w:r>
        <w:rPr>
          <w:rFonts w:ascii="Arial" w:cs="Arial" w:eastAsia="Arial" w:hAnsi="Arial"/>
        </w:rPr>
        <w:t xml:space="preserve">That establishes genuine reward-driven policy learning. It does not determine how much of final performance is due to the policy versus the decoder. Hard safety belongs to the decoder. Ramp preference belongs to the learned actions, subject to the decoder's projection.</w:t>
      </w:r>
    </w:p>
    <w:p>
      <w:pPr>
        <w:pStyle w:val="Heading2"/>
        <w:keepNext/>
      </w:pPr>
      <w:r>
        <w:rPr>
          <w:rFonts w:ascii="Arial" w:cs="Arial" w:eastAsia="Arial" w:hAnsi="Arial"/>
        </w:rPr>
        <w:t xml:space="preserve">8.6 Cost Lagrangian</w:t>
      </w:r>
    </w:p>
    <w:p>
      <w:pPr>
        <w:spacing w:after="120" w:line="276"/>
      </w:pPr>
      <w:r>
        <w:rPr>
          <w:rFonts w:ascii="Arial" w:cs="Arial" w:eastAsia="Arial" w:hAnsi="Arial"/>
        </w:rPr>
        <w:t xml:space="preserve">The primary cost budget permits modeled policy cost up to 2% above status quo. For a completed training episode:</w:t>
      </w:r>
    </w:p>
    <w:p>
      <w:pPr>
        <w:spacing w:after="0" w:before="100"/>
      </w:pPr>
      <w:r>
        <w:rPr>
          <w:rFonts w:ascii="Courier New" w:cs="Courier New" w:eastAsia="Courier New" w:hAnsi="Courier New"/>
          <w:b/>
          <w:bCs/>
          <w:sz w:val="17"/>
          <w:szCs w:val="17"/>
        </w:rPr>
        <w:t xml:space="preserve">text</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budget = status_quo_cost + 0.02 * abs(status_quo_cost)</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lambda_next = clip(lambda + 0.01 * (policy_cost - budget), 0, 100)</w:t>
      </w:r>
    </w:p>
    <w:p>
      <w:pPr>
        <w:spacing w:after="120"/>
      </w:pPr>
    </w:p>
    <w:p>
      <w:pPr>
        <w:spacing w:after="120" w:line="276"/>
      </w:pPr>
      <w:r>
        <w:rPr>
          <w:rFonts w:ascii="Arial" w:cs="Arial" w:eastAsia="Arial" w:hAnsi="Arial"/>
        </w:rPr>
        <w:t xml:space="preserve">The reward subtracts </w:t>
      </w:r>
      <w:r>
        <w:rPr>
          <w:rFonts w:ascii="Courier New" w:cs="Courier New" w:eastAsia="Courier New" w:hAnsi="Courier New"/>
          <w:sz w:val="20"/>
          <w:szCs w:val="20"/>
          <w:shd w:fill="EEF1F4" w:val="clear"/>
        </w:rPr>
        <w:t xml:space="preserve">lambda * (policy_cost - budget)</w:t>
      </w:r>
      <w:r>
        <w:rPr>
          <w:rFonts w:ascii="Arial" w:cs="Arial" w:eastAsia="Arial" w:hAnsi="Arial"/>
        </w:rPr>
        <w:t xml:space="preserve">. All five final V3 training manifests contain 1,024 recorded dual updates and a multiplier that stayed exactly 0.0 throughout. The observed policy therefore learned from the ramp reward without an active cost penalty in those runs. The cost gate still applies at evaluation.</w:t>
      </w:r>
    </w:p>
    <w:p>
      <w:pPr>
        <w:pStyle w:val="Heading1"/>
        <w:keepNext/>
        <w:pageBreakBefore/>
      </w:pPr>
      <w:r>
        <w:rPr>
          <w:rFonts w:ascii="Arial" w:cs="Arial" w:eastAsia="Arial" w:hAnsi="Arial"/>
        </w:rPr>
        <w:t xml:space="preserve">9. Metrics and Statistical Design</w:t>
      </w:r>
    </w:p>
    <w:p>
      <w:pPr>
        <w:pStyle w:val="Heading2"/>
        <w:keepNext/>
      </w:pPr>
      <w:r>
        <w:rPr>
          <w:rFonts w:ascii="Arial" w:cs="Arial" w:eastAsia="Arial" w:hAnsi="Arial"/>
        </w:rPr>
        <w:t xml:space="preserve">9.1 Primary incremental squared-ramp objective</w:t>
      </w:r>
    </w:p>
    <w:p>
      <w:pPr>
        <w:spacing w:after="120" w:line="276"/>
      </w:pPr>
      <w:r>
        <w:rPr>
          <w:rFonts w:ascii="Arial" w:cs="Arial" w:eastAsia="Arial" w:hAnsi="Arial"/>
        </w:rPr>
        <w:t xml:space="preserve">For market </w:t>
      </w:r>
      <w:r>
        <w:rPr>
          <w:rFonts w:ascii="Courier New" w:cs="Courier New" w:eastAsia="Courier New" w:hAnsi="Courier New"/>
          <w:sz w:val="20"/>
          <w:szCs w:val="20"/>
          <w:shd w:fill="EEF1F4" w:val="clear"/>
        </w:rPr>
        <w:t xml:space="preserve">m</w:t>
      </w:r>
      <w:r>
        <w:rPr>
          <w:rFonts w:ascii="Arial" w:cs="Arial" w:eastAsia="Arial" w:hAnsi="Arial"/>
        </w:rPr>
        <w:t xml:space="preserve">, hour </w:t>
      </w:r>
      <w:r>
        <w:rPr>
          <w:rFonts w:ascii="Courier New" w:cs="Courier New" w:eastAsia="Courier New" w:hAnsi="Courier New"/>
          <w:sz w:val="20"/>
          <w:szCs w:val="20"/>
          <w:shd w:fill="EEF1F4" w:val="clear"/>
        </w:rPr>
        <w:t xml:space="preserve">t</w:t>
      </w:r>
      <w:r>
        <w:rPr>
          <w:rFonts w:ascii="Arial" w:cs="Arial" w:eastAsia="Arial" w:hAnsi="Arial"/>
        </w:rPr>
        <w:t xml:space="preserve">, horizon </w:t>
      </w:r>
      <w:r>
        <w:rPr>
          <w:rFonts w:ascii="Courier New" w:cs="Courier New" w:eastAsia="Courier New" w:hAnsi="Courier New"/>
          <w:sz w:val="20"/>
          <w:szCs w:val="20"/>
          <w:shd w:fill="EEF1F4" w:val="clear"/>
        </w:rPr>
        <w:t xml:space="preserve">h</w:t>
      </w:r>
      <w:r>
        <w:rPr>
          <w:rFonts w:ascii="Arial" w:cs="Arial" w:eastAsia="Arial" w:hAnsi="Arial"/>
        </w:rPr>
        <w:t xml:space="preserve"> in {1,3}, native net load </w:t>
      </w:r>
      <w:r>
        <w:rPr>
          <w:rFonts w:ascii="Courier New" w:cs="Courier New" w:eastAsia="Courier New" w:hAnsi="Courier New"/>
          <w:sz w:val="20"/>
          <w:szCs w:val="20"/>
          <w:shd w:fill="EEF1F4" w:val="clear"/>
        </w:rPr>
        <w:t xml:space="preserve">N</w:t>
      </w:r>
      <w:r>
        <w:rPr>
          <w:rFonts w:ascii="Arial" w:cs="Arial" w:eastAsia="Arial" w:hAnsi="Arial"/>
        </w:rPr>
        <w:t xml:space="preserve">, modeled data-center power </w:t>
      </w:r>
      <w:r>
        <w:rPr>
          <w:rFonts w:ascii="Courier New" w:cs="Courier New" w:eastAsia="Courier New" w:hAnsi="Courier New"/>
          <w:sz w:val="20"/>
          <w:szCs w:val="20"/>
          <w:shd w:fill="EEF1F4" w:val="clear"/>
        </w:rPr>
        <w:t xml:space="preserve">P</w:t>
      </w:r>
      <w:r>
        <w:rPr>
          <w:rFonts w:ascii="Arial" w:cs="Arial" w:eastAsia="Arial" w:hAnsi="Arial"/>
        </w:rPr>
        <w:t xml:space="preserve">, and training-only scale </w:t>
      </w:r>
      <w:r>
        <w:rPr>
          <w:rFonts w:ascii="Courier New" w:cs="Courier New" w:eastAsia="Courier New" w:hAnsi="Courier New"/>
          <w:sz w:val="20"/>
          <w:szCs w:val="20"/>
          <w:shd w:fill="EEF1F4" w:val="clear"/>
        </w:rPr>
        <w:t xml:space="preserve">S_m</w:t>
      </w:r>
      <w:r>
        <w:rPr>
          <w:rFonts w:ascii="Arial" w:cs="Arial" w:eastAsia="Arial" w:hAnsi="Arial"/>
        </w:rPr>
        <w:t xml:space="preserve">:</w:t>
      </w:r>
    </w:p>
    <w:p>
      <w:pPr>
        <w:spacing w:after="0" w:before="100"/>
      </w:pPr>
      <w:r>
        <w:rPr>
          <w:rFonts w:ascii="Courier New" w:cs="Courier New" w:eastAsia="Courier New" w:hAnsi="Courier New"/>
          <w:b/>
          <w:bCs/>
          <w:sz w:val="17"/>
          <w:szCs w:val="17"/>
        </w:rPr>
        <w:t xml:space="preserve">text</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b[m,t,h] = (N[m,t] - N[m,t-h]) / (S[m] * h)</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a[m,t,h] = ((N[m,t] + P[m,t])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(N[m,t-h] + P[m,t-h])) / (S[m] * h)</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I[m,t,h] = a[m,t,h]^2 - b[m,t,h]^2</w:t>
      </w:r>
    </w:p>
    <w:p>
      <w:pPr>
        <w:spacing w:after="120"/>
      </w:pPr>
    </w:p>
    <w:p>
      <w:pPr>
        <w:spacing w:after="120" w:line="276"/>
      </w:pPr>
      <w:r>
        <w:rPr>
          <w:rFonts w:ascii="Arial" w:cs="Arial" w:eastAsia="Arial" w:hAnsi="Arial"/>
        </w:rPr>
        <w:t xml:space="preserve">The primary per-market step value is:</w:t>
      </w:r>
    </w:p>
    <w:p>
      <w:pPr>
        <w:spacing w:after="0" w:before="100"/>
      </w:pPr>
      <w:r>
        <w:rPr>
          <w:rFonts w:ascii="Courier New" w:cs="Courier New" w:eastAsia="Courier New" w:hAnsi="Courier New"/>
          <w:b/>
          <w:bCs/>
          <w:sz w:val="17"/>
          <w:szCs w:val="17"/>
        </w:rPr>
        <w:t xml:space="preserve">text</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I[m,t] = 0.40 * I[m,t,1] + 0.60 * I[m,t,3]</w:t>
      </w:r>
    </w:p>
    <w:p>
      <w:pPr>
        <w:spacing w:after="120"/>
      </w:pPr>
    </w:p>
    <w:p>
      <w:pPr>
        <w:spacing w:after="120" w:line="276"/>
      </w:pPr>
      <w:r>
        <w:rPr>
          <w:rFonts w:ascii="Arial" w:cs="Arial" w:eastAsia="Arial" w:hAnsi="Arial"/>
        </w:rPr>
        <w:t xml:space="preserve">The scalar objective is the equal-market mean plus a smaller 0.15 residual-tail term above the training Q90 native absolute ramp. The primary reported incremental impact excludes that tail shaping term and remains unchanged by the telemetry correction.</w:t>
      </w:r>
    </w:p>
    <w:p>
      <w:pPr>
        <w:spacing w:after="120" w:line="276"/>
      </w:pPr>
      <w:r>
        <w:rPr>
          <w:rFonts w:ascii="Arial" w:cs="Arial" w:eastAsia="Arial" w:hAnsi="Arial"/>
        </w:rPr>
        <w:t xml:space="preserve">Negative </w:t>
      </w:r>
      <w:r>
        <w:rPr>
          <w:rFonts w:ascii="Courier New" w:cs="Courier New" w:eastAsia="Courier New" w:hAnsi="Courier New"/>
          <w:sz w:val="20"/>
          <w:szCs w:val="20"/>
          <w:shd w:fill="EEF1F4" w:val="clear"/>
        </w:rPr>
        <w:t xml:space="preserve">I</w:t>
      </w:r>
      <w:r>
        <w:rPr>
          <w:rFonts w:ascii="Arial" w:cs="Arial" w:eastAsia="Arial" w:hAnsi="Arial"/>
        </w:rPr>
        <w:t xml:space="preserve"> means the fleet reduced the native squared ramp. This is a native-grid-relative statement. It does not yet compare policy with status quo.</w:t>
      </w:r>
    </w:p>
    <w:p>
      <w:pPr>
        <w:pStyle w:val="Heading2"/>
        <w:keepNext/>
      </w:pPr>
      <w:r>
        <w:rPr>
          <w:rFonts w:ascii="Arial" w:cs="Arial" w:eastAsia="Arial" w:hAnsi="Arial"/>
        </w:rPr>
        <w:t xml:space="preserve">9.2 Corrected physical p95 and maximum</w:t>
      </w:r>
    </w:p>
    <w:p>
      <w:pPr>
        <w:spacing w:after="120" w:line="276"/>
      </w:pPr>
      <w:r>
        <w:rPr>
          <w:rFonts w:ascii="Arial" w:cs="Arial" w:eastAsia="Arial" w:hAnsi="Arial"/>
        </w:rPr>
        <w:t xml:space="preserve">Physical summaries use </w:t>
      </w:r>
      <w:r>
        <w:rPr>
          <w:rFonts w:ascii="Courier New" w:cs="Courier New" w:eastAsia="Courier New" w:hAnsi="Courier New"/>
          <w:sz w:val="20"/>
          <w:szCs w:val="20"/>
          <w:shd w:fill="EEF1F4" w:val="clear"/>
        </w:rPr>
        <w:t xml:space="preserve">abs(a[m,t,h])</w:t>
      </w:r>
      <w:r>
        <w:rPr>
          <w:rFonts w:ascii="Arial" w:cs="Arial" w:eastAsia="Arial" w:hAnsi="Arial"/>
        </w:rPr>
        <w:t xml:space="preserve">, not a signed cross-market average. For each split and horizon, the evaluator pools every scored market-timestep magnitude with equal weight, then computes p95 and maximum. There are six market values per scored timestep. Upward and downward ramps enter with equal magnitude, so cross-market sign cancellation is impossible.</w:t>
      </w:r>
    </w:p>
    <w:p>
      <w:pPr>
        <w:spacing w:after="120" w:line="276"/>
      </w:pPr>
      <w:r>
        <w:rPr>
          <w:rFonts w:ascii="Arial" w:cs="Arial" w:eastAsia="Arial" w:hAnsi="Arial"/>
        </w:rPr>
        <w:t xml:space="preserve">The unit is fraction of the corresponding market's training Q95 gross demand per hour. Because each market has its own scale, the pooled statistic is not converted into one fictitious cross-market MW value.</w:t>
      </w:r>
    </w:p>
    <w:p>
      <w:pPr>
        <w:pStyle w:val="Heading2"/>
        <w:keepNext/>
      </w:pPr>
      <w:r>
        <w:rPr>
          <w:rFonts w:ascii="Arial" w:cs="Arial" w:eastAsia="Arial" w:hAnsi="Arial"/>
        </w:rPr>
        <w:t xml:space="preserve">9.3 Native grid versus operational status quo</w:t>
      </w:r>
    </w:p>
    <w:p>
      <w:pPr>
        <w:spacing w:after="120" w:line="276"/>
      </w:pPr>
      <w:r>
        <w:rPr>
          <w:rFonts w:ascii="Arial" w:cs="Arial" w:eastAsia="Arial" w:hAnsi="Arial"/>
        </w:rPr>
        <w:t xml:space="preserve">Three quantities must remain separate:</w:t>
      </w:r>
    </w:p>
    <w:p>
      <w:pPr>
        <w:pStyle w:val="ListParagraph"/>
        <w:numPr>
          <w:ilvl w:val="0"/>
          <w:numId w:val="2"/>
        </w:numPr>
        <w:spacing w:after="60"/>
      </w:pPr>
      <w:r>
        <w:rPr>
          <w:rFonts w:ascii="Arial" w:cs="Arial" w:eastAsia="Arial" w:hAnsi="Arial"/>
          <w:b/>
          <w:bCs/>
        </w:rPr>
        <w:t xml:space="preserve">Native grid:</w:t>
      </w:r>
      <w:r>
        <w:rPr>
          <w:rFonts w:ascii="Arial" w:cs="Arial" w:eastAsia="Arial" w:hAnsi="Arial"/>
        </w:rPr>
        <w:t xml:space="preserve"> physical net load without modeled data-center power.</w:t>
      </w:r>
    </w:p>
    <w:p>
      <w:pPr>
        <w:pStyle w:val="ListParagraph"/>
        <w:numPr>
          <w:ilvl w:val="0"/>
          <w:numId w:val="2"/>
        </w:numPr>
        <w:spacing w:after="60"/>
      </w:pPr>
      <w:r>
        <w:rPr>
          <w:rFonts w:ascii="Arial" w:cs="Arial" w:eastAsia="Arial" w:hAnsi="Arial"/>
          <w:b/>
          <w:bCs/>
        </w:rPr>
        <w:t xml:space="preserve">Policy:</w:t>
      </w:r>
      <w:r>
        <w:rPr>
          <w:rFonts w:ascii="Arial" w:cs="Arial" w:eastAsia="Arial" w:hAnsi="Arial"/>
        </w:rPr>
        <w:t xml:space="preserve"> native grid plus power under the V4R controller.</w:t>
      </w:r>
    </w:p>
    <w:p>
      <w:pPr>
        <w:pStyle w:val="ListParagraph"/>
        <w:numPr>
          <w:ilvl w:val="0"/>
          <w:numId w:val="2"/>
        </w:numPr>
        <w:spacing w:after="60"/>
      </w:pPr>
      <w:r>
        <w:rPr>
          <w:rFonts w:ascii="Arial" w:cs="Arial" w:eastAsia="Arial" w:hAnsi="Arial"/>
          <w:b/>
          <w:bCs/>
        </w:rPr>
        <w:t xml:space="preserve">Status quo:</w:t>
      </w:r>
      <w:r>
        <w:rPr>
          <w:rFonts w:ascii="Arial" w:cs="Arial" w:eastAsia="Arial" w:hAnsi="Arial"/>
        </w:rPr>
        <w:t xml:space="preserve"> native grid plus power under the operational baseline.</w:t>
      </w:r>
    </w:p>
    <w:p>
      <w:pPr>
        <w:spacing w:after="120" w:line="276"/>
      </w:pPr>
      <w:r>
        <w:rPr>
          <w:rFonts w:ascii="Arial" w:cs="Arial" w:eastAsia="Arial" w:hAnsi="Arial"/>
        </w:rPr>
        <w:t xml:space="preserve">The historical gate requires every policy market's </w:t>
      </w:r>
      <w:r>
        <w:rPr>
          <w:rFonts w:ascii="Courier New" w:cs="Courier New" w:eastAsia="Courier New" w:hAnsi="Courier New"/>
          <w:sz w:val="20"/>
          <w:szCs w:val="20"/>
          <w:shd w:fill="EEF1F4" w:val="clear"/>
        </w:rPr>
        <w:t xml:space="preserve">policy - native</w:t>
      </w:r>
      <w:r>
        <w:rPr>
          <w:rFonts w:ascii="Arial" w:cs="Arial" w:eastAsia="Arial" w:hAnsi="Arial"/>
        </w:rPr>
        <w:t xml:space="preserve"> squared ramp impact to be negative. That requirement was preregistered and is not rewritten. The corrected package adds:</w:t>
      </w:r>
    </w:p>
    <w:p>
      <w:pPr>
        <w:spacing w:after="0" w:before="100"/>
      </w:pPr>
      <w:r>
        <w:rPr>
          <w:rFonts w:ascii="Courier New" w:cs="Courier New" w:eastAsia="Courier New" w:hAnsi="Courier New"/>
          <w:b/>
          <w:bCs/>
          <w:sz w:val="17"/>
          <w:szCs w:val="17"/>
        </w:rPr>
        <w:t xml:space="preserve">text</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policy_minus_status_quo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policy_native_relative_impact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status_quo_native_relative_impact</w:t>
      </w:r>
    </w:p>
    <w:p>
      <w:pPr>
        <w:spacing w:after="120"/>
      </w:pPr>
    </w:p>
    <w:p>
      <w:pPr>
        <w:spacing w:after="120" w:line="276"/>
      </w:pPr>
      <w:r>
        <w:rPr>
          <w:rFonts w:ascii="Arial" w:cs="Arial" w:eastAsia="Arial" w:hAnsi="Arial"/>
        </w:rPr>
        <w:t xml:space="preserve">More negative is better. The package reports the overall delta, every per-market delta, count and share of markets better, and </w:t>
      </w:r>
      <w:r>
        <w:rPr>
          <w:rFonts w:ascii="Courier New" w:cs="Courier New" w:eastAsia="Courier New" w:hAnsi="Courier New"/>
          <w:sz w:val="20"/>
          <w:szCs w:val="20"/>
          <w:shd w:fill="EEF1F4" w:val="clear"/>
        </w:rPr>
        <w:t xml:space="preserve">every_market_outperforms_status_quo</w:t>
      </w:r>
      <w:r>
        <w:rPr>
          <w:rFonts w:ascii="Arial" w:cs="Arial" w:eastAsia="Arial" w:hAnsi="Arial"/>
        </w:rPr>
        <w:t xml:space="preserve"> as a diagnostic. That diagnostic is not a retroactive success gate.</w:t>
      </w:r>
    </w:p>
    <w:p>
      <w:pPr>
        <w:pStyle w:val="Heading2"/>
        <w:keepNext/>
      </w:pPr>
      <w:r>
        <w:rPr>
          <w:rFonts w:ascii="Arial" w:cs="Arial" w:eastAsia="Arial" w:hAnsi="Arial"/>
        </w:rPr>
        <w:t xml:space="preserve">9.4 Cost</w:t>
      </w:r>
    </w:p>
    <w:p>
      <w:pPr>
        <w:spacing w:after="120" w:line="276"/>
      </w:pPr>
      <w:r>
        <w:rPr>
          <w:rFonts w:ascii="Arial" w:cs="Arial" w:eastAsia="Arial" w:hAnsi="Arial"/>
        </w:rPr>
        <w:t xml:space="preserve">Modeled hourly cost is:</w:t>
      </w:r>
    </w:p>
    <w:p>
      <w:pPr>
        <w:spacing w:after="0" w:before="100"/>
      </w:pPr>
      <w:r>
        <w:rPr>
          <w:rFonts w:ascii="Courier New" w:cs="Courier New" w:eastAsia="Courier New" w:hAnsi="Courier New"/>
          <w:b/>
          <w:bCs/>
          <w:sz w:val="17"/>
          <w:szCs w:val="17"/>
        </w:rPr>
        <w:t xml:space="preserve">text</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cost_usd = da_lmp_usd_per_mwh * modeled_power_mw * 1 hour</w:t>
      </w:r>
    </w:p>
    <w:p>
      <w:pPr>
        <w:spacing w:after="120"/>
      </w:pPr>
    </w:p>
    <w:p>
      <w:pPr>
        <w:spacing w:after="120" w:line="276"/>
      </w:pPr>
      <w:r>
        <w:rPr>
          <w:rFonts w:ascii="Arial" w:cs="Arial" w:eastAsia="Arial" w:hAnsi="Arial"/>
        </w:rPr>
        <w:t xml:space="preserve">Negative LMP is retained. The cost ratio is total policy cost divided by total status-quo cost on the same episodes. It excludes retail and contractual charges and must be interpreted only as the modeled wholesale proxy.</w:t>
      </w:r>
    </w:p>
    <w:p>
      <w:pPr>
        <w:pStyle w:val="Heading2"/>
        <w:keepNext/>
      </w:pPr>
      <w:r>
        <w:rPr>
          <w:rFonts w:ascii="Arial" w:cs="Arial" w:eastAsia="Arial" w:hAnsi="Arial"/>
        </w:rPr>
        <w:t xml:space="preserve">9.5 Behavior and safety</w:t>
      </w:r>
    </w:p>
    <w:p>
      <w:pPr>
        <w:spacing w:after="120" w:line="276"/>
      </w:pPr>
      <w:r>
        <w:rPr>
          <w:rFonts w:ascii="Arial" w:cs="Arial" w:eastAsia="Arial" w:hAnsi="Arial"/>
        </w:rPr>
        <w:t xml:space="preserve">The behavior audit records deferrable work executed before a forecast upward ramp and sums modeled data-center power during realized positive native one-hour ramps. The latter is a persisted comparison in repeated market-hour audit units; it is not the physical ramp metric itself.</w:t>
      </w:r>
    </w:p>
    <w:p>
      <w:pPr>
        <w:spacing w:after="120" w:line="276"/>
      </w:pPr>
      <w:r>
        <w:rPr>
          <w:rFonts w:ascii="Arial" w:cs="Arial" w:eastAsia="Arial" w:hAnsi="Arial"/>
        </w:rPr>
        <w:t xml:space="preserve">Safety checks require exact service, exact batch completion, zero expiry, zero terminal work, zero decoder certificates, emergency rate below 1%, no future leakage, positive pre-service behavior, and lower policy ramp-period power than status quo.</w:t>
      </w:r>
    </w:p>
    <w:p>
      <w:pPr>
        <w:pStyle w:val="Heading2"/>
        <w:keepNext/>
      </w:pPr>
      <w:r>
        <w:rPr>
          <w:rFonts w:ascii="Arial" w:cs="Arial" w:eastAsia="Arial" w:hAnsi="Arial"/>
        </w:rPr>
        <w:t xml:space="preserve">9.6 Uncertainty</w:t>
      </w:r>
    </w:p>
    <w:p>
      <w:pPr>
        <w:spacing w:after="120" w:line="276"/>
      </w:pPr>
      <w:r>
        <w:rPr>
          <w:rFonts w:ascii="Arial" w:cs="Arial" w:eastAsia="Arial" w:hAnsi="Arial"/>
        </w:rPr>
        <w:t xml:space="preserve">Each episode is a daily window. Day-block bootstrap resamples days with replacement. Month-block bootstrap resamples months. Both use 500 deterministic draws with a fixed seed. The intervals describe variability within the fixed calendar; they do not estimate uncertainty across future years or a superpopulation of markets.</w:t>
      </w:r>
    </w:p>
    <w:p>
      <w:pPr>
        <w:spacing w:after="120" w:line="276"/>
      </w:pPr>
      <w:r>
        <w:rPr>
          <w:rFonts w:ascii="Arial" w:cs="Arial" w:eastAsia="Arial" w:hAnsi="Arial"/>
        </w:rPr>
        <w:t xml:space="preserve">The six markets are not bootstrapped as iid observations. Per-market effects are shown individually, and the historical gate is conjunctive. The final ensemble is one fixed controller, so the sealed result does not estimate the training variability of newly trained ensembles.</w:t>
      </w:r>
    </w:p>
    <w:p>
      <w:pPr>
        <w:pStyle w:val="Heading1"/>
        <w:keepNext/>
        <w:pageBreakBefore/>
      </w:pPr>
      <w:r>
        <w:rPr>
          <w:rFonts w:ascii="Arial" w:cs="Arial" w:eastAsia="Arial" w:hAnsi="Arial"/>
        </w:rPr>
        <w:t xml:space="preserve">10. Reproducibility and Provenance</w:t>
      </w:r>
    </w:p>
    <w:p>
      <w:pPr>
        <w:spacing w:after="60" w:before="120"/>
        <w:jc w:val="center"/>
      </w:pPr>
      <w:r>
        <w:drawing>
          <wp:inline distT="0" distB="0" distL="0" distR="0">
            <wp:extent cx="6191250" cy="2657475"/>
            <wp:effectExtent t="0" r="0" b="0" l="0"/>
            <wp:docPr id="4" name="Figure 4. Reproducibility flow from licensed or public source products to manifests, daily windows, frozen models, immutable sealed evidence, and the additive post-hoc correction wrapper." descr="Figure 4. Reproducibility flow from licensed or public source products to manifests, daily windows, frozen models, immutable sealed evidence, and the additive post-hoc correction wrapper." title="Figure 4. Reproducibility flow from licensed or public source products to manifests, daily windows, frozen models, immutable sealed evidence, and the additive post-hoc correction wrapp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descr=""/>
                    <pic:cNvPicPr>
                      <a:picLocks noChangeAspect="1" noChangeArrowheads="1"/>
                    </pic:cNvPicPr>
                  </pic:nvPicPr>
                  <pic:blipFill>
                    <a:blip r:embed="rId12" cstate="none"/>
                    <a:srcRect/>
                    <a:stretch>
                      <a:fillRect/>
                    </a:stretch>
                  </pic:blipFill>
                  <pic:spPr bwMode="auto">
                    <a:xfrm>
                      <a:off x="0" y="0"/>
                      <a:ext cx="6191250" cy="2657475"/>
                    </a:xfrm>
                    <a:prstGeom prst="rect">
                      <a:avLst/>
                    </a:prstGeom>
                  </pic:spPr>
                </pic:pic>
              </a:graphicData>
            </a:graphic>
          </wp:inline>
        </w:drawing>
      </w:r>
    </w:p>
    <w:p>
      <w:pPr>
        <w:spacing w:after="180"/>
        <w:jc w:val="center"/>
      </w:pPr>
      <w:r>
        <w:rPr>
          <w:rFonts w:ascii="Arial" w:cs="Arial" w:eastAsia="Arial" w:hAnsi="Arial"/>
          <w:i/>
          <w:iCs/>
          <w:sz w:val="18"/>
          <w:szCs w:val="18"/>
        </w:rPr>
        <w:t xml:space="preserve">Figure 4. Reproducibility flow from licensed or public source products to manifests, daily windows, frozen models, immutable sealed evidence, and the additive post-hoc correction wrapper.</w:t>
      </w:r>
    </w:p>
    <w:p>
      <w:pPr>
        <w:pStyle w:val="Heading2"/>
        <w:keepNext/>
      </w:pPr>
      <w:r>
        <w:rPr>
          <w:rFonts w:ascii="Arial" w:cs="Arial" w:eastAsia="Arial" w:hAnsi="Arial"/>
        </w:rPr>
        <w:t xml:space="preserve">10.1 Software dependencies</w:t>
      </w:r>
    </w:p>
    <w:p>
      <w:pPr>
        <w:spacing w:after="120" w:line="276"/>
      </w:pPr>
      <w:r>
        <w:rPr>
          <w:rFonts w:ascii="Arial" w:cs="Arial" w:eastAsia="Arial" w:hAnsi="Arial"/>
        </w:rPr>
        <w:t xml:space="preserve">The tested stack includes Python, NumPy, pandas, PyTorch, Gymnasium, Stable-Baselines3 2.9.0, PyYAML, SciPy, matplotlib, Node.js, and </w:t>
      </w:r>
      <w:r>
        <w:rPr>
          <w:rFonts w:ascii="Courier New" w:cs="Courier New" w:eastAsia="Courier New" w:hAnsi="Courier New"/>
          <w:sz w:val="20"/>
          <w:szCs w:val="20"/>
          <w:shd w:fill="EEF1F4" w:val="clear"/>
        </w:rPr>
        <w:t xml:space="preserve">docx</w:t>
      </w:r>
      <w:r>
        <w:rPr>
          <w:rFonts w:ascii="Arial" w:cs="Arial" w:eastAsia="Arial" w:hAnsi="Arial"/>
        </w:rPr>
        <w:t xml:space="preserve"> 9.7.1. Install from a clean checkout:</w:t>
      </w:r>
    </w:p>
    <w:p>
      <w:pPr>
        <w:spacing w:after="0" w:before="100"/>
      </w:pPr>
      <w:r>
        <w:rPr>
          <w:rFonts w:ascii="Courier New" w:cs="Courier New" w:eastAsia="Courier New" w:hAnsi="Courier New"/>
          <w:b/>
          <w:bCs/>
          <w:sz w:val="17"/>
          <w:szCs w:val="17"/>
        </w:rPr>
        <w:t xml:space="preserve">powershell</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python -m pip install -r requirements.txt</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npm install</w:t>
      </w:r>
    </w:p>
    <w:p>
      <w:pPr>
        <w:spacing w:after="120"/>
      </w:pPr>
    </w:p>
    <w:p>
      <w:pPr>
        <w:spacing w:after="120" w:line="276"/>
      </w:pPr>
      <w:r>
        <w:rPr>
          <w:rFonts w:ascii="Arial" w:cs="Arial" w:eastAsia="Arial" w:hAnsi="Arial"/>
        </w:rPr>
        <w:t xml:space="preserve">Training and evaluation use CPU. Exact recovery assumes compatible numerical libraries and single-thread settings where recorded. Reproducing all five 110,592-interaction members is substantially slower than rebuilding the publication from committed evidence. Running five seeds concurrently also requires enough RAM for five PyTorch/SB3 processes; a smaller machine should run seeds sequentially. Hardware, BLAS, PyTorch, or SB3 changes can alter floating-point trajectories, so internal tensor and normalizer hashes, not merely successful process exit, determine whether a recovery is acceptable.</w:t>
      </w:r>
    </w:p>
    <w:p>
      <w:pPr>
        <w:pStyle w:val="Heading2"/>
        <w:keepNext/>
      </w:pPr>
      <w:r>
        <w:rPr>
          <w:rFonts w:ascii="Arial" w:cs="Arial" w:eastAsia="Arial" w:hAnsi="Arial"/>
        </w:rPr>
        <w:t xml:space="preserve">10.2 Verify the immutable sealed evidence</w:t>
      </w:r>
    </w:p>
    <w:p>
      <w:pPr>
        <w:spacing w:after="0" w:before="100"/>
      </w:pPr>
      <w:r>
        <w:rPr>
          <w:rFonts w:ascii="Courier New" w:cs="Courier New" w:eastAsia="Courier New" w:hAnsi="Courier New"/>
          <w:b/>
          <w:bCs/>
          <w:sz w:val="17"/>
          <w:szCs w:val="17"/>
        </w:rPr>
        <w:t xml:space="preserve">powershell</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python scripts\build_ramp_rl_thesis_results.py --v4r --audit-only</w:t>
      </w:r>
    </w:p>
    <w:p>
      <w:pPr>
        <w:spacing w:after="120"/>
      </w:pPr>
    </w:p>
    <w:p>
      <w:pPr>
        <w:spacing w:after="120" w:line="276"/>
      </w:pPr>
      <w:r>
        <w:rPr>
          <w:rFonts w:ascii="Arial" w:cs="Arial" w:eastAsia="Arial" w:hAnsi="Arial"/>
        </w:rPr>
        <w:t xml:space="preserve">The original sealed package remains under </w:t>
      </w:r>
      <w:r>
        <w:rPr>
          <w:rFonts w:ascii="Courier New" w:cs="Courier New" w:eastAsia="Courier New" w:hAnsi="Courier New"/>
          <w:sz w:val="20"/>
          <w:szCs w:val="20"/>
          <w:shd w:fill="EEF1F4" w:val="clear"/>
        </w:rPr>
        <w:t xml:space="preserve">output/ramp_rl_v6/recovered_v4r_resealed_v2/</w:t>
      </w:r>
      <w:r>
        <w:rPr>
          <w:rFonts w:ascii="Arial" w:cs="Arial" w:eastAsia="Arial" w:hAnsi="Arial"/>
        </w:rPr>
        <w:t xml:space="preserve">. It records one test opening and uses canonical JSON representation </w:t>
      </w:r>
      <w:r>
        <w:rPr>
          <w:rFonts w:ascii="Courier New" w:cs="Courier New" w:eastAsia="Courier New" w:hAnsi="Courier New"/>
          <w:sz w:val="20"/>
          <w:szCs w:val="20"/>
          <w:shd w:fill="EEF1F4" w:val="clear"/>
        </w:rPr>
        <w:t xml:space="preserve">canonical-json-utf8-sort-compact-v1</w:t>
      </w:r>
      <w:r>
        <w:rPr>
          <w:rFonts w:ascii="Arial" w:cs="Arial" w:eastAsia="Arial" w:hAnsi="Arial"/>
        </w:rPr>
        <w:t xml:space="preserve">. Tracked source identities use Git-blob bytes at explicit commits rather than platform-dependent working-tree bytes. Binary identities use raw bytes.</w:t>
      </w:r>
    </w:p>
    <w:p>
      <w:pPr>
        <w:spacing w:after="120" w:line="276"/>
      </w:pPr>
      <w:r>
        <w:rPr>
          <w:rFonts w:ascii="Arial" w:cs="Arial" w:eastAsia="Arial" w:hAnsi="Arial"/>
        </w:rPr>
        <w:t xml:space="preserve">Some historically generated panel manifests recorded Windows CRLF text hashes. The corrected factory verifier accepts only an exact match to the recorded raw hash, the same content normalized to LF, or the same content normalized to CRLF. This makes a clean checkout portable without weakening binary hashes or permitting content changes.</w:t>
      </w:r>
    </w:p>
    <w:p>
      <w:pPr>
        <w:spacing w:after="120" w:line="276"/>
      </w:pPr>
      <w:r>
        <w:rPr>
          <w:rFonts w:ascii="Arial" w:cs="Arial" w:eastAsia="Arial" w:hAnsi="Arial"/>
        </w:rPr>
        <w:t xml:space="preserve">The resealed package has </w:t>
      </w:r>
      <w:r>
        <w:rPr>
          <w:rFonts w:ascii="Courier New" w:cs="Courier New" w:eastAsia="Courier New" w:hAnsi="Courier New"/>
          <w:sz w:val="20"/>
          <w:szCs w:val="20"/>
          <w:shd w:fill="EEF1F4" w:val="clear"/>
        </w:rPr>
        <w:t xml:space="preserve">provenance-hash-chain-only</w:t>
      </w:r>
      <w:r>
        <w:rPr>
          <w:rFonts w:ascii="Arial" w:cs="Arial" w:eastAsia="Arial" w:hAnsi="Arial"/>
        </w:rPr>
        <w:t xml:space="preserve"> supersession scope over an earlier wrapper. It did not change numerical results.</w:t>
      </w:r>
    </w:p>
    <w:p>
      <w:pPr>
        <w:pStyle w:val="Heading2"/>
        <w:keepNext/>
      </w:pPr>
      <w:r>
        <w:rPr>
          <w:rFonts w:ascii="Arial" w:cs="Arial" w:eastAsia="Arial" w:hAnsi="Arial"/>
        </w:rPr>
        <w:t xml:space="preserve">10.3 Verify the post-hoc correction</w:t>
      </w:r>
    </w:p>
    <w:p>
      <w:pPr>
        <w:spacing w:after="120" w:line="276"/>
      </w:pPr>
      <w:r>
        <w:rPr>
          <w:rFonts w:ascii="Arial" w:cs="Arial" w:eastAsia="Arial" w:hAnsi="Arial"/>
        </w:rPr>
        <w:t xml:space="preserve">The authoritative corrected wrapper is verified without model binaries:</w:t>
      </w:r>
    </w:p>
    <w:p>
      <w:pPr>
        <w:spacing w:after="0" w:before="100"/>
      </w:pPr>
      <w:r>
        <w:rPr>
          <w:rFonts w:ascii="Courier New" w:cs="Courier New" w:eastAsia="Courier New" w:hAnsi="Courier New"/>
          <w:b/>
          <w:bCs/>
          <w:sz w:val="17"/>
          <w:szCs w:val="17"/>
        </w:rPr>
        <w:t xml:space="preserve">powershell</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python scripts\recompute_v4r_posthoc_metrics.py verify</w:t>
      </w:r>
    </w:p>
    <w:p>
      <w:pPr>
        <w:spacing w:after="120"/>
      </w:pPr>
    </w:p>
    <w:p>
      <w:pPr>
        <w:spacing w:after="120" w:line="276"/>
      </w:pPr>
      <w:r>
        <w:rPr>
          <w:rFonts w:ascii="Arial" w:cs="Arial" w:eastAsia="Arial" w:hAnsi="Arial"/>
        </w:rPr>
        <w:t xml:space="preserve">The command checks the original sealed canonical hash, corrected validation and test result hashes, correction declarations, absolute per-market physical metric contract, status-quo comparison, and decoder distribution.</w:t>
      </w:r>
    </w:p>
    <w:p>
      <w:pPr>
        <w:pStyle w:val="Heading2"/>
        <w:keepNext/>
      </w:pPr>
      <w:r>
        <w:rPr>
          <w:rFonts w:ascii="Arial" w:cs="Arial" w:eastAsia="Arial" w:hAnsi="Arial"/>
        </w:rPr>
        <w:t xml:space="preserve">10.4 Reconstruct checkpoints and recompute telemetry</w:t>
      </w:r>
    </w:p>
    <w:p>
      <w:pPr>
        <w:spacing w:after="120" w:line="276"/>
      </w:pPr>
      <w:r>
        <w:rPr>
          <w:rFonts w:ascii="Arial" w:cs="Arial" w:eastAsia="Arial" w:hAnsi="Arial"/>
        </w:rPr>
        <w:t xml:space="preserve">Raw recovered containers may be absent from a fresh clone because they are large ignored artifacts. Recovery must use the frozen historical V3 source and must not evaluate validation or test. The equivalence verifier is bound to stable recovery commit </w:t>
      </w:r>
      <w:r>
        <w:rPr>
          <w:rFonts w:ascii="Courier New" w:cs="Courier New" w:eastAsia="Courier New" w:hAnsi="Courier New"/>
          <w:sz w:val="20"/>
          <w:szCs w:val="20"/>
          <w:shd w:fill="EEF1F4" w:val="clear"/>
        </w:rPr>
        <w:t xml:space="preserve">d1d4828c32bada1ba1e852d0479c37bb71164561</w:t>
      </w:r>
      <w:r>
        <w:rPr>
          <w:rFonts w:ascii="Arial" w:cs="Arial" w:eastAsia="Arial" w:hAnsi="Arial"/>
        </w:rPr>
        <w:t xml:space="preserve">. The committed procedure is:</w:t>
      </w:r>
    </w:p>
    <w:p>
      <w:pPr>
        <w:spacing w:after="0" w:before="100"/>
      </w:pPr>
      <w:r>
        <w:rPr>
          <w:rFonts w:ascii="Courier New" w:cs="Courier New" w:eastAsia="Courier New" w:hAnsi="Courier New"/>
          <w:b/>
          <w:bCs/>
          <w:sz w:val="17"/>
          <w:szCs w:val="17"/>
        </w:rPr>
        <w:t xml:space="preserve">powershell</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git worktree add ..\dc-energy-v3-metric-recovery dede685</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Push-Location ..\dc-energy-v3-metric-recovery</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$env:OMP_NUM_THREADS = "1"</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$env:MKL_NUM_THREADS = "1"</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$env:OPENBLAS_NUM_THREADS = "1"</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$env:NUMEXPR_NUM_THREADS = "1"</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$jobs = foreach ($seed in 2801..2805)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$output = "models\ramp_rl_v6\recovery_v3_metric_replay\$seed"</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Start-Process python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-ArgumentList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"scripts\run_ramp_rl_v3.py", "train",</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"--seed", "$seed", "--output", $output</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-PassThru</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$jobs | Wait-Process</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python scripts\recover_ramp_rl_v3.py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--recovery-root models\ramp_rl_v6\recovery_v3_metric_replay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--manifest metric_replay_recovery_verification_raw.json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--allow-model-container-difference</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Pop-Location</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Copy-Item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..\dc-energy-v3-metric-recovery\models\ramp_rl_v6\recovery_v3_metric_replay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models\ramp_rl_v6\recovery_v3_metric_replay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-Recurse</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python scripts\bind_v4r_metric_replay_recovery.py bind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--raw-verification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..\dc-energy-v3-metric-recovery\metric_replay_recovery_verification_raw.json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--recovery-root models\ramp_rl_v6\recovery_v3_metric_replay</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python scripts\recompute_v4r_posthoc_metrics.py recompute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--recomputed-at-utc &lt;explicit-UTC-timestamp&gt;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--recovered-binary-root models\ramp_rl_v6\recovery_v3_metric_replay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--recovery-manifest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output\ramp_rl_v6\recovered_v4r_posthoc_metrics_v1\metric_replay_recovery_manifest.json</w:t>
      </w:r>
    </w:p>
    <w:p>
      <w:pPr>
        <w:spacing w:after="120"/>
      </w:pPr>
    </w:p>
    <w:p>
      <w:pPr>
        <w:spacing w:after="120" w:line="276"/>
      </w:pPr>
      <w:r>
        <w:rPr>
          <w:rFonts w:ascii="Arial" w:cs="Arial" w:eastAsia="Arial" w:hAnsi="Arial"/>
        </w:rPr>
        <w:t xml:space="preserve">The stable verifier compares initial and final actor/critic hashes, interactions, updates, normalizer bytes, pure-RL assertions, replay provenance, training-window sources, forecasts, factory identity, and job identity against the frozen manifests. It permits only outer </w:t>
      </w:r>
      <w:r>
        <w:rPr>
          <w:rFonts w:ascii="Courier New" w:cs="Courier New" w:eastAsia="Courier New" w:hAnsi="Courier New"/>
          <w:sz w:val="20"/>
          <w:szCs w:val="20"/>
          <w:shd w:fill="EEF1F4" w:val="clear"/>
        </w:rPr>
        <w:t xml:space="preserve">model.zip</w:t>
      </w:r>
      <w:r>
        <w:rPr>
          <w:rFonts w:ascii="Arial" w:cs="Arial" w:eastAsia="Arial" w:hAnsi="Arial"/>
        </w:rPr>
        <w:t xml:space="preserve"> metadata differences. The tracked recovery manifest records the new container hashes and proves that only training split data was observed. The metric replay then verifies that primary objective, cost, safety, behavior, and ensemble action-chain identities equal the immutable result before writing corrected telemetry.</w:t>
      </w:r>
    </w:p>
    <w:p>
      <w:pPr>
        <w:spacing w:after="120" w:line="276"/>
      </w:pPr>
      <w:r>
        <w:rPr>
          <w:rFonts w:ascii="Arial" w:cs="Arial" w:eastAsia="Arial" w:hAnsi="Arial"/>
        </w:rPr>
        <w:t xml:space="preserve">Checkpoint reconstruction executes the already frozen training computation after unblinding; the metric replay itself performs no learning. Neither is fresh generalization evidence: the reconstruction and March-April replay are not fresh generalization evidence. Reconstruction can reproduce tensors, normalizers, actions, and metrics exactly while producing a different outer ZIP hash because SB3 stores runtime and ZIP timestamps.</w:t>
      </w:r>
    </w:p>
    <w:p>
      <w:pPr>
        <w:pStyle w:val="Heading2"/>
        <w:keepNext/>
      </w:pPr>
      <w:r>
        <w:rPr>
          <w:rFonts w:ascii="Arial" w:cs="Arial" w:eastAsia="Arial" w:hAnsi="Arial"/>
        </w:rPr>
        <w:t xml:space="preserve">10.5 Rebuild tables, figures, Markdown, and DOCX</w:t>
      </w:r>
    </w:p>
    <w:p>
      <w:pPr>
        <w:spacing w:after="0" w:before="100"/>
      </w:pPr>
      <w:r>
        <w:rPr>
          <w:rFonts w:ascii="Courier New" w:cs="Courier New" w:eastAsia="Courier New" w:hAnsi="Courier New"/>
          <w:b/>
          <w:bCs/>
          <w:sz w:val="17"/>
          <w:szCs w:val="17"/>
        </w:rPr>
        <w:t xml:space="preserve">powershell</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python scripts\build_ramp_rl_thesis_results.py --corrected</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python scripts\build_ramp_thesis_figures.py</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python scripts\materialize_ramp_thesis.py --output thesis_paper.md</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python scripts\validate_ramp_thesis.py --source thesis_paper.md</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python scripts\build_final_thesis.py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--source thesis_paper.md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--output thesis_paper.docx</w:t>
      </w:r>
    </w:p>
    <w:p>
      <w:pPr>
        <w:spacing w:after="120"/>
      </w:pPr>
    </w:p>
    <w:p>
      <w:pPr>
        <w:spacing w:after="120" w:line="276"/>
      </w:pPr>
      <w:r>
        <w:rPr>
          <w:rFonts w:ascii="Arial" w:cs="Arial" w:eastAsia="Arial" w:hAnsi="Arial"/>
        </w:rPr>
        <w:t xml:space="preserve">The Markdown source is materialized from a hash-pinned template. The DOCX builder normalizes core timestamps, relationship IDs, drawing IDs, and ZIP timestamps. It validates package structure and XML. The figure manifest binds every included PNG to the corrected evidence package.</w:t>
      </w:r>
    </w:p>
    <w:p>
      <w:pPr>
        <w:pStyle w:val="Heading2"/>
        <w:keepNext/>
      </w:pPr>
      <w:r>
        <w:rPr>
          <w:rFonts w:ascii="Arial" w:cs="Arial" w:eastAsia="Arial" w:hAnsi="Arial"/>
        </w:rPr>
        <w:t xml:space="preserve">10.6 Audit trail</w:t>
      </w:r>
    </w:p>
    <w:p>
      <w:pPr>
        <w:spacing w:after="120" w:line="276"/>
      </w:pPr>
      <w:r>
        <w:rPr>
          <w:rFonts w:ascii="Arial" w:cs="Arial" w:eastAsia="Arial" w:hAnsi="Arial"/>
        </w:rPr>
        <w:t xml:space="preserve">A reviewer can audit from result to source:</w:t>
      </w:r>
    </w:p>
    <w:p>
      <w:pPr>
        <w:pStyle w:val="ListParagraph"/>
        <w:numPr>
          <w:ilvl w:val="0"/>
          <w:numId w:val="2"/>
        </w:numPr>
        <w:spacing w:after="60"/>
      </w:pPr>
      <w:r>
        <w:rPr>
          <w:rFonts w:ascii="Arial" w:cs="Arial" w:eastAsia="Arial" w:hAnsi="Arial"/>
        </w:rPr>
        <w:t xml:space="preserve">verify the corrected canonical wrapper hash;</w:t>
      </w:r>
    </w:p>
    <w:p>
      <w:pPr>
        <w:pStyle w:val="ListParagraph"/>
        <w:numPr>
          <w:ilvl w:val="0"/>
          <w:numId w:val="2"/>
        </w:numPr>
        <w:spacing w:after="60"/>
      </w:pPr>
      <w:r>
        <w:rPr>
          <w:rFonts w:ascii="Arial" w:cs="Arial" w:eastAsia="Arial" w:hAnsi="Arial"/>
        </w:rPr>
        <w:t xml:space="preserve">follow its reference to the immutable sealed canonical evidence;</w:t>
      </w:r>
    </w:p>
    <w:p>
      <w:pPr>
        <w:pStyle w:val="ListParagraph"/>
        <w:numPr>
          <w:ilvl w:val="0"/>
          <w:numId w:val="2"/>
        </w:numPr>
        <w:spacing w:after="60"/>
      </w:pPr>
      <w:r>
        <w:rPr>
          <w:rFonts w:ascii="Arial" w:cs="Arial" w:eastAsia="Arial" w:hAnsi="Arial"/>
        </w:rPr>
        <w:t xml:space="preserve">verify validation, test, recovery, source-freeze, and model bindings;</w:t>
      </w:r>
    </w:p>
    <w:p>
      <w:pPr>
        <w:pStyle w:val="ListParagraph"/>
        <w:numPr>
          <w:ilvl w:val="0"/>
          <w:numId w:val="2"/>
        </w:numPr>
        <w:spacing w:after="60"/>
      </w:pPr>
      <w:r>
        <w:rPr>
          <w:rFonts w:ascii="Arial" w:cs="Arial" w:eastAsia="Arial" w:hAnsi="Arial"/>
        </w:rPr>
        <w:t xml:space="preserve">inspect the corrected result's invariant audit;</w:t>
      </w:r>
    </w:p>
    <w:p>
      <w:pPr>
        <w:pStyle w:val="ListParagraph"/>
        <w:numPr>
          <w:ilvl w:val="0"/>
          <w:numId w:val="2"/>
        </w:numPr>
        <w:spacing w:after="60"/>
      </w:pPr>
      <w:r>
        <w:rPr>
          <w:rFonts w:ascii="Arial" w:cs="Arial" w:eastAsia="Arial" w:hAnsi="Arial"/>
        </w:rPr>
        <w:t xml:space="preserve">recompute per-market policy/status deltas from persisted episodes;</w:t>
      </w:r>
    </w:p>
    <w:p>
      <w:pPr>
        <w:pStyle w:val="ListParagraph"/>
        <w:numPr>
          <w:ilvl w:val="0"/>
          <w:numId w:val="2"/>
        </w:numPr>
        <w:spacing w:after="60"/>
      </w:pPr>
      <w:r>
        <w:rPr>
          <w:rFonts w:ascii="Arial" w:cs="Arial" w:eastAsia="Arial" w:hAnsi="Arial"/>
        </w:rPr>
        <w:t xml:space="preserve">inspect daily panel and fixture hashes in the factory manifest;</w:t>
      </w:r>
    </w:p>
    <w:p>
      <w:pPr>
        <w:pStyle w:val="ListParagraph"/>
        <w:numPr>
          <w:ilvl w:val="0"/>
          <w:numId w:val="2"/>
        </w:numPr>
        <w:spacing w:after="60"/>
      </w:pPr>
      <w:r>
        <w:rPr>
          <w:rFonts w:ascii="Arial" w:cs="Arial" w:eastAsia="Arial" w:hAnsi="Arial"/>
        </w:rPr>
        <w:t xml:space="preserve">inspect source products and cleaning in the acquisition manifest; and</w:t>
      </w:r>
    </w:p>
    <w:p>
      <w:pPr>
        <w:pStyle w:val="ListParagraph"/>
        <w:numPr>
          <w:ilvl w:val="0"/>
          <w:numId w:val="2"/>
        </w:numPr>
        <w:spacing w:after="60"/>
      </w:pPr>
      <w:r>
        <w:rPr>
          <w:rFonts w:ascii="Arial" w:cs="Arial" w:eastAsia="Arial" w:hAnsi="Arial"/>
        </w:rPr>
        <w:t xml:space="preserve">rebuild figures and the DOCX from the same evidence.</w:t>
      </w:r>
    </w:p>
    <w:p>
      <w:pPr>
        <w:pStyle w:val="Heading1"/>
        <w:keepNext/>
        <w:pageBreakBefore/>
      </w:pPr>
      <w:r>
        <w:rPr>
          <w:rFonts w:ascii="Arial" w:cs="Arial" w:eastAsia="Arial" w:hAnsi="Arial"/>
        </w:rPr>
        <w:t xml:space="preserve">11. Results</w:t>
      </w:r>
    </w:p>
    <w:p>
      <w:pPr>
        <w:pStyle w:val="Heading2"/>
        <w:keepNext/>
      </w:pPr>
      <w:r>
        <w:rPr>
          <w:rFonts w:ascii="Arial" w:cs="Arial" w:eastAsia="Arial" w:hAnsi="Arial"/>
        </w:rPr>
        <w:t xml:space="preserve">11.1 Evidence identities and correction scope</w:t>
      </w:r>
    </w:p>
    <w:p>
      <w:pPr>
        <w:spacing w:after="120" w:line="276"/>
      </w:pPr>
      <w:r>
        <w:rPr>
          <w:rFonts w:ascii="Arial" w:cs="Arial" w:eastAsia="Arial" w:hAnsi="Arial"/>
          <w:b/>
          <w:bCs/>
        </w:rPr>
        <w:t xml:space="preserve">Protocol:</w:t>
      </w:r>
      <w:r>
        <w:rPr>
          <w:rFonts w:ascii="Arial" w:cs="Arial" w:eastAsia="Arial" w:hAnsi="Arial"/>
        </w:rPr>
        <w:t xml:space="preserve"> </w:t>
      </w:r>
      <w:r>
        <w:rPr>
          <w:rFonts w:ascii="Courier New" w:cs="Courier New" w:eastAsia="Courier New" w:hAnsi="Courier New"/>
          <w:sz w:val="20"/>
          <w:szCs w:val="20"/>
          <w:shd w:fill="EEF1F4" w:val="clear"/>
        </w:rPr>
        <w:t xml:space="preserve">v6-ramp-pure-rl-recovered-equal-action-ensemble-v4r</w:t>
      </w:r>
    </w:p>
    <w:p>
      <w:pPr>
        <w:spacing w:after="120" w:line="276"/>
      </w:pPr>
      <w:r>
        <w:rPr>
          <w:rFonts w:ascii="Arial" w:cs="Arial" w:eastAsia="Arial" w:hAnsi="Arial"/>
          <w:b/>
          <w:bCs/>
        </w:rPr>
        <w:t xml:space="preserve">Protocol SHA-256:</w:t>
      </w:r>
      <w:r>
        <w:rPr>
          <w:rFonts w:ascii="Arial" w:cs="Arial" w:eastAsia="Arial" w:hAnsi="Arial"/>
        </w:rPr>
        <w:t xml:space="preserve"> </w:t>
      </w:r>
      <w:r>
        <w:rPr>
          <w:rFonts w:ascii="Courier New" w:cs="Courier New" w:eastAsia="Courier New" w:hAnsi="Courier New"/>
          <w:sz w:val="20"/>
          <w:szCs w:val="20"/>
          <w:shd w:fill="EEF1F4" w:val="clear"/>
        </w:rPr>
        <w:t xml:space="preserve">57310edca9e7b1e917be2901010352ad928d124beeaa5a10d21ae5fddd4f78dd</w:t>
      </w:r>
    </w:p>
    <w:p>
      <w:pPr>
        <w:spacing w:after="120" w:line="276"/>
      </w:pPr>
      <w:r>
        <w:rPr>
          <w:rFonts w:ascii="Arial" w:cs="Arial" w:eastAsia="Arial" w:hAnsi="Arial"/>
          <w:b/>
          <w:bCs/>
        </w:rPr>
        <w:t xml:space="preserve">Frozen experimental source commit:</w:t>
      </w:r>
      <w:r>
        <w:rPr>
          <w:rFonts w:ascii="Arial" w:cs="Arial" w:eastAsia="Arial" w:hAnsi="Arial"/>
        </w:rPr>
        <w:t xml:space="preserve"> </w:t>
      </w:r>
      <w:r>
        <w:rPr>
          <w:rFonts w:ascii="Courier New" w:cs="Courier New" w:eastAsia="Courier New" w:hAnsi="Courier New"/>
          <w:sz w:val="20"/>
          <w:szCs w:val="20"/>
          <w:shd w:fill="EEF1F4" w:val="clear"/>
        </w:rPr>
        <w:t xml:space="preserve">46329fe765f596f84eeac71f061dcbd191a90583</w:t>
      </w:r>
    </w:p>
    <w:p>
      <w:pPr>
        <w:spacing w:after="120" w:line="276"/>
      </w:pPr>
      <w:r>
        <w:rPr>
          <w:rFonts w:ascii="Arial" w:cs="Arial" w:eastAsia="Arial" w:hAnsi="Arial"/>
          <w:b/>
          <w:bCs/>
        </w:rPr>
        <w:t xml:space="preserve">Provenance hash contract:</w:t>
      </w:r>
      <w:r>
        <w:rPr>
          <w:rFonts w:ascii="Arial" w:cs="Arial" w:eastAsia="Arial" w:hAnsi="Arial"/>
        </w:rPr>
        <w:t xml:space="preserve"> </w:t>
      </w:r>
      <w:r>
        <w:rPr>
          <w:rFonts w:ascii="Courier New" w:cs="Courier New" w:eastAsia="Courier New" w:hAnsi="Courier New"/>
          <w:sz w:val="20"/>
          <w:szCs w:val="20"/>
          <w:shd w:fill="EEF1F4" w:val="clear"/>
        </w:rPr>
        <w:t xml:space="preserve">dc-energy-provenance-sha256-v2</w:t>
      </w:r>
    </w:p>
    <w:p>
      <w:pPr>
        <w:spacing w:after="120" w:line="276"/>
      </w:pPr>
      <w:r>
        <w:rPr>
          <w:rFonts w:ascii="Arial" w:cs="Arial" w:eastAsia="Arial" w:hAnsi="Arial"/>
          <w:b/>
          <w:bCs/>
        </w:rPr>
        <w:t xml:space="preserve">Canonical JSON representation:</w:t>
      </w:r>
      <w:r>
        <w:rPr>
          <w:rFonts w:ascii="Arial" w:cs="Arial" w:eastAsia="Arial" w:hAnsi="Arial"/>
        </w:rPr>
        <w:t xml:space="preserve"> </w:t>
      </w:r>
      <w:r>
        <w:rPr>
          <w:rFonts w:ascii="Courier New" w:cs="Courier New" w:eastAsia="Courier New" w:hAnsi="Courier New"/>
          <w:sz w:val="20"/>
          <w:szCs w:val="20"/>
          <w:shd w:fill="EEF1F4" w:val="clear"/>
        </w:rPr>
        <w:t xml:space="preserve">canonical-json-utf8-sort-compact-v1</w:t>
      </w:r>
    </w:p>
    <w:p>
      <w:pPr>
        <w:spacing w:after="120" w:line="276"/>
      </w:pPr>
      <w:r>
        <w:rPr>
          <w:rFonts w:ascii="Arial" w:cs="Arial" w:eastAsia="Arial" w:hAnsi="Arial"/>
          <w:b/>
          <w:bCs/>
        </w:rPr>
        <w:t xml:space="preserve">Immutable sealed canonical SHA-256:</w:t>
      </w:r>
      <w:r>
        <w:rPr>
          <w:rFonts w:ascii="Arial" w:cs="Arial" w:eastAsia="Arial" w:hAnsi="Arial"/>
        </w:rPr>
        <w:t xml:space="preserve"> </w:t>
      </w:r>
      <w:r>
        <w:rPr>
          <w:rFonts w:ascii="Courier New" w:cs="Courier New" w:eastAsia="Courier New" w:hAnsi="Courier New"/>
          <w:sz w:val="20"/>
          <w:szCs w:val="20"/>
          <w:shd w:fill="EEF1F4" w:val="clear"/>
        </w:rPr>
        <w:t xml:space="preserve">f642bd5868abdd9f7cda2a6fffb228250f3570fd0c6d440085da68c976892d9b</w:t>
      </w:r>
    </w:p>
    <w:p>
      <w:pPr>
        <w:spacing w:after="120" w:line="276"/>
      </w:pPr>
      <w:r>
        <w:rPr>
          <w:rFonts w:ascii="Arial" w:cs="Arial" w:eastAsia="Arial" w:hAnsi="Arial"/>
          <w:b/>
          <w:bCs/>
        </w:rPr>
        <w:t xml:space="preserve">Metric-replay checkpoint recovery SHA-256:</w:t>
      </w:r>
      <w:r>
        <w:rPr>
          <w:rFonts w:ascii="Arial" w:cs="Arial" w:eastAsia="Arial" w:hAnsi="Arial"/>
        </w:rPr>
        <w:t xml:space="preserve"> </w:t>
      </w:r>
      <w:r>
        <w:rPr>
          <w:rFonts w:ascii="Courier New" w:cs="Courier New" w:eastAsia="Courier New" w:hAnsi="Courier New"/>
          <w:sz w:val="20"/>
          <w:szCs w:val="20"/>
          <w:shd w:fill="EEF1F4" w:val="clear"/>
        </w:rPr>
        <w:t xml:space="preserve">26e9c77a1d932ff7edb66fe8b7d55b6f769a2e2029a49c95411b62465b14f064</w:t>
      </w:r>
    </w:p>
    <w:p>
      <w:pPr>
        <w:spacing w:after="120" w:line="276"/>
      </w:pPr>
      <w:r>
        <w:rPr>
          <w:rFonts w:ascii="Arial" w:cs="Arial" w:eastAsia="Arial" w:hAnsi="Arial"/>
          <w:b/>
          <w:bCs/>
        </w:rPr>
        <w:t xml:space="preserve">Authoritative post-hoc correction SHA-256:</w:t>
      </w:r>
      <w:r>
        <w:rPr>
          <w:rFonts w:ascii="Arial" w:cs="Arial" w:eastAsia="Arial" w:hAnsi="Arial"/>
        </w:rPr>
        <w:t xml:space="preserve"> </w:t>
      </w:r>
      <w:r>
        <w:rPr>
          <w:rFonts w:ascii="Courier New" w:cs="Courier New" w:eastAsia="Courier New" w:hAnsi="Courier New"/>
          <w:sz w:val="20"/>
          <w:szCs w:val="20"/>
          <w:shd w:fill="EEF1F4" w:val="clear"/>
        </w:rPr>
        <w:t xml:space="preserve">42bbcf4c4cd2cca58cfce0e07319d5280145e0fac948a7fe66d2a6582e379d4b</w:t>
      </w:r>
    </w:p>
    <w:p>
      <w:pPr>
        <w:spacing w:after="120" w:line="276"/>
      </w:pPr>
      <w:r>
        <w:rPr>
          <w:rFonts w:ascii="Arial" w:cs="Arial" w:eastAsia="Arial" w:hAnsi="Arial"/>
          <w:b/>
          <w:bCs/>
        </w:rPr>
        <w:t xml:space="preserve">Correction classification:</w:t>
      </w:r>
      <w:r>
        <w:rPr>
          <w:rFonts w:ascii="Arial" w:cs="Arial" w:eastAsia="Arial" w:hAnsi="Arial"/>
        </w:rPr>
        <w:t xml:space="preserve"> </w:t>
      </w:r>
      <w:r>
        <w:rPr>
          <w:rFonts w:ascii="Courier New" w:cs="Courier New" w:eastAsia="Courier New" w:hAnsi="Courier New"/>
          <w:sz w:val="20"/>
          <w:szCs w:val="20"/>
          <w:shd w:fill="EEF1F4" w:val="clear"/>
        </w:rPr>
        <w:t xml:space="preserve">post_hoc_frozen_policy_metric_recomputation; not_a_second_sealed_generalization_test</w:t>
      </w:r>
    </w:p>
    <w:p>
      <w:pPr>
        <w:pStyle w:val="Heading2"/>
        <w:keepNext/>
      </w:pPr>
      <w:r>
        <w:rPr>
          <w:rFonts w:ascii="Arial" w:cs="Arial" w:eastAsia="Arial" w:hAnsi="Arial"/>
        </w:rPr>
        <w:t xml:space="preserve">11.2 Primary validation and test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6"/>
                <w:szCs w:val="16"/>
              </w:rPr>
              <w:t xml:space="preserve">Split</w:t>
            </w:r>
          </w:p>
        </w:tc>
        <w:tc>
          <w:tcPr>
            <w:tcW w:type="dxa" w:w="156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6"/>
                <w:szCs w:val="16"/>
              </w:rPr>
              <w:t xml:space="preserve">Episodes</w:t>
            </w:r>
          </w:p>
        </w:tc>
        <w:tc>
          <w:tcPr>
            <w:tcW w:type="dxa" w:w="156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6"/>
                <w:szCs w:val="16"/>
              </w:rPr>
              <w:t xml:space="preserve">Mean native-relative incremental ramp impact</w:t>
            </w:r>
          </w:p>
        </w:tc>
        <w:tc>
          <w:tcPr>
            <w:tcW w:type="dxa" w:w="156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6"/>
                <w:szCs w:val="16"/>
              </w:rPr>
              <w:t xml:space="preserve">DA cost ratio</w:t>
            </w:r>
          </w:p>
        </w:tc>
        <w:tc>
          <w:tcPr>
            <w:tcW w:type="dxa" w:w="156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6"/>
                <w:szCs w:val="16"/>
              </w:rPr>
              <w:t xml:space="preserve">Every policy market negative vs native</w:t>
            </w:r>
          </w:p>
        </w:tc>
        <w:tc>
          <w:tcPr>
            <w:tcW w:type="dxa" w:w="156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6"/>
                <w:szCs w:val="16"/>
              </w:rPr>
              <w:t xml:space="preserve">Historical strict gates</w:t>
            </w:r>
          </w:p>
        </w:tc>
      </w:tr>
      <w:tr>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February validation</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28</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-1.40869071979e-05</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0.985828067278</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true</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true</w:t>
            </w:r>
          </w:p>
        </w:tc>
      </w:tr>
      <w:tr>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March-April sealed test</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60</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-1.42587105143e-05</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0.977558440249</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true</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true</w:t>
            </w:r>
          </w:p>
        </w:tc>
      </w:tr>
    </w:tbl>
    <w:p>
      <w:pPr>
        <w:spacing w:after="120"/>
      </w:pPr>
    </w:p>
    <w:p>
      <w:pPr>
        <w:spacing w:after="120" w:line="276"/>
      </w:pPr>
      <w:r>
        <w:rPr>
          <w:rFonts w:ascii="Arial" w:cs="Arial" w:eastAsia="Arial" w:hAnsi="Arial"/>
        </w:rPr>
        <w:t xml:space="preserve">Validation uncertainty: 95% day-block interval [-1.4993411575e-05, -1.3151365992e-05] from 500 draws.</w:t>
      </w:r>
    </w:p>
    <w:p>
      <w:pPr>
        <w:spacing w:after="120" w:line="276"/>
      </w:pPr>
      <w:r>
        <w:rPr>
          <w:rFonts w:ascii="Arial" w:cs="Arial" w:eastAsia="Arial" w:hAnsi="Arial"/>
        </w:rPr>
        <w:t xml:space="preserve">Test uncertainty: 95% day-block interval [-1.4922706381e-05, -1.3524515743e-05] from 500 draws and 95% month-block interval [-1.5155776266e-05, -1.3299778159e-05] from 500 draws.</w:t>
      </w:r>
    </w:p>
    <w:p>
      <w:pPr>
        <w:spacing w:after="120" w:line="276"/>
      </w:pPr>
      <w:r>
        <w:rPr>
          <w:rFonts w:ascii="Arial" w:cs="Arial" w:eastAsia="Arial" w:hAnsi="Arial"/>
          <w:b/>
          <w:bCs/>
        </w:rPr>
        <w:t xml:space="preserve">Final verdict code:</w:t>
      </w:r>
      <w:r>
        <w:rPr>
          <w:rFonts w:ascii="Arial" w:cs="Arial" w:eastAsia="Arial" w:hAnsi="Arial"/>
        </w:rPr>
        <w:t xml:space="preserve"> </w:t>
      </w:r>
      <w:r>
        <w:rPr>
          <w:rFonts w:ascii="Courier New" w:cs="Courier New" w:eastAsia="Courier New" w:hAnsi="Courier New"/>
          <w:sz w:val="20"/>
          <w:szCs w:val="20"/>
          <w:shd w:fill="EEF1F4" w:val="clear"/>
        </w:rPr>
        <w:t xml:space="preserve">sealed_test_success_with_posthoc_telemetry_correction</w:t>
      </w:r>
    </w:p>
    <w:p>
      <w:pPr>
        <w:spacing w:after="60" w:before="120"/>
        <w:jc w:val="center"/>
      </w:pPr>
      <w:r>
        <w:drawing>
          <wp:inline distT="0" distB="0" distL="0" distR="0">
            <wp:extent cx="6191250" cy="3514725"/>
            <wp:effectExtent t="0" r="0" b="0" l="0"/>
            <wp:docPr id="5" name="Figure 5. Primary incremental squared-ramp effect with the day-block 95% interval; validation and sealed test remain separate." descr="Figure 5. Primary incremental squared-ramp effect with the day-block 95% interval; validation and sealed test remain separate." title="Figure 5. Primary incremental squared-ramp effect with the day-block 95% interval; validation and sealed test remain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1" noChangeArrowheads="1"/>
                    </pic:cNvPicPr>
                  </pic:nvPicPr>
                  <pic:blipFill>
                    <a:blip r:embed="rId13" cstate="none"/>
                    <a:srcRect/>
                    <a:stretch>
                      <a:fillRect/>
                    </a:stretch>
                  </pic:blipFill>
                  <pic:spPr bwMode="auto">
                    <a:xfrm>
                      <a:off x="0" y="0"/>
                      <a:ext cx="6191250" cy="3514725"/>
                    </a:xfrm>
                    <a:prstGeom prst="rect">
                      <a:avLst/>
                    </a:prstGeom>
                  </pic:spPr>
                </pic:pic>
              </a:graphicData>
            </a:graphic>
          </wp:inline>
        </w:drawing>
      </w:r>
    </w:p>
    <w:p>
      <w:pPr>
        <w:spacing w:after="180"/>
        <w:jc w:val="center"/>
      </w:pPr>
      <w:r>
        <w:rPr>
          <w:rFonts w:ascii="Arial" w:cs="Arial" w:eastAsia="Arial" w:hAnsi="Arial"/>
          <w:i/>
          <w:iCs/>
          <w:sz w:val="18"/>
          <w:szCs w:val="18"/>
        </w:rPr>
        <w:t xml:space="preserve">Figure 5. Primary incremental squared-ramp effect with the day-block 95% interval; validation and sealed test remain separate.</w:t>
      </w:r>
    </w:p>
    <w:p>
      <w:pPr>
        <w:spacing w:after="120" w:line="276"/>
      </w:pPr>
      <w:r>
        <w:rPr>
          <w:rFonts w:ascii="Arial" w:cs="Arial" w:eastAsia="Arial" w:hAnsi="Arial"/>
        </w:rPr>
        <w:t xml:space="preserve">The primary result is negative and its fixed-calendar day-block interval remains below zero. This supports reduced incremental squared-ramp impact in the modeled test period. It is the headline result.</w:t>
      </w:r>
    </w:p>
    <w:p>
      <w:pPr>
        <w:pStyle w:val="Heading2"/>
        <w:keepNext/>
      </w:pPr>
      <w:r>
        <w:rPr>
          <w:rFonts w:ascii="Arial" w:cs="Arial" w:eastAsia="Arial" w:hAnsi="Arial"/>
        </w:rPr>
        <w:t xml:space="preserve">11.3 Native-grid-relative market impacts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Evaluated market</w:t>
            </w:r>
          </w:p>
        </w:tc>
        <w:tc>
          <w:tcPr>
            <w:tcW w:type="dxa" w:w="234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Validation policy vs native</w:t>
            </w:r>
          </w:p>
        </w:tc>
        <w:tc>
          <w:tcPr>
            <w:tcW w:type="dxa" w:w="234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Sealed-test policy vs native</w:t>
            </w:r>
          </w:p>
        </w:tc>
        <w:tc>
          <w:tcPr>
            <w:tcW w:type="dxa" w:w="234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Historical native-relative gate</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CAISO NP15</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-1.8414305411e-05</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-2.1065969624e-05</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negative (pass)</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ERCOT North</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-3.2585091348e-06</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-2.3454355897e-06</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negative (pass)</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ISO-NE NEMA</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-2.1716239336e-05</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-2.7491577052e-05</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negative (pass)</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MISO Minnesota Hub</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-2.9472402337e-07</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-5.652448501e-07</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negative (pass)</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NYISO Zone J</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-3.7629896454e-05</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-3.2978547293e-05</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negative (pass)</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SPP North Hub</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-3.2077688281e-06</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-1.1054886764e-06</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negative (pass)</w:t>
            </w:r>
          </w:p>
        </w:tc>
      </w:tr>
    </w:tbl>
    <w:p>
      <w:pPr>
        <w:spacing w:after="120"/>
      </w:pPr>
    </w:p>
    <w:p>
      <w:pPr>
        <w:spacing w:after="120" w:line="276"/>
      </w:pPr>
      <w:r>
        <w:rPr>
          <w:rFonts w:ascii="Arial" w:cs="Arial" w:eastAsia="Arial" w:hAnsi="Arial"/>
        </w:rPr>
        <w:t xml:space="preserve">All six policy values are negative relative to native grid ramps. That is the meaning of the historical market gate.</w:t>
      </w:r>
    </w:p>
    <w:p>
      <w:pPr>
        <w:pStyle w:val="Heading2"/>
        <w:keepNext/>
      </w:pPr>
      <w:r>
        <w:rPr>
          <w:rFonts w:ascii="Arial" w:cs="Arial" w:eastAsia="Arial" w:hAnsi="Arial"/>
        </w:rPr>
        <w:t xml:space="preserve">11.4 Policy versus status quo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7"/>
                <w:szCs w:val="17"/>
              </w:rPr>
              <w:t xml:space="preserve">Evaluated market</w:t>
            </w:r>
          </w:p>
        </w:tc>
        <w:tc>
          <w:tcPr>
            <w:tcW w:type="dxa" w:w="1872"/>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7"/>
                <w:szCs w:val="17"/>
              </w:rPr>
              <w:t xml:space="preserve">Policy vs native</w:t>
            </w:r>
          </w:p>
        </w:tc>
        <w:tc>
          <w:tcPr>
            <w:tcW w:type="dxa" w:w="1872"/>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7"/>
                <w:szCs w:val="17"/>
              </w:rPr>
              <w:t xml:space="preserve">Status quo vs native</w:t>
            </w:r>
          </w:p>
        </w:tc>
        <w:tc>
          <w:tcPr>
            <w:tcW w:type="dxa" w:w="1872"/>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7"/>
                <w:szCs w:val="17"/>
              </w:rPr>
              <w:t xml:space="preserve">Policy - status quo</w:t>
            </w:r>
          </w:p>
        </w:tc>
        <w:tc>
          <w:tcPr>
            <w:tcW w:type="dxa" w:w="1872"/>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7"/>
                <w:szCs w:val="17"/>
              </w:rPr>
              <w:t xml:space="preserve">Policy better?</w:t>
            </w:r>
          </w:p>
        </w:tc>
      </w:tr>
      <w:tr>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CAISO NP15</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-2.1065969624e-05</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-1.5618292546e-06</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-1.9504140369e-05</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true</w:t>
            </w:r>
          </w:p>
        </w:tc>
      </w:tr>
      <w:tr>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ERCOT North</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-2.3454355897e-06</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-1.5413318069e-06</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-8.0410378277e-07</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true</w:t>
            </w:r>
          </w:p>
        </w:tc>
      </w:tr>
      <w:tr>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ISO-NE NEMA</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-2.7491577052e-05</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-3.581524167e-06</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-2.3910052885e-05</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true</w:t>
            </w:r>
          </w:p>
        </w:tc>
      </w:tr>
      <w:tr>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MISO Minnesota Hub</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-5.652448501e-07</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-1.1404305922e-06</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5.7518574212e-07</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false</w:t>
            </w:r>
          </w:p>
        </w:tc>
      </w:tr>
      <w:tr>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NYISO Zone J</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-3.2978547293e-05</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4.3563737587e-06</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-3.7334921052e-05</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true</w:t>
            </w:r>
          </w:p>
        </w:tc>
      </w:tr>
      <w:tr>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SPP North Hub</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-1.1054886764e-06</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-3.9831872909e-07</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-7.0716994734e-07</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true</w:t>
            </w:r>
          </w:p>
        </w:tc>
      </w:tr>
    </w:tbl>
    <w:p>
      <w:pPr>
        <w:spacing w:after="120"/>
      </w:pPr>
    </w:p>
    <w:p>
      <w:pPr>
        <w:spacing w:after="120" w:line="276"/>
      </w:pPr>
      <w:r>
        <w:rPr>
          <w:rFonts w:ascii="Arial" w:cs="Arial" w:eastAsia="Arial" w:hAnsi="Arial"/>
        </w:rPr>
        <w:t xml:space="preserve">Overall policy-minus-status-quo mean: -1.36142003824e-05. Markets better: 5/6 (83.3%). Every market outperforms status quo: false.</w:t>
      </w:r>
    </w:p>
    <w:p>
      <w:pPr>
        <w:spacing w:after="60" w:before="120"/>
        <w:jc w:val="center"/>
      </w:pPr>
      <w:r>
        <w:drawing>
          <wp:inline distT="0" distB="0" distL="0" distR="0">
            <wp:extent cx="6191250" cy="2676525"/>
            <wp:effectExtent t="0" r="0" b="0" l="0"/>
            <wp:docPr id="6" name="Figure 6. Separate sealed-test views of policy native-grid-relative impact and policy-minus-status-quo impact; five of six markets favor policy and MISO is the exception." descr="Figure 6. Separate sealed-test views of policy native-grid-relative impact and policy-minus-status-quo impact; five of six markets favor policy and MISO is the exception." title="Figure 6. Separate sealed-test views of policy native-grid-relative impact and policy-minus-status-quo impact; five of six markets favor policy and MISO is the exce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descr=""/>
                    <pic:cNvPicPr>
                      <a:picLocks noChangeAspect="1" noChangeArrowheads="1"/>
                    </pic:cNvPicPr>
                  </pic:nvPicPr>
                  <pic:blipFill>
                    <a:blip r:embed="rId14" cstate="none"/>
                    <a:srcRect/>
                    <a:stretch>
                      <a:fillRect/>
                    </a:stretch>
                  </pic:blipFill>
                  <pic:spPr bwMode="auto">
                    <a:xfrm>
                      <a:off x="0" y="0"/>
                      <a:ext cx="6191250" cy="2676525"/>
                    </a:xfrm>
                    <a:prstGeom prst="rect">
                      <a:avLst/>
                    </a:prstGeom>
                  </pic:spPr>
                </pic:pic>
              </a:graphicData>
            </a:graphic>
          </wp:inline>
        </w:drawing>
      </w:r>
    </w:p>
    <w:p>
      <w:pPr>
        <w:spacing w:after="180"/>
        <w:jc w:val="center"/>
      </w:pPr>
      <w:r>
        <w:rPr>
          <w:rFonts w:ascii="Arial" w:cs="Arial" w:eastAsia="Arial" w:hAnsi="Arial"/>
          <w:i/>
          <w:iCs/>
          <w:sz w:val="18"/>
          <w:szCs w:val="18"/>
        </w:rPr>
        <w:t xml:space="preserve">Figure 6. Separate sealed-test views of policy native-grid-relative impact and policy-minus-status-quo impact; five of six markets favor policy and MISO is the exception.</w:t>
      </w:r>
    </w:p>
    <w:p>
      <w:pPr>
        <w:spacing w:after="120" w:line="276"/>
      </w:pPr>
      <w:r>
        <w:rPr>
          <w:rFonts w:ascii="Arial" w:cs="Arial" w:eastAsia="Arial" w:hAnsi="Arial"/>
        </w:rPr>
        <w:t xml:space="preserve">Policy outperforms status quo in five of six markets. MISO is worse: policy is about -5.65e-07 relative to native, while status quo is about -1.14e-06; because more negative is better, the baseline reduces the squared ramp more in MISO. The overall macro policy-minus-status-quo effect nevertheless strongly favors policy.</w:t>
      </w:r>
    </w:p>
    <w:p>
      <w:pPr>
        <w:spacing w:after="120" w:line="276"/>
      </w:pPr>
      <w:r>
        <w:rPr>
          <w:rFonts w:ascii="Arial" w:cs="Arial" w:eastAsia="Arial" w:hAnsi="Arial"/>
        </w:rPr>
        <w:t xml:space="preserve">CAISO, ISO-NE, and NYISO contribute much larger favorable values than ERCOT, MISO, or SPP. The experiment did not isolate a causal reason for that concentration. Plausible hypotheses include market scale, workload shape, power-model coefficients, forecasts, native ramps, prices, and decoder binding, but testing those explanations requires ablations. MISO and SPP must not be described as large wins.</w:t>
      </w:r>
    </w:p>
    <w:p>
      <w:pPr>
        <w:pStyle w:val="Heading2"/>
        <w:keepNext/>
      </w:pPr>
      <w:r>
        <w:rPr>
          <w:rFonts w:ascii="Arial" w:cs="Arial" w:eastAsia="Arial" w:hAnsi="Arial"/>
        </w:rPr>
        <w:t xml:space="preserve">11.5 Ramp-period power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7"/>
                <w:szCs w:val="17"/>
              </w:rPr>
              <w:t xml:space="preserve">Split</w:t>
            </w:r>
          </w:p>
        </w:tc>
        <w:tc>
          <w:tcPr>
            <w:tcW w:type="dxa" w:w="1872"/>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7"/>
                <w:szCs w:val="17"/>
              </w:rPr>
              <w:t xml:space="preserve">Deferrable pre-service</w:t>
            </w:r>
          </w:p>
        </w:tc>
        <w:tc>
          <w:tcPr>
            <w:tcW w:type="dxa" w:w="1872"/>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7"/>
                <w:szCs w:val="17"/>
              </w:rPr>
              <w:t xml:space="preserve">Status-quo ramp power</w:t>
            </w:r>
          </w:p>
        </w:tc>
        <w:tc>
          <w:tcPr>
            <w:tcW w:type="dxa" w:w="1872"/>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7"/>
                <w:szCs w:val="17"/>
              </w:rPr>
              <w:t xml:space="preserve">Policy ramp power</w:t>
            </w:r>
          </w:p>
        </w:tc>
        <w:tc>
          <w:tcPr>
            <w:tcW w:type="dxa" w:w="1872"/>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7"/>
                <w:szCs w:val="17"/>
              </w:rPr>
              <w:t xml:space="preserve">Reduction</w:t>
            </w:r>
          </w:p>
        </w:tc>
      </w:tr>
      <w:tr>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Validation</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322.27994</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135587.9364</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132335.4306</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2.399%</w:t>
            </w:r>
          </w:p>
        </w:tc>
      </w:tr>
      <w:tr>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Sealed test</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692.585819</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313167.2267</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303077.9036</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3.222%</w:t>
            </w:r>
          </w:p>
        </w:tc>
      </w:tr>
    </w:tbl>
    <w:p>
      <w:pPr>
        <w:spacing w:after="120"/>
      </w:pPr>
    </w:p>
    <w:p>
      <w:pPr>
        <w:spacing w:after="60" w:before="120"/>
        <w:jc w:val="center"/>
      </w:pPr>
      <w:r>
        <w:drawing>
          <wp:inline distT="0" distB="0" distL="0" distR="0">
            <wp:extent cx="6191250" cy="3914775"/>
            <wp:effectExtent t="0" r="0" b="0" l="0"/>
            <wp:docPr id="7" name="Figure 7. Persisted ramp-period power audit falls from status quo to V4R; units are repeated market-hour audit sums, not a single MW ramp." descr="Figure 7. Persisted ramp-period power audit falls from status quo to V4R; units are repeated market-hour audit sums, not a single MW ramp." title="Figure 7. Persisted ramp-period power audit falls from status quo to V4R; units are repeated market-hour audit sums, not a single MW ra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descr=""/>
                    <pic:cNvPicPr>
                      <a:picLocks noChangeAspect="1" noChangeArrowheads="1"/>
                    </pic:cNvPicPr>
                  </pic:nvPicPr>
                  <pic:blipFill>
                    <a:blip r:embed="rId15" cstate="none"/>
                    <a:srcRect/>
                    <a:stretch>
                      <a:fillRect/>
                    </a:stretch>
                  </pic:blipFill>
                  <pic:spPr bwMode="auto">
                    <a:xfrm>
                      <a:off x="0" y="0"/>
                      <a:ext cx="6191250" cy="3914775"/>
                    </a:xfrm>
                    <a:prstGeom prst="rect">
                      <a:avLst/>
                    </a:prstGeom>
                  </pic:spPr>
                </pic:pic>
              </a:graphicData>
            </a:graphic>
          </wp:inline>
        </w:drawing>
      </w:r>
    </w:p>
    <w:p>
      <w:pPr>
        <w:spacing w:after="180"/>
        <w:jc w:val="center"/>
      </w:pPr>
      <w:r>
        <w:rPr>
          <w:rFonts w:ascii="Arial" w:cs="Arial" w:eastAsia="Arial" w:hAnsi="Arial"/>
          <w:i/>
          <w:iCs/>
          <w:sz w:val="18"/>
          <w:szCs w:val="18"/>
        </w:rPr>
        <w:t xml:space="preserve">Figure 7. Persisted ramp-period power audit falls from status quo to V4R; units are repeated market-hour audit sums, not a single MW ramp.</w:t>
      </w:r>
    </w:p>
    <w:p>
      <w:pPr>
        <w:spacing w:after="120" w:line="276"/>
      </w:pPr>
      <w:r>
        <w:rPr>
          <w:rFonts w:ascii="Arial" w:cs="Arial" w:eastAsia="Arial" w:hAnsi="Arial"/>
        </w:rPr>
        <w:t xml:space="preserve">The test audit falls from about 313,167 to 303,078 units, a 3.22% reduction. This is behavior evidence consistent with pre-serving work, not a conversion of the primary normalized squared-ramp metric into MW.</w:t>
      </w:r>
    </w:p>
    <w:p>
      <w:pPr>
        <w:pStyle w:val="Heading2"/>
        <w:keepNext/>
      </w:pPr>
      <w:r>
        <w:rPr>
          <w:rFonts w:ascii="Arial" w:cs="Arial" w:eastAsia="Arial" w:hAnsi="Arial"/>
        </w:rPr>
        <w:t xml:space="preserve">11.6 Physical adjusted-ramp magnitudes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7"/>
                <w:szCs w:val="17"/>
              </w:rPr>
              <w:t xml:space="preserve">Split</w:t>
            </w:r>
          </w:p>
        </w:tc>
        <w:tc>
          <w:tcPr>
            <w:tcW w:type="dxa" w:w="1872"/>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7"/>
                <w:szCs w:val="17"/>
              </w:rPr>
              <w:t xml:space="preserve">Absolute adjusted 1 h p95</w:t>
            </w:r>
          </w:p>
        </w:tc>
        <w:tc>
          <w:tcPr>
            <w:tcW w:type="dxa" w:w="1872"/>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7"/>
                <w:szCs w:val="17"/>
              </w:rPr>
              <w:t xml:space="preserve">Absolute adjusted 1 h max</w:t>
            </w:r>
          </w:p>
        </w:tc>
        <w:tc>
          <w:tcPr>
            <w:tcW w:type="dxa" w:w="1872"/>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7"/>
                <w:szCs w:val="17"/>
              </w:rPr>
              <w:t xml:space="preserve">Absolute adjusted 3 h p95</w:t>
            </w:r>
          </w:p>
        </w:tc>
        <w:tc>
          <w:tcPr>
            <w:tcW w:type="dxa" w:w="1872"/>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7"/>
                <w:szCs w:val="17"/>
              </w:rPr>
              <w:t xml:space="preserve">Absolute adjusted 3 h max</w:t>
            </w:r>
          </w:p>
        </w:tc>
      </w:tr>
      <w:tr>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Validation</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0.097294046</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0.30269855</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0.083825111</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0.16420604</w:t>
            </w:r>
          </w:p>
        </w:tc>
      </w:tr>
      <w:tr>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Sealed test</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0.096081023</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0.32285432</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0.078321317</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0.19145817</w:t>
            </w:r>
          </w:p>
        </w:tc>
      </w:tr>
    </w:tbl>
    <w:p>
      <w:pPr>
        <w:spacing w:after="120"/>
      </w:pPr>
    </w:p>
    <w:p>
      <w:pPr>
        <w:spacing w:after="60" w:before="120"/>
        <w:jc w:val="center"/>
      </w:pPr>
      <w:r>
        <w:drawing>
          <wp:inline distT="0" distB="0" distL="0" distR="0">
            <wp:extent cx="6191250" cy="3067050"/>
            <wp:effectExtent t="0" r="0" b="0" l="0"/>
            <wp:docPr id="8" name="Figure 8. Corrected absolute adjusted 1 h and 3 h p95 and maximum values pool all market-timestep magnitudes without signed cancellation." descr="Figure 8. Corrected absolute adjusted 1 h and 3 h p95 and maximum values pool all market-timestep magnitudes without signed cancellation." title="Figure 8. Corrected absolute adjusted 1 h and 3 h p95 and maximum values pool all market-timestep magnitudes without signed cancel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descr=""/>
                    <pic:cNvPicPr>
                      <a:picLocks noChangeAspect="1" noChangeArrowheads="1"/>
                    </pic:cNvPicPr>
                  </pic:nvPicPr>
                  <pic:blipFill>
                    <a:blip r:embed="rId16" cstate="none"/>
                    <a:srcRect/>
                    <a:stretch>
                      <a:fillRect/>
                    </a:stretch>
                  </pic:blipFill>
                  <pic:spPr bwMode="auto">
                    <a:xfrm>
                      <a:off x="0" y="0"/>
                      <a:ext cx="6191250" cy="3067050"/>
                    </a:xfrm>
                    <a:prstGeom prst="rect">
                      <a:avLst/>
                    </a:prstGeom>
                  </pic:spPr>
                </pic:pic>
              </a:graphicData>
            </a:graphic>
          </wp:inline>
        </w:drawing>
      </w:r>
    </w:p>
    <w:p>
      <w:pPr>
        <w:spacing w:after="180"/>
        <w:jc w:val="center"/>
      </w:pPr>
      <w:r>
        <w:rPr>
          <w:rFonts w:ascii="Arial" w:cs="Arial" w:eastAsia="Arial" w:hAnsi="Arial"/>
          <w:i/>
          <w:iCs/>
          <w:sz w:val="18"/>
          <w:szCs w:val="18"/>
        </w:rPr>
        <w:t xml:space="preserve">Figure 8. Corrected absolute adjusted 1 h and 3 h p95 and maximum values pool all market-timestep magnitudes without signed cancellation.</w:t>
      </w:r>
    </w:p>
    <w:p>
      <w:pPr>
        <w:spacing w:after="120" w:line="276"/>
      </w:pPr>
      <w:r>
        <w:rPr>
          <w:rFonts w:ascii="Arial" w:cs="Arial" w:eastAsia="Arial" w:hAnsi="Arial"/>
        </w:rPr>
        <w:t xml:space="preserve">These are post-hoc corrected physical summaries. They describe the magnitude of adjusted market-normalized ramps, not incremental improvement and not a new generalization result.</w:t>
      </w:r>
    </w:p>
    <w:p>
      <w:pPr>
        <w:pStyle w:val="Heading2"/>
        <w:keepNext/>
      </w:pPr>
      <w:r>
        <w:rPr>
          <w:rFonts w:ascii="Arial" w:cs="Arial" w:eastAsia="Arial" w:hAnsi="Arial"/>
        </w:rPr>
        <w:t xml:space="preserve">11.7 Decoder adjustment and emergency path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6"/>
                <w:szCs w:val="16"/>
              </w:rPr>
              <w:t xml:space="preserve">Split</w:t>
            </w:r>
          </w:p>
        </w:tc>
        <w:tc>
          <w:tcPr>
            <w:tcW w:type="dxa" w:w="1337"/>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6"/>
                <w:szCs w:val="16"/>
              </w:rPr>
              <w:t xml:space="preserve">Mean L2</w:t>
            </w:r>
          </w:p>
        </w:tc>
        <w:tc>
          <w:tcPr>
            <w:tcW w:type="dxa" w:w="1337"/>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6"/>
                <w:szCs w:val="16"/>
              </w:rPr>
              <w:t xml:space="preserve">p50 L2</w:t>
            </w:r>
          </w:p>
        </w:tc>
        <w:tc>
          <w:tcPr>
            <w:tcW w:type="dxa" w:w="1337"/>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6"/>
                <w:szCs w:val="16"/>
              </w:rPr>
              <w:t xml:space="preserve">p95 L2</w:t>
            </w:r>
          </w:p>
        </w:tc>
        <w:tc>
          <w:tcPr>
            <w:tcW w:type="dxa" w:w="1337"/>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6"/>
                <w:szCs w:val="16"/>
              </w:rPr>
              <w:t xml:space="preserve">Maximum L2</w:t>
            </w:r>
          </w:p>
        </w:tc>
        <w:tc>
          <w:tcPr>
            <w:tcW w:type="dxa" w:w="1337"/>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6"/>
                <w:szCs w:val="16"/>
              </w:rPr>
              <w:t xml:space="preserve">Positive rate</w:t>
            </w:r>
          </w:p>
        </w:tc>
        <w:tc>
          <w:tcPr>
            <w:tcW w:type="dxa" w:w="1338"/>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6"/>
                <w:szCs w:val="16"/>
              </w:rPr>
              <w:t xml:space="preserve">Emergency rate</w:t>
            </w:r>
          </w:p>
        </w:tc>
      </w:tr>
      <w:tr>
        <w:tc>
          <w:tcPr>
            <w:tcW w:type="dxa" w:w="1337"/>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Validation</w:t>
            </w:r>
          </w:p>
        </w:tc>
        <w:tc>
          <w:tcPr>
            <w:tcW w:type="dxa" w:w="1337"/>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0.38257833</w:t>
            </w:r>
          </w:p>
        </w:tc>
        <w:tc>
          <w:tcPr>
            <w:tcW w:type="dxa" w:w="1337"/>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0.21458075</w:t>
            </w:r>
          </w:p>
        </w:tc>
        <w:tc>
          <w:tcPr>
            <w:tcW w:type="dxa" w:w="1337"/>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1.217728</w:t>
            </w:r>
          </w:p>
        </w:tc>
        <w:tc>
          <w:tcPr>
            <w:tcW w:type="dxa" w:w="1337"/>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1.6188856</w:t>
            </w:r>
          </w:p>
        </w:tc>
        <w:tc>
          <w:tcPr>
            <w:tcW w:type="dxa" w:w="1337"/>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75.265%</w:t>
            </w:r>
          </w:p>
        </w:tc>
        <w:tc>
          <w:tcPr>
            <w:tcW w:type="dxa" w:w="1338"/>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0.000%</w:t>
            </w:r>
          </w:p>
        </w:tc>
      </w:tr>
      <w:tr>
        <w:tc>
          <w:tcPr>
            <w:tcW w:type="dxa" w:w="1337"/>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Sealed test</w:t>
            </w:r>
          </w:p>
        </w:tc>
        <w:tc>
          <w:tcPr>
            <w:tcW w:type="dxa" w:w="1337"/>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0.40433577</w:t>
            </w:r>
          </w:p>
        </w:tc>
        <w:tc>
          <w:tcPr>
            <w:tcW w:type="dxa" w:w="1337"/>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0.26530135</w:t>
            </w:r>
          </w:p>
        </w:tc>
        <w:tc>
          <w:tcPr>
            <w:tcW w:type="dxa" w:w="1337"/>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1.1756256</w:t>
            </w:r>
          </w:p>
        </w:tc>
        <w:tc>
          <w:tcPr>
            <w:tcW w:type="dxa" w:w="1337"/>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1.504515</w:t>
            </w:r>
          </w:p>
        </w:tc>
        <w:tc>
          <w:tcPr>
            <w:tcW w:type="dxa" w:w="1337"/>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76.543%</w:t>
            </w:r>
          </w:p>
        </w:tc>
        <w:tc>
          <w:tcPr>
            <w:tcW w:type="dxa" w:w="1338"/>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0.000%</w:t>
            </w:r>
          </w:p>
        </w:tc>
      </w:tr>
    </w:tbl>
    <w:p>
      <w:pPr>
        <w:spacing w:after="120"/>
      </w:pPr>
    </w:p>
    <w:p>
      <w:pPr>
        <w:spacing w:after="120" w:line="276"/>
      </w:pPr>
      <w:r>
        <w:rPr>
          <w:rFonts w:ascii="Arial" w:cs="Arial" w:eastAsia="Arial" w:hAnsi="Arial"/>
        </w:rPr>
        <w:t xml:space="preserve">Coordinates: N decoded service work amounts + one decoded total batch amount + N decoded batch-destination amounts. Units: compute-work units per hourly decision.</w:t>
      </w:r>
    </w:p>
    <w:p>
      <w:pPr>
        <w:spacing w:after="60" w:before="120"/>
        <w:jc w:val="center"/>
      </w:pPr>
      <w:r>
        <w:drawing>
          <wp:inline distT="0" distB="0" distL="0" distR="0">
            <wp:extent cx="6191250" cy="2581275"/>
            <wp:effectExtent t="0" r="0" b="0" l="0"/>
            <wp:docPr id="9" name="Figure 9. Distribution of ordinary decoder adjustment in decoded work-allocation coordinates, shown separately from the zero emergency fallback rate." descr="Figure 9. Distribution of ordinary decoder adjustment in decoded work-allocation coordinates, shown separately from the zero emergency fallback rate." title="Figure 9. Distribution of ordinary decoder adjustment in decoded work-allocation coordinates, shown separately from the zero emergency fallback 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descr=""/>
                    <pic:cNvPicPr>
                      <a:picLocks noChangeAspect="1" noChangeArrowheads="1"/>
                    </pic:cNvPicPr>
                  </pic:nvPicPr>
                  <pic:blipFill>
                    <a:blip r:embed="rId17" cstate="none"/>
                    <a:srcRect/>
                    <a:stretch>
                      <a:fillRect/>
                    </a:stretch>
                  </pic:blipFill>
                  <pic:spPr bwMode="auto">
                    <a:xfrm>
                      <a:off x="0" y="0"/>
                      <a:ext cx="6191250" cy="2581275"/>
                    </a:xfrm>
                    <a:prstGeom prst="rect">
                      <a:avLst/>
                    </a:prstGeom>
                  </pic:spPr>
                </pic:pic>
              </a:graphicData>
            </a:graphic>
          </wp:inline>
        </w:drawing>
      </w:r>
    </w:p>
    <w:p>
      <w:pPr>
        <w:spacing w:after="180"/>
        <w:jc w:val="center"/>
      </w:pPr>
      <w:r>
        <w:rPr>
          <w:rFonts w:ascii="Arial" w:cs="Arial" w:eastAsia="Arial" w:hAnsi="Arial"/>
          <w:i/>
          <w:iCs/>
          <w:sz w:val="18"/>
          <w:szCs w:val="18"/>
        </w:rPr>
        <w:t xml:space="preserve">Figure 9. Distribution of ordinary decoder adjustment in decoded work-allocation coordinates, shown separately from the zero emergency fallback rate.</w:t>
      </w:r>
    </w:p>
    <w:p>
      <w:pPr>
        <w:spacing w:after="120" w:line="276"/>
      </w:pPr>
      <w:r>
        <w:rPr>
          <w:rFonts w:ascii="Arial" w:cs="Arial" w:eastAsia="Arial" w:hAnsi="Arial"/>
        </w:rPr>
        <w:t xml:space="preserve">Positive adjustment is ordinary constraint projection. It shows how often and how much the unconstrained decoded request differs from executed work. It does not imply a safety failure. Emergency fallback is a separate mechanism and remained zero.</w:t>
      </w:r>
    </w:p>
    <w:p>
      <w:pPr>
        <w:pStyle w:val="Heading2"/>
        <w:keepNext/>
      </w:pPr>
      <w:r>
        <w:rPr>
          <w:rFonts w:ascii="Arial" w:cs="Arial" w:eastAsia="Arial" w:hAnsi="Arial"/>
        </w:rPr>
        <w:t xml:space="preserve">11.8 Secondary modeled cost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6"/>
                <w:szCs w:val="16"/>
              </w:rPr>
              <w:t xml:space="preserve">Split</w:t>
            </w:r>
          </w:p>
        </w:tc>
        <w:tc>
          <w:tcPr>
            <w:tcW w:type="dxa" w:w="156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6"/>
                <w:szCs w:val="16"/>
              </w:rPr>
              <w:t xml:space="preserve">Status-quo modeled DA cost</w:t>
            </w:r>
          </w:p>
        </w:tc>
        <w:tc>
          <w:tcPr>
            <w:tcW w:type="dxa" w:w="156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6"/>
                <w:szCs w:val="16"/>
              </w:rPr>
              <w:t xml:space="preserve">Policy modeled DA cost</w:t>
            </w:r>
          </w:p>
        </w:tc>
        <w:tc>
          <w:tcPr>
            <w:tcW w:type="dxa" w:w="156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6"/>
                <w:szCs w:val="16"/>
              </w:rPr>
              <w:t xml:space="preserve">Policy saving</w:t>
            </w:r>
          </w:p>
        </w:tc>
        <w:tc>
          <w:tcPr>
            <w:tcW w:type="dxa" w:w="156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6"/>
                <w:szCs w:val="16"/>
              </w:rPr>
              <w:t xml:space="preserve">Saving rate</w:t>
            </w:r>
          </w:p>
        </w:tc>
        <w:tc>
          <w:tcPr>
            <w:tcW w:type="dxa" w:w="156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6"/>
                <w:szCs w:val="16"/>
              </w:rPr>
              <w:t xml:space="preserve">Saving per episode</w:t>
            </w:r>
          </w:p>
        </w:tc>
      </w:tr>
      <w:tr>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Validation</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$18,623,011.24</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$18,359,087.18</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$263,924.06</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1.417%</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$9,425.86</w:t>
            </w:r>
          </w:p>
        </w:tc>
      </w:tr>
      <w:tr>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Sealed test</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$21,582,662.39</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$21,098,313.79</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$484,348.61</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2.244%</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$8,072.48</w:t>
            </w:r>
          </w:p>
        </w:tc>
      </w:tr>
    </w:tbl>
    <w:p>
      <w:pPr>
        <w:spacing w:after="120"/>
      </w:pPr>
    </w:p>
    <w:p>
      <w:pPr>
        <w:spacing w:after="60" w:before="120"/>
        <w:jc w:val="center"/>
      </w:pPr>
      <w:r>
        <w:drawing>
          <wp:inline distT="0" distB="0" distL="0" distR="0">
            <wp:extent cx="6191250" cy="3676650"/>
            <wp:effectExtent t="0" r="0" b="0" l="0"/>
            <wp:docPr id="10" name="Figure 10. Secondary modeled wholesale day-ahead cost comparison; the primary study objective is ramp smoothing, not cost saving." descr="Figure 10. Secondary modeled wholesale day-ahead cost comparison; the primary study objective is ramp smoothing, not cost saving." title="Figure 10. Secondary modeled wholesale day-ahead cost comparison; the primary study objective is ramp smoothing, not cost sa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descr=""/>
                    <pic:cNvPicPr>
                      <a:picLocks noChangeAspect="1" noChangeArrowheads="1"/>
                    </pic:cNvPicPr>
                  </pic:nvPicPr>
                  <pic:blipFill>
                    <a:blip r:embed="rId18" cstate="none"/>
                    <a:srcRect/>
                    <a:stretch>
                      <a:fillRect/>
                    </a:stretch>
                  </pic:blipFill>
                  <pic:spPr bwMode="auto">
                    <a:xfrm>
                      <a:off x="0" y="0"/>
                      <a:ext cx="6191250" cy="3676650"/>
                    </a:xfrm>
                    <a:prstGeom prst="rect">
                      <a:avLst/>
                    </a:prstGeom>
                  </pic:spPr>
                </pic:pic>
              </a:graphicData>
            </a:graphic>
          </wp:inline>
        </w:drawing>
      </w:r>
    </w:p>
    <w:p>
      <w:pPr>
        <w:spacing w:after="180"/>
        <w:jc w:val="center"/>
      </w:pPr>
      <w:r>
        <w:rPr>
          <w:rFonts w:ascii="Arial" w:cs="Arial" w:eastAsia="Arial" w:hAnsi="Arial"/>
          <w:i/>
          <w:iCs/>
          <w:sz w:val="18"/>
          <w:szCs w:val="18"/>
        </w:rPr>
        <w:t xml:space="preserve">Figure 10. Secondary modeled wholesale day-ahead cost comparison; the primary study objective is ramp smoothing, not cost saving.</w:t>
      </w:r>
    </w:p>
    <w:p>
      <w:pPr>
        <w:spacing w:after="120" w:line="276"/>
      </w:pPr>
      <w:r>
        <w:rPr>
          <w:rFonts w:ascii="Arial" w:cs="Arial" w:eastAsia="Arial" w:hAnsi="Arial"/>
        </w:rPr>
        <w:t xml:space="preserve">The approximately $484,349, 2.244% modeled saving is favorable but secondary. The gate would have accepted a cost increase up to 2%, and the training Lagrangian multipliers stayed zero. The result is not a retail electricity bill, demand-charge analysis, tariff forecast, or investment return.</w:t>
      </w:r>
    </w:p>
    <w:p>
      <w:pPr>
        <w:pStyle w:val="Heading2"/>
        <w:keepNext/>
      </w:pPr>
      <w:r>
        <w:rPr>
          <w:rFonts w:ascii="Arial" w:cs="Arial" w:eastAsia="Arial" w:hAnsi="Arial"/>
        </w:rPr>
        <w:t xml:space="preserve">11.9 Post-selection robustness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6"/>
                <w:szCs w:val="16"/>
              </w:rPr>
              <w:t xml:space="preserve">Post-selection analysis</w:t>
            </w:r>
          </w:p>
        </w:tc>
        <w:tc>
          <w:tcPr>
            <w:tcW w:type="dxa" w:w="156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6"/>
                <w:szCs w:val="16"/>
              </w:rPr>
              <w:t xml:space="preserve">Scope</w:t>
            </w:r>
          </w:p>
        </w:tc>
        <w:tc>
          <w:tcPr>
            <w:tcW w:type="dxa" w:w="156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6"/>
                <w:szCs w:val="16"/>
              </w:rPr>
              <w:t xml:space="preserve">Native-relative ramp impact</w:t>
            </w:r>
          </w:p>
        </w:tc>
        <w:tc>
          <w:tcPr>
            <w:tcW w:type="dxa" w:w="156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6"/>
                <w:szCs w:val="16"/>
              </w:rPr>
              <w:t xml:space="preserve">DA cost ratio</w:t>
            </w:r>
          </w:p>
        </w:tc>
        <w:tc>
          <w:tcPr>
            <w:tcW w:type="dxa" w:w="156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6"/>
                <w:szCs w:val="16"/>
              </w:rPr>
              <w:t xml:space="preserve">Every policy market negative vs native</w:t>
            </w:r>
          </w:p>
        </w:tc>
        <w:tc>
          <w:tcPr>
            <w:tcW w:type="dxa" w:w="156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6"/>
                <w:szCs w:val="16"/>
              </w:rPr>
              <w:t xml:space="preserve">Historical strict gates</w:t>
            </w:r>
          </w:p>
        </w:tc>
      </w:tr>
      <w:tr>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6"/>
                <w:szCs w:val="16"/>
                <w:shd w:fill="EEF1F4" w:val="clear"/>
              </w:rPr>
              <w:t xml:space="preserve">one_gw_total</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1 GW fleet-total scale sensitivity</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-1.70752652166e-05</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0.96812698489</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true</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true</w:t>
            </w:r>
          </w:p>
        </w:tc>
      </w:tr>
      <w:tr>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6"/>
                <w:szCs w:val="16"/>
                <w:shd w:fill="EEF1F4" w:val="clear"/>
              </w:rPr>
              <w:t xml:space="preserve">c_h_overlapping</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c-h overlapping/non-independent robustness</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-1.71355782433e-05</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0.972019808923</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true</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true</w:t>
            </w:r>
          </w:p>
        </w:tc>
      </w:tr>
    </w:tbl>
    <w:p>
      <w:pPr>
        <w:spacing w:after="120"/>
      </w:pPr>
    </w:p>
    <w:p>
      <w:pPr>
        <w:spacing w:after="120" w:line="276"/>
      </w:pPr>
      <w:r>
        <w:rPr>
          <w:rFonts w:ascii="Arial" w:cs="Arial" w:eastAsia="Arial" w:hAnsi="Arial"/>
        </w:rPr>
        <w:t xml:space="preserve">The 1 GW-total case is a price-taking scale sensitivity. The c-h case is overlapping/non-independent robustness because it shares cells with the primary workload population. Neither is a second sealed holdout, and neither changes the primary result.</w:t>
      </w:r>
    </w:p>
    <w:p>
      <w:pPr>
        <w:pStyle w:val="Heading1"/>
        <w:keepNext/>
        <w:pageBreakBefore/>
      </w:pPr>
      <w:r>
        <w:rPr>
          <w:rFonts w:ascii="Arial" w:cs="Arial" w:eastAsia="Arial" w:hAnsi="Arial"/>
        </w:rPr>
        <w:t xml:space="preserve">12. Discussion</w:t>
      </w:r>
    </w:p>
    <w:p>
      <w:pPr>
        <w:pStyle w:val="Heading2"/>
        <w:keepNext/>
      </w:pPr>
      <w:r>
        <w:rPr>
          <w:rFonts w:ascii="Arial" w:cs="Arial" w:eastAsia="Arial" w:hAnsi="Arial"/>
        </w:rPr>
        <w:t xml:space="preserve">12.1 What can be attributed to the learned controller</w:t>
      </w:r>
    </w:p>
    <w:p>
      <w:pPr>
        <w:spacing w:after="120" w:line="276"/>
      </w:pPr>
      <w:r>
        <w:rPr>
          <w:rFonts w:ascii="Arial" w:cs="Arial" w:eastAsia="Arial" w:hAnsi="Arial"/>
        </w:rPr>
        <w:t xml:space="preserve">The policy members originated from reward-only PPO. Their deterministic action preferences are combined without selection or learned weighting. The decoder then enforces feasibility. Therefore:</w:t>
      </w:r>
    </w:p>
    <w:p>
      <w:pPr>
        <w:pStyle w:val="ListParagraph"/>
        <w:numPr>
          <w:ilvl w:val="0"/>
          <w:numId w:val="3"/>
        </w:numPr>
        <w:spacing w:after="60"/>
      </w:pPr>
      <w:r>
        <w:rPr>
          <w:rFonts w:ascii="Arial" w:cs="Arial" w:eastAsia="Arial" w:hAnsi="Arial"/>
        </w:rPr>
        <w:t xml:space="preserve">ramp-directed preference can be attributed to PPO member actions and fixed</w:t>
      </w:r>
    </w:p>
    <w:p>
      <w:pPr>
        <w:spacing w:after="120" w:line="276"/>
      </w:pPr>
      <w:r>
        <w:rPr>
          <w:rFonts w:ascii="Arial" w:cs="Arial" w:eastAsia="Arial" w:hAnsi="Arial"/>
        </w:rPr>
        <w:t xml:space="preserve">aggregation;</w:t>
      </w:r>
    </w:p>
    <w:p>
      <w:pPr>
        <w:pStyle w:val="ListParagraph"/>
        <w:numPr>
          <w:ilvl w:val="0"/>
          <w:numId w:val="3"/>
        </w:numPr>
        <w:spacing w:after="60"/>
      </w:pPr>
      <w:r>
        <w:rPr>
          <w:rFonts w:ascii="Arial" w:cs="Arial" w:eastAsia="Arial" w:hAnsi="Arial"/>
        </w:rPr>
        <w:t xml:space="preserve">exact service, deadlines, and capacity belong to the decoder;</w:t>
      </w:r>
    </w:p>
    <w:p>
      <w:pPr>
        <w:pStyle w:val="ListParagraph"/>
        <w:numPr>
          <w:ilvl w:val="0"/>
          <w:numId w:val="3"/>
        </w:numPr>
        <w:spacing w:after="60"/>
      </w:pPr>
      <w:r>
        <w:rPr>
          <w:rFonts w:ascii="Arial" w:cs="Arial" w:eastAsia="Arial" w:hAnsi="Arial"/>
        </w:rPr>
        <w:t xml:space="preserve">the executed schedule belongs to both components; and</w:t>
      </w:r>
    </w:p>
    <w:p>
      <w:pPr>
        <w:pStyle w:val="ListParagraph"/>
        <w:numPr>
          <w:ilvl w:val="0"/>
          <w:numId w:val="3"/>
        </w:numPr>
        <w:spacing w:after="60"/>
      </w:pPr>
      <w:r>
        <w:rPr>
          <w:rFonts w:ascii="Arial" w:cs="Arial" w:eastAsia="Arial" w:hAnsi="Arial"/>
        </w:rPr>
        <w:t xml:space="preserve">the equal-action mean is part of the controller, not a reporting trick.</w:t>
      </w:r>
    </w:p>
    <w:p>
      <w:pPr>
        <w:spacing w:after="120" w:line="276"/>
      </w:pPr>
      <w:r>
        <w:rPr>
          <w:rFonts w:ascii="Arial" w:cs="Arial" w:eastAsia="Arial" w:hAnsi="Arial"/>
        </w:rPr>
        <w:t xml:space="preserve">The post-hoc adjustment distribution makes this joint attribution more transparent. A policy can ask for a preference that binds a capacity or deadline. The decoder changes it without consulting the ramp objective.</w:t>
      </w:r>
    </w:p>
    <w:p>
      <w:pPr>
        <w:pStyle w:val="Heading2"/>
        <w:keepNext/>
      </w:pPr>
      <w:r>
        <w:rPr>
          <w:rFonts w:ascii="Arial" w:cs="Arial" w:eastAsia="Arial" w:hAnsi="Arial"/>
        </w:rPr>
        <w:t xml:space="preserve">12.2 Why the macro result can coexist with one worse market</w:t>
      </w:r>
    </w:p>
    <w:p>
      <w:pPr>
        <w:spacing w:after="120" w:line="276"/>
      </w:pPr>
      <w:r>
        <w:rPr>
          <w:rFonts w:ascii="Arial" w:cs="Arial" w:eastAsia="Arial" w:hAnsi="Arial"/>
        </w:rPr>
        <w:t xml:space="preserve">The primary macro is an equal-market mean. Five favorable policy-minus-status quo deltas can outweigh one unfavorable MISO delta. The native-relative gate also asks a different question: policy can improve on native in MISO while still improving less than status quo. Both statements are simultaneously true.</w:t>
      </w:r>
    </w:p>
    <w:p>
      <w:pPr>
        <w:spacing w:after="120" w:line="276"/>
      </w:pPr>
      <w:r>
        <w:rPr>
          <w:rFonts w:ascii="Arial" w:cs="Arial" w:eastAsia="Arial" w:hAnsi="Arial"/>
        </w:rPr>
        <w:t xml:space="preserve">This distinction is not semantic bookkeeping. It changes the operational interpretation. "All markets negative relative to native" supports a non-amplification claim under the historical objective. "Five of six better than status quo" is the direct baseline result. A deployment decision would care about the latter and would likely require site-specific safeguards.</w:t>
      </w:r>
    </w:p>
    <w:p>
      <w:pPr>
        <w:pStyle w:val="Heading2"/>
        <w:keepNext/>
      </w:pPr>
      <w:r>
        <w:rPr>
          <w:rFonts w:ascii="Arial" w:cs="Arial" w:eastAsia="Arial" w:hAnsi="Arial"/>
        </w:rPr>
        <w:t xml:space="preserve">12.3 Why coastal markets dominate</w:t>
      </w:r>
    </w:p>
    <w:p>
      <w:pPr>
        <w:spacing w:after="120" w:line="276"/>
      </w:pPr>
      <w:r>
        <w:rPr>
          <w:rFonts w:ascii="Arial" w:cs="Arial" w:eastAsia="Arial" w:hAnsi="Arial"/>
        </w:rPr>
        <w:t xml:space="preserve">CAISO, ISO-NE, and NYISO show much larger favorable native-relative effects. The design does not identify a cause. Those cases differ in physical scale, price location, workload cell, power-fit coefficients, forecast errors, and native ramp distribution. Because all factors change together across fixed cases, assigning the difference to renewable penetration, geography, coastal location, or market design would be speculation.</w:t>
      </w:r>
    </w:p>
    <w:p>
      <w:pPr>
        <w:spacing w:after="120" w:line="276"/>
      </w:pPr>
      <w:r>
        <w:rPr>
          <w:rFonts w:ascii="Arial" w:cs="Arial" w:eastAsia="Arial" w:hAnsi="Arial"/>
        </w:rPr>
        <w:t xml:space="preserve">Follow-up work should hold policy and workload constant while changing one factor at a time, and should examine decoder-binding and forecast-masked strata. Until then, uneven concentration is an empirical observation only.</w:t>
      </w:r>
    </w:p>
    <w:p>
      <w:pPr>
        <w:pStyle w:val="Heading2"/>
        <w:keepNext/>
      </w:pPr>
      <w:r>
        <w:rPr>
          <w:rFonts w:ascii="Arial" w:cs="Arial" w:eastAsia="Arial" w:hAnsi="Arial"/>
        </w:rPr>
        <w:t xml:space="preserve">12.4 Economic interpretation</w:t>
      </w:r>
    </w:p>
    <w:p>
      <w:pPr>
        <w:spacing w:after="120" w:line="276"/>
      </w:pPr>
      <w:r>
        <w:rPr>
          <w:rFonts w:ascii="Arial" w:cs="Arial" w:eastAsia="Arial" w:hAnsi="Arial"/>
        </w:rPr>
        <w:t xml:space="preserve">Lower modeled wholesale cost is compatible with ramp smoothing because the agent observes day-ahead price and because the two objectives may align in this period. Yet the cost multiplier was inactive. The result does not show that the policy optimized a business bill or that wholesale price is a complete signal for physical need.</w:t>
      </w:r>
    </w:p>
    <w:p>
      <w:pPr>
        <w:spacing w:after="120" w:line="276"/>
      </w:pPr>
      <w:r>
        <w:rPr>
          <w:rFonts w:ascii="Arial" w:cs="Arial" w:eastAsia="Arial" w:hAnsi="Arial"/>
        </w:rPr>
        <w:t xml:space="preserve">An operator would need nodal settlement, delivery charges, demand charges, contract terms, and market feedback. A grid operator would need telemetry, baseline rules, dispatchability, and performance verification. The simulation is an upstream technical experiment, not either final product.</w:t>
      </w:r>
    </w:p>
    <w:p>
      <w:pPr>
        <w:pStyle w:val="Heading2"/>
        <w:keepNext/>
      </w:pPr>
      <w:r>
        <w:rPr>
          <w:rFonts w:ascii="Arial" w:cs="Arial" w:eastAsia="Arial" w:hAnsi="Arial"/>
        </w:rPr>
        <w:t xml:space="preserve">12.5 Scientific value of the negative lineage</w:t>
      </w:r>
    </w:p>
    <w:p>
      <w:pPr>
        <w:spacing w:after="120" w:line="276"/>
      </w:pPr>
      <w:r>
        <w:rPr>
          <w:rFonts w:ascii="Arial" w:cs="Arial" w:eastAsia="Arial" w:hAnsi="Arial"/>
        </w:rPr>
        <w:t xml:space="preserve">The failed V1-V3 stages and blocked original V4 constrain interpretation. They show that the result was not automatic, that individual seeds could harm a market, and that operational provenance failures can invalidate an otherwise interesting controller. V4R succeeded only after exact recovery and a fixed ensemble rule. Preserving those failures makes the final result more auditable, not weaker.</w:t>
      </w:r>
    </w:p>
    <w:p>
      <w:pPr>
        <w:pStyle w:val="Heading1"/>
        <w:keepNext/>
        <w:pageBreakBefore/>
      </w:pPr>
      <w:r>
        <w:rPr>
          <w:rFonts w:ascii="Arial" w:cs="Arial" w:eastAsia="Arial" w:hAnsi="Arial"/>
        </w:rPr>
        <w:t xml:space="preserve">13. Limitations and Threats to Validity</w:t>
      </w:r>
    </w:p>
    <w:p>
      <w:pPr>
        <w:pStyle w:val="Heading2"/>
        <w:keepNext/>
      </w:pPr>
      <w:r>
        <w:rPr>
          <w:rFonts w:ascii="Arial" w:cs="Arial" w:eastAsia="Arial" w:hAnsi="Arial"/>
        </w:rPr>
        <w:t xml:space="preserve">13.1 No proof that RL is necessary</w:t>
      </w:r>
    </w:p>
    <w:p>
      <w:pPr>
        <w:spacing w:after="120" w:line="276"/>
      </w:pPr>
      <w:r>
        <w:rPr>
          <w:rFonts w:ascii="Arial" w:cs="Arial" w:eastAsia="Arial" w:hAnsi="Arial"/>
        </w:rPr>
        <w:t xml:space="preserve">This is the most important algorithmic limitation. No simple causal forecast-ramp heuristic, random PPO network, forecast-masked policy, or untrained ensemble is evaluated under the same decoder. The result establishes that a reward-only PPO ensemble works in the frozen setting. It does not establish that PPO is the simplest, best, or necessary method.</w:t>
      </w:r>
    </w:p>
    <w:p>
      <w:pPr>
        <w:pStyle w:val="Heading2"/>
        <w:keepNext/>
      </w:pPr>
      <w:r>
        <w:rPr>
          <w:rFonts w:ascii="Arial" w:cs="Arial" w:eastAsia="Arial" w:hAnsi="Arial"/>
        </w:rPr>
        <w:t xml:space="preserve">13.2 Forecast ablation gap</w:t>
      </w:r>
    </w:p>
    <w:p>
      <w:pPr>
        <w:spacing w:after="120" w:line="276"/>
      </w:pPr>
      <w:r>
        <w:rPr>
          <w:rFonts w:ascii="Arial" w:cs="Arial" w:eastAsia="Arial" w:hAnsi="Arial"/>
        </w:rPr>
        <w:t xml:space="preserve">The observation includes reconstructed forecasts. There is no final ablation that masks them while holding every other feature and policy-training budget constant. The behavior audit is consistent with anticipatory scheduling, but the study cannot quantify how much value comes from forecasts versus current and lagged state.</w:t>
      </w:r>
    </w:p>
    <w:p>
      <w:pPr>
        <w:pStyle w:val="Heading2"/>
        <w:keepNext/>
      </w:pPr>
      <w:r>
        <w:rPr>
          <w:rFonts w:ascii="Arial" w:cs="Arial" w:eastAsia="Arial" w:hAnsi="Arial"/>
        </w:rPr>
        <w:t xml:space="preserve">13.3 Market and calendar scope</w:t>
      </w:r>
    </w:p>
    <w:p>
      <w:pPr>
        <w:spacing w:after="120" w:line="276"/>
      </w:pPr>
      <w:r>
        <w:rPr>
          <w:rFonts w:ascii="Arial" w:cs="Arial" w:eastAsia="Arial" w:hAnsi="Arial"/>
        </w:rPr>
        <w:t xml:space="preserve">Eight months is a narrow sample of weather, fuel, outages, renewable output, and market conditions. The test contains only March and April 2026. It does not support prior-year, future-year, extreme-event, or climate-regime claims. A new time period would require newly acquired sources, new forecast vintages, new train-only statistics, a new protocol, and a new sealed split.</w:t>
      </w:r>
    </w:p>
    <w:p>
      <w:pPr>
        <w:spacing w:after="120" w:line="276"/>
      </w:pPr>
      <w:r>
        <w:rPr>
          <w:rFonts w:ascii="Arial" w:cs="Arial" w:eastAsia="Arial" w:hAnsi="Arial"/>
        </w:rPr>
        <w:t xml:space="preserve">PJM and Northern Virginia are absent. The six fixed cases do not represent all US data-center regions or all balancing authorities.</w:t>
      </w:r>
    </w:p>
    <w:p>
      <w:pPr>
        <w:pStyle w:val="Heading2"/>
        <w:keepNext/>
      </w:pPr>
      <w:r>
        <w:rPr>
          <w:rFonts w:ascii="Arial" w:cs="Arial" w:eastAsia="Arial" w:hAnsi="Arial"/>
        </w:rPr>
        <w:t xml:space="preserve">13.4 Price and physical geography</w:t>
      </w:r>
    </w:p>
    <w:p>
      <w:pPr>
        <w:spacing w:after="120" w:line="276"/>
      </w:pPr>
      <w:r>
        <w:rPr>
          <w:rFonts w:ascii="Arial" w:cs="Arial" w:eastAsia="Arial" w:hAnsi="Arial"/>
        </w:rPr>
        <w:t xml:space="preserve">Price products are hubs or zones; physical products may be system or balancing-authority totals. A facility could face a different node, utility, feeder, and congestion pattern. Market-level ramp reduction cannot be translated directly to local infrastructure relief.</w:t>
      </w:r>
    </w:p>
    <w:p>
      <w:pPr>
        <w:pStyle w:val="Heading2"/>
        <w:keepNext/>
      </w:pPr>
      <w:r>
        <w:rPr>
          <w:rFonts w:ascii="Arial" w:cs="Arial" w:eastAsia="Arial" w:hAnsi="Arial"/>
        </w:rPr>
        <w:t xml:space="preserve">13.5 Price-taking assumption</w:t>
      </w:r>
    </w:p>
    <w:p>
      <w:pPr>
        <w:spacing w:after="120" w:line="276"/>
      </w:pPr>
      <w:r>
        <w:rPr>
          <w:rFonts w:ascii="Arial" w:cs="Arial" w:eastAsia="Arial" w:hAnsi="Arial"/>
        </w:rPr>
        <w:t xml:space="preserve">The policy does not change price or grid dispatch. At larger deployment scale, that assumption weakens. The 1 GW-total result is descriptive under unchanged prices and grid trajectories. It does not model endogenous response.</w:t>
      </w:r>
    </w:p>
    <w:p>
      <w:pPr>
        <w:pStyle w:val="Heading2"/>
        <w:keepNext/>
      </w:pPr>
      <w:r>
        <w:rPr>
          <w:rFonts w:ascii="Arial" w:cs="Arial" w:eastAsia="Arial" w:hAnsi="Arial"/>
        </w:rPr>
        <w:t xml:space="preserve">13.6 Workload age and representativeness</w:t>
      </w:r>
    </w:p>
    <w:p>
      <w:pPr>
        <w:spacing w:after="120" w:line="276"/>
      </w:pPr>
      <w:r>
        <w:rPr>
          <w:rFonts w:ascii="Arial" w:cs="Arial" w:eastAsia="Arial" w:hAnsi="Arial"/>
        </w:rPr>
        <w:t xml:space="preserve">ClusterData2019 is measured, but it is older than the 2025-2026 energy panel and may not represent current AI training, inference, accelerator, storage, and network workloads. Tiling one month suppresses seasonality and long-term growth. Six cells from one company are not the industry.</w:t>
      </w:r>
    </w:p>
    <w:p>
      <w:pPr>
        <w:pStyle w:val="Heading2"/>
        <w:keepNext/>
      </w:pPr>
      <w:r>
        <w:rPr>
          <w:rFonts w:ascii="Arial" w:cs="Arial" w:eastAsia="Arial" w:hAnsi="Arial"/>
        </w:rPr>
        <w:t xml:space="preserve">13.7 Synthetic deadlines</w:t>
      </w:r>
    </w:p>
    <w:p>
      <w:pPr>
        <w:spacing w:after="120" w:line="276"/>
      </w:pPr>
      <w:r>
        <w:rPr>
          <w:rFonts w:ascii="Arial" w:cs="Arial" w:eastAsia="Arial" w:hAnsi="Arial"/>
        </w:rPr>
        <w:t xml:space="preserve">The control deadlines are derived from mean completed no-SLO duration and an experimental factor. They are not observed production deadlines. Different deadline distributions could change temporal flexibility materially.</w:t>
      </w:r>
    </w:p>
    <w:p>
      <w:pPr>
        <w:pStyle w:val="Heading2"/>
        <w:keepNext/>
      </w:pPr>
      <w:r>
        <w:rPr>
          <w:rFonts w:ascii="Arial" w:cs="Arial" w:eastAsia="Arial" w:hAnsi="Arial"/>
        </w:rPr>
        <w:t xml:space="preserve">13.8 Infrastructure omissions</w:t>
      </w:r>
    </w:p>
    <w:p>
      <w:pPr>
        <w:spacing w:after="120" w:line="276"/>
      </w:pPr>
      <w:r>
        <w:rPr>
          <w:rFonts w:ascii="Arial" w:cs="Arial" w:eastAsia="Arial" w:hAnsi="Arial"/>
        </w:rPr>
        <w:t xml:space="preserve">The model omits network latency, bandwidth, data transfer energy, data residency, replication, cooling, PUE, batteries, generators, minimum server states, startup costs, and reliability domains. Unrestricted routing is an optimistic upper bound.</w:t>
      </w:r>
    </w:p>
    <w:p>
      <w:pPr>
        <w:pStyle w:val="Heading2"/>
        <w:keepNext/>
      </w:pPr>
      <w:r>
        <w:rPr>
          <w:rFonts w:ascii="Arial" w:cs="Arial" w:eastAsia="Arial" w:hAnsi="Arial"/>
        </w:rPr>
        <w:t xml:space="preserve">13.9 Metric interpretation</w:t>
      </w:r>
    </w:p>
    <w:p>
      <w:pPr>
        <w:spacing w:after="120" w:line="276"/>
      </w:pPr>
      <w:r>
        <w:rPr>
          <w:rFonts w:ascii="Arial" w:cs="Arial" w:eastAsia="Arial" w:hAnsi="Arial"/>
        </w:rPr>
        <w:t xml:space="preserve">The primary objective is normalized squared ramp impact. Squaring emphasizes larger changes and removes sign. It is not reserve MW, ramping capability, reliability probability, emissions, or social cost. The physical p95 and maximum are normalized market magnitudes, not a fleet-wide MW ramp.</w:t>
      </w:r>
    </w:p>
    <w:p>
      <w:pPr>
        <w:pStyle w:val="Heading2"/>
        <w:keepNext/>
      </w:pPr>
      <w:r>
        <w:rPr>
          <w:rFonts w:ascii="Arial" w:cs="Arial" w:eastAsia="Arial" w:hAnsi="Arial"/>
        </w:rPr>
        <w:t xml:space="preserve">13.10 Post-hoc telemetry</w:t>
      </w:r>
    </w:p>
    <w:p>
      <w:pPr>
        <w:spacing w:after="120" w:line="276"/>
      </w:pPr>
      <w:r>
        <w:rPr>
          <w:rFonts w:ascii="Arial" w:cs="Arial" w:eastAsia="Arial" w:hAnsi="Arial"/>
        </w:rPr>
        <w:t xml:space="preserve">The corrected physical, decoder, and status-quo summaries were computed after the sealed result was known. The policy and primary result are unchanged, but those corrected summaries must be labeled post-hoc. They are useful for honest interpretation, not for claiming a second confirmatory test.</w:t>
      </w:r>
    </w:p>
    <w:p>
      <w:pPr>
        <w:pStyle w:val="Heading2"/>
        <w:keepNext/>
      </w:pPr>
      <w:r>
        <w:rPr>
          <w:rFonts w:ascii="Arial" w:cs="Arial" w:eastAsia="Arial" w:hAnsi="Arial"/>
        </w:rPr>
        <w:t xml:space="preserve">13.11 Demand charges and retail economics</w:t>
      </w:r>
    </w:p>
    <w:p>
      <w:pPr>
        <w:spacing w:after="120" w:line="276"/>
      </w:pPr>
      <w:r>
        <w:rPr>
          <w:rFonts w:ascii="Arial" w:cs="Arial" w:eastAsia="Arial" w:hAnsi="Arial"/>
        </w:rPr>
        <w:t xml:space="preserve">Demand charges are out of scope. No demand-charge saving or retail bill claim can be inferred. The V5 repository history showed that a controller can lower one objective while increasing site peaks. That warning reinforces the need for a tariff-specific follow-up rather than a casual extrapolation.</w:t>
      </w:r>
    </w:p>
    <w:p>
      <w:pPr>
        <w:pStyle w:val="Heading1"/>
        <w:keepNext/>
        <w:pageBreakBefore/>
      </w:pPr>
      <w:r>
        <w:rPr>
          <w:rFonts w:ascii="Arial" w:cs="Arial" w:eastAsia="Arial" w:hAnsi="Arial"/>
        </w:rPr>
        <w:t xml:space="preserve">14. Future Work</w:t>
      </w:r>
    </w:p>
    <w:p>
      <w:pPr>
        <w:spacing w:after="120" w:line="276"/>
      </w:pPr>
      <w:r>
        <w:rPr>
          <w:rFonts w:ascii="Arial" w:cs="Arial" w:eastAsia="Arial" w:hAnsi="Arial"/>
        </w:rPr>
        <w:t xml:space="preserve">The highest-priority follow-up is a preregistered comparator study. It should freeze:</w:t>
      </w:r>
    </w:p>
    <w:p>
      <w:pPr>
        <w:pStyle w:val="ListParagraph"/>
        <w:numPr>
          <w:ilvl w:val="0"/>
          <w:numId w:val="2"/>
        </w:numPr>
        <w:spacing w:after="60"/>
      </w:pPr>
      <w:r>
        <w:rPr>
          <w:rFonts w:ascii="Arial" w:cs="Arial" w:eastAsia="Arial" w:hAnsi="Arial"/>
        </w:rPr>
        <w:t xml:space="preserve">a simple causal ramp heuristic;</w:t>
      </w:r>
    </w:p>
    <w:p>
      <w:pPr>
        <w:pStyle w:val="ListParagraph"/>
        <w:numPr>
          <w:ilvl w:val="0"/>
          <w:numId w:val="2"/>
        </w:numPr>
        <w:spacing w:after="60"/>
      </w:pPr>
      <w:r>
        <w:rPr>
          <w:rFonts w:ascii="Arial" w:cs="Arial" w:eastAsia="Arial" w:hAnsi="Arial"/>
        </w:rPr>
        <w:t xml:space="preserve">a forecast-masked PPO;</w:t>
      </w:r>
    </w:p>
    <w:p>
      <w:pPr>
        <w:pStyle w:val="ListParagraph"/>
        <w:numPr>
          <w:ilvl w:val="0"/>
          <w:numId w:val="2"/>
        </w:numPr>
        <w:spacing w:after="60"/>
      </w:pPr>
      <w:r>
        <w:rPr>
          <w:rFonts w:ascii="Arial" w:cs="Arial" w:eastAsia="Arial" w:hAnsi="Arial"/>
        </w:rPr>
        <w:t xml:space="preserve">an untrained/random PPO ensemble;</w:t>
      </w:r>
    </w:p>
    <w:p>
      <w:pPr>
        <w:pStyle w:val="ListParagraph"/>
        <w:numPr>
          <w:ilvl w:val="0"/>
          <w:numId w:val="2"/>
        </w:numPr>
        <w:spacing w:after="60"/>
      </w:pPr>
      <w:r>
        <w:rPr>
          <w:rFonts w:ascii="Arial" w:cs="Arial" w:eastAsia="Arial" w:hAnsi="Arial"/>
        </w:rPr>
        <w:t xml:space="preserve">a small model-predictive or convex look-ahead controller;</w:t>
      </w:r>
    </w:p>
    <w:p>
      <w:pPr>
        <w:pStyle w:val="ListParagraph"/>
        <w:numPr>
          <w:ilvl w:val="0"/>
          <w:numId w:val="2"/>
        </w:numPr>
        <w:spacing w:after="60"/>
      </w:pPr>
      <w:r>
        <w:rPr>
          <w:rFonts w:ascii="Arial" w:cs="Arial" w:eastAsia="Arial" w:hAnsi="Arial"/>
        </w:rPr>
        <w:t xml:space="preserve">the same decoder, workload, and data splits for every method; and</w:t>
      </w:r>
    </w:p>
    <w:p>
      <w:pPr>
        <w:pStyle w:val="ListParagraph"/>
        <w:numPr>
          <w:ilvl w:val="0"/>
          <w:numId w:val="2"/>
        </w:numPr>
        <w:spacing w:after="60"/>
      </w:pPr>
      <w:r>
        <w:rPr>
          <w:rFonts w:ascii="Arial" w:cs="Arial" w:eastAsia="Arial" w:hAnsi="Arial"/>
        </w:rPr>
        <w:t xml:space="preserve">a new sealed calendar that has not been used in this study.</w:t>
      </w:r>
    </w:p>
    <w:p>
      <w:pPr>
        <w:spacing w:after="120" w:line="276"/>
      </w:pPr>
      <w:r>
        <w:rPr>
          <w:rFonts w:ascii="Arial" w:cs="Arial" w:eastAsia="Arial" w:hAnsi="Arial"/>
        </w:rPr>
        <w:t xml:space="preserve">Additional work should acquire PJM with proper credentials, extend the calendar across multiple years, model nodal price and local grid constraints, add transfer costs and latency, use workload-specific deadlines, and evaluate tariff and demand-charge outcomes separately.</w:t>
      </w:r>
    </w:p>
    <w:p>
      <w:pPr>
        <w:spacing w:after="120" w:line="276"/>
      </w:pPr>
      <w:r>
        <w:rPr>
          <w:rFonts w:ascii="Arial" w:cs="Arial" w:eastAsia="Arial" w:hAnsi="Arial"/>
        </w:rPr>
        <w:t xml:space="preserve">Mechanism studies should decompose market concentration by forecast quality, native ramp regime, power-model slope, workload cell, scale, and decoder binding. Those studies should be described as explanation tests rather than retrospective stories.</w:t>
      </w:r>
    </w:p>
    <w:p>
      <w:pPr>
        <w:pStyle w:val="Heading1"/>
        <w:keepNext/>
        <w:pageBreakBefore/>
      </w:pPr>
      <w:r>
        <w:rPr>
          <w:rFonts w:ascii="Arial" w:cs="Arial" w:eastAsia="Arial" w:hAnsi="Arial"/>
        </w:rPr>
        <w:t xml:space="preserve">15. Conclusion</w:t>
      </w:r>
    </w:p>
    <w:p>
      <w:pPr>
        <w:spacing w:after="120" w:line="276"/>
      </w:pPr>
      <w:r>
        <w:rPr>
          <w:rFonts w:ascii="Arial" w:cs="Arial" w:eastAsia="Arial" w:hAnsi="Arial"/>
        </w:rPr>
        <w:t xml:space="preserve">This study began with an attribution problem. The earlier V5 controller was safe and effective in its own scope, but supervised imitation explained almost all of its performance. V4R therefore changed the question: can preferences learned only from reward reduce a physical ramp objective across separately sourced market cases?</w:t>
      </w:r>
    </w:p>
    <w:p>
      <w:pPr>
        <w:spacing w:after="120" w:line="276"/>
      </w:pPr>
      <w:r>
        <w:rPr>
          <w:rFonts w:ascii="Arial" w:cs="Arial" w:eastAsia="Arial" w:hAnsi="Arial"/>
        </w:rPr>
        <w:t xml:space="preserve">The answer in the frozen simulator is yes, with important qualifications. A five-member PPO equal-action ensemble produced a negative primary incremental squared-ramp impact on the single March-April sealed test, exact simulated work completion, zero emergency fallback, lower ramp-period power, and favorable secondary modeled wholesale cost. Every policy market was negative relative to native grid ramps. Direct comparison with status quo was favorable in five of six markets, with MISO as the honest exception.</w:t>
      </w:r>
    </w:p>
    <w:p>
      <w:pPr>
        <w:spacing w:after="120" w:line="276"/>
      </w:pPr>
      <w:r>
        <w:rPr>
          <w:rFonts w:ascii="Arial" w:cs="Arial" w:eastAsia="Arial" w:hAnsi="Arial"/>
        </w:rPr>
        <w:t xml:space="preserve">The later correction improves rather than enlarges the claim. Physical p95 and maximum now use absolute per-market per-timestep magnitudes, decoder adjustment is real and unit-defined, and native versus status-quo baselines are explicit. The immutable sealed result remains untouched and the replay is not presented as new test evidence.</w:t>
      </w:r>
    </w:p>
    <w:p>
      <w:pPr>
        <w:spacing w:after="120" w:line="276"/>
      </w:pPr>
      <w:r>
        <w:rPr>
          <w:rFonts w:ascii="Arial" w:cs="Arial" w:eastAsia="Arial" w:hAnsi="Arial"/>
        </w:rPr>
        <w:t xml:space="preserve">The defensible conclusion is narrow: reward-only PPO preferences, fixed equal action aggregation, and constraint-only execution reduced the modeled fleet's incremental squared-ramp contribution in this six-case, eight-month, price-taking experiment. Whether RL was necessary, whether the effect persists on new years and markets, and whether it creates deployable grid or retail value remain open questions.</w:t>
      </w:r>
    </w:p>
    <w:p>
      <w:pPr>
        <w:pStyle w:val="Heading1"/>
        <w:keepNext/>
        <w:pageBreakBefore/>
      </w:pPr>
      <w:r>
        <w:rPr>
          <w:rFonts w:ascii="Arial" w:cs="Arial" w:eastAsia="Arial" w:hAnsi="Arial"/>
        </w:rPr>
        <w:t xml:space="preserve">Appendix A. Artifact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Layer</w:t>
            </w:r>
          </w:p>
        </w:tc>
        <w:tc>
          <w:tcPr>
            <w:tcW w:type="dxa" w:w="468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Authoritative artifact</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Energy source contract</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data/energy_model_v3/provenance/source_contract.json</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Actual acquisition</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data/energy_model_v3/provenance/live-acquisition-manifest.json</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Workload and power mapping</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data/energy_model_v3/provenance/workload-power-manifest.json</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Forecasts</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data/energy_model_v3/forecasts/manifest.json</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Daily environment windows</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output/energy_model_v3/ramp_v6/factory_manifest.json</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V3 member training</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models/ramp_rl_v6/live_v3/confirmation/ppo/&lt;seed&gt;/training_manifest.json</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V4R protocol</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env/protocols/v6_pure_ramp_rl_v4r.yaml</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Immutable sealed evidence</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output/ramp_rl_v6/recovered_v4r_resealed_v2/canonical_evidence.json</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Metric-replay recovery verification</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output/ramp_rl_v6/recovered_v4r_posthoc_metrics_v1/metric_replay_recovery_manifest.json</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Corrected telemetry wrapper</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output/ramp_rl_v6/recovered_v4r_posthoc_metrics_v1/canonical_posthoc_metrics.json</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Publication tables</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output/ramp_rl_v6/recovered_v4r_posthoc_metrics_v1/thesis/</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Figure manifest</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docs/figures/ramp_v6/v4r_figure_manifest.json</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Markdown thesis</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thesis_paper.md</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DOCX thesis</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thesis_paper.docx</w:t>
            </w:r>
          </w:p>
        </w:tc>
      </w:tr>
    </w:tbl>
    <w:p>
      <w:pPr>
        <w:spacing w:after="120"/>
      </w:pPr>
    </w:p>
    <w:p>
      <w:pPr>
        <w:pStyle w:val="Heading1"/>
        <w:keepNext/>
        <w:pageBreakBefore/>
      </w:pPr>
      <w:r>
        <w:rPr>
          <w:rFonts w:ascii="Arial" w:cs="Arial" w:eastAsia="Arial" w:hAnsi="Arial"/>
        </w:rPr>
        <w:t xml:space="preserve">Appendix B. Metric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Term</w:t>
            </w:r>
          </w:p>
        </w:tc>
        <w:tc>
          <w:tcPr>
            <w:tcW w:type="dxa" w:w="468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Meaning</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Native ramp</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net-load change without modeled data-center power</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Adjusted ramp</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net-load change after adding modeled data-center power</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Native-relative incremental impact</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adjusted squared ramp minus native squared ramp</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Policy-minus-status-quo</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policy native-relative impact minus status-quo native-relative impact</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Physical p95/max</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quantile/maximum of absolute adjusted market-timestep ramp magnitudes</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Ramp-period power</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persisted repeated market-hour behavior audit during positive native 1 h ramps</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Semantic adjustment</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L2 distance between requested and executed decoded work vectors</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Emergency fallback</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separate exceptional feasibility path; zero in accepted V4R evaluations</w:t>
            </w:r>
          </w:p>
        </w:tc>
      </w:tr>
    </w:tbl>
    <w:p>
      <w:pPr>
        <w:spacing w:after="120"/>
      </w:pPr>
    </w:p>
    <w:p>
      <w:pPr>
        <w:pStyle w:val="Heading1"/>
        <w:keepNext/>
        <w:pageBreakBefore/>
      </w:pPr>
      <w:r>
        <w:rPr>
          <w:rFonts w:ascii="Arial" w:cs="Arial" w:eastAsia="Arial" w:hAnsi="Arial"/>
        </w:rPr>
        <w:t xml:space="preserve">References</w:t>
      </w:r>
    </w:p>
    <w:p>
      <w:pPr>
        <w:spacing w:after="60" w:line="240"/>
        <w:ind w:left="360" w:hanging="360"/>
      </w:pPr>
      <w:r>
        <w:rPr>
          <w:rFonts w:ascii="Arial" w:cs="Arial" w:eastAsia="Arial" w:hAnsi="Arial"/>
          <w:sz w:val="18"/>
          <w:szCs w:val="18"/>
        </w:rPr>
        <w:t xml:space="preserve">[1] A. Verma, L. Pedrosa, M. Korupolu, D. Oppenheimer, E. Tune, and J. Wilkes, "Large-scale cluster management at Google with Borg," </w:t>
      </w:r>
      <w:r>
        <w:rPr>
          <w:rFonts w:ascii="Arial" w:cs="Arial" w:eastAsia="Arial" w:hAnsi="Arial"/>
          <w:i/>
          <w:iCs/>
          <w:sz w:val="18"/>
          <w:szCs w:val="18"/>
        </w:rPr>
        <w:t xml:space="preserve">EuroSys</w:t>
      </w:r>
      <w:r>
        <w:rPr>
          <w:rFonts w:ascii="Arial" w:cs="Arial" w:eastAsia="Arial" w:hAnsi="Arial"/>
          <w:sz w:val="18"/>
          <w:szCs w:val="18"/>
        </w:rPr>
        <w:t xml:space="preserve">,</w:t>
      </w:r>
    </w:p>
    <w:p>
      <w:pPr>
        <w:pStyle w:val="ListParagraph"/>
        <w:numPr>
          <w:ilvl w:val="0"/>
          <w:numId w:val="2"/>
        </w:numPr>
        <w:spacing w:after="60"/>
      </w:pPr>
      <w:r>
        <w:rPr>
          <w:rFonts w:ascii="Arial" w:cs="Arial" w:eastAsia="Arial" w:hAnsi="Arial"/>
        </w:rPr>
        <w:t xml:space="preserve">DOI: https://doi.org/10.1145/2741948.2741964.</w:t>
      </w:r>
    </w:p>
    <w:p>
      <w:pPr>
        <w:spacing w:after="60" w:line="240"/>
        <w:ind w:left="360" w:hanging="360"/>
      </w:pPr>
      <w:r>
        <w:rPr>
          <w:rFonts w:ascii="Arial" w:cs="Arial" w:eastAsia="Arial" w:hAnsi="Arial"/>
          <w:sz w:val="18"/>
          <w:szCs w:val="18"/>
        </w:rPr>
        <w:t xml:space="preserve">[2] M. Tirmazi, A. Barker, N. Deng, M. E. Haque, Z. G. Qin, S. Hand, M. Harchol-Balter, and J. Wilkes, "Borg: the Next Generation," </w:t>
      </w:r>
      <w:r>
        <w:rPr>
          <w:rFonts w:ascii="Arial" w:cs="Arial" w:eastAsia="Arial" w:hAnsi="Arial"/>
          <w:i/>
          <w:iCs/>
          <w:sz w:val="18"/>
          <w:szCs w:val="18"/>
        </w:rPr>
        <w:t xml:space="preserve">EuroSys</w:t>
      </w:r>
      <w:r>
        <w:rPr>
          <w:rFonts w:ascii="Arial" w:cs="Arial" w:eastAsia="Arial" w:hAnsi="Arial"/>
          <w:sz w:val="18"/>
          <w:szCs w:val="18"/>
        </w:rPr>
        <w:t xml:space="preserve">,</w:t>
      </w:r>
    </w:p>
    <w:p>
      <w:pPr>
        <w:pStyle w:val="ListParagraph"/>
        <w:numPr>
          <w:ilvl w:val="0"/>
          <w:numId w:val="2"/>
        </w:numPr>
        <w:spacing w:after="60"/>
      </w:pPr>
      <w:r>
        <w:rPr>
          <w:rFonts w:ascii="Arial" w:cs="Arial" w:eastAsia="Arial" w:hAnsi="Arial"/>
        </w:rPr>
        <w:t xml:space="preserve">DOI: https://doi.org/10.1145/3342195.3387517.</w:t>
      </w:r>
    </w:p>
    <w:p>
      <w:pPr>
        <w:spacing w:after="60" w:line="240"/>
        <w:ind w:left="360" w:hanging="360"/>
      </w:pPr>
      <w:r>
        <w:rPr>
          <w:rFonts w:ascii="Arial" w:cs="Arial" w:eastAsia="Arial" w:hAnsi="Arial"/>
          <w:sz w:val="18"/>
          <w:szCs w:val="18"/>
        </w:rPr>
        <w:t xml:space="preserve">[3] X. Fan, W.-D. Weber, and L. A. Barroso, "Power Provisioning for a Warehouse-sized Computer," </w:t>
      </w:r>
      <w:r>
        <w:rPr>
          <w:rFonts w:ascii="Arial" w:cs="Arial" w:eastAsia="Arial" w:hAnsi="Arial"/>
          <w:i/>
          <w:iCs/>
          <w:sz w:val="18"/>
          <w:szCs w:val="18"/>
        </w:rPr>
        <w:t xml:space="preserve">ISCA</w:t>
      </w:r>
      <w:r>
        <w:rPr>
          <w:rFonts w:ascii="Arial" w:cs="Arial" w:eastAsia="Arial" w:hAnsi="Arial"/>
          <w:sz w:val="18"/>
          <w:szCs w:val="18"/>
        </w:rPr>
        <w:t xml:space="preserve">, 2007. DOI: https://doi.org/10.1145/1250662.1250665.</w:t>
      </w:r>
    </w:p>
    <w:p>
      <w:pPr>
        <w:spacing w:after="60" w:line="240"/>
        <w:ind w:left="360" w:hanging="360"/>
      </w:pPr>
      <w:r>
        <w:rPr>
          <w:rFonts w:ascii="Arial" w:cs="Arial" w:eastAsia="Arial" w:hAnsi="Arial"/>
          <w:sz w:val="18"/>
          <w:szCs w:val="18"/>
        </w:rPr>
        <w:t xml:space="preserve">[4] A. Qureshi, R. Weber, H. Balakrishnan, J. V. Guttag, and B. M. Maggs, "Cutting the Electric Bill for Internet-Scale Systems," </w:t>
      </w:r>
      <w:r>
        <w:rPr>
          <w:rFonts w:ascii="Arial" w:cs="Arial" w:eastAsia="Arial" w:hAnsi="Arial"/>
          <w:i/>
          <w:iCs/>
          <w:sz w:val="18"/>
          <w:szCs w:val="18"/>
        </w:rPr>
        <w:t xml:space="preserve">SIGCOMM</w:t>
      </w:r>
      <w:r>
        <w:rPr>
          <w:rFonts w:ascii="Arial" w:cs="Arial" w:eastAsia="Arial" w:hAnsi="Arial"/>
          <w:sz w:val="18"/>
          <w:szCs w:val="18"/>
        </w:rPr>
        <w:t xml:space="preserve">, 2009. DOI: https://doi.org/10.1145/1592568.1592584.</w:t>
      </w:r>
    </w:p>
    <w:p>
      <w:pPr>
        <w:spacing w:after="60" w:line="240"/>
        <w:ind w:left="360" w:hanging="360"/>
      </w:pPr>
      <w:r>
        <w:rPr>
          <w:rFonts w:ascii="Arial" w:cs="Arial" w:eastAsia="Arial" w:hAnsi="Arial"/>
          <w:sz w:val="18"/>
          <w:szCs w:val="18"/>
        </w:rPr>
        <w:t xml:space="preserve">[5] L. Rao, X. Liu, L. Xie, and W. Liu, "Minimizing Electricity Cost: Optimization of Distributed Internet Data Centers in a Multi-Electricity- Market Environment," </w:t>
      </w:r>
      <w:r>
        <w:rPr>
          <w:rFonts w:ascii="Arial" w:cs="Arial" w:eastAsia="Arial" w:hAnsi="Arial"/>
          <w:i/>
          <w:iCs/>
          <w:sz w:val="18"/>
          <w:szCs w:val="18"/>
        </w:rPr>
        <w:t xml:space="preserve">IEEE INFOCOM</w:t>
      </w:r>
      <w:r>
        <w:rPr>
          <w:rFonts w:ascii="Arial" w:cs="Arial" w:eastAsia="Arial" w:hAnsi="Arial"/>
          <w:sz w:val="18"/>
          <w:szCs w:val="18"/>
        </w:rPr>
        <w:t xml:space="preserve">, 2010. DOI: https://doi.org/10.1109/INFCOM.2010.5461933.</w:t>
      </w:r>
    </w:p>
    <w:p>
      <w:pPr>
        <w:spacing w:after="60" w:line="240"/>
        <w:ind w:left="360" w:hanging="360"/>
      </w:pPr>
      <w:r>
        <w:rPr>
          <w:rFonts w:ascii="Arial" w:cs="Arial" w:eastAsia="Arial" w:hAnsi="Arial"/>
          <w:sz w:val="18"/>
          <w:szCs w:val="18"/>
        </w:rPr>
        <w:t xml:space="preserve">[6] Z. Liu, M. Lin, A. Wierman, S. H. Low, and L. L. H. Andrew, "Greening Geographical Load Balancing," </w:t>
      </w:r>
      <w:r>
        <w:rPr>
          <w:rFonts w:ascii="Arial" w:cs="Arial" w:eastAsia="Arial" w:hAnsi="Arial"/>
          <w:i/>
          <w:iCs/>
          <w:sz w:val="18"/>
          <w:szCs w:val="18"/>
        </w:rPr>
        <w:t xml:space="preserve">ACM SIGMETRICS</w:t>
      </w:r>
      <w:r>
        <w:rPr>
          <w:rFonts w:ascii="Arial" w:cs="Arial" w:eastAsia="Arial" w:hAnsi="Arial"/>
          <w:sz w:val="18"/>
          <w:szCs w:val="18"/>
        </w:rPr>
        <w:t xml:space="preserve">, 2011. DOI: https://doi.org/10.1145/1993744.1993767.</w:t>
      </w:r>
    </w:p>
    <w:p>
      <w:pPr>
        <w:spacing w:after="60" w:line="240"/>
        <w:ind w:left="360" w:hanging="360"/>
      </w:pPr>
      <w:r>
        <w:rPr>
          <w:rFonts w:ascii="Arial" w:cs="Arial" w:eastAsia="Arial" w:hAnsi="Arial"/>
          <w:sz w:val="18"/>
          <w:szCs w:val="18"/>
        </w:rPr>
        <w:t xml:space="preserve">[7] I. Goiri, R. Beauchea, K. Le, T. D. Nguyen, M. E. Haque, J. Guitart, J. Torres, and R. Bianchini, "GreenSlot: Scheduling Energy Consumption in Green Datacenters," </w:t>
      </w:r>
      <w:r>
        <w:rPr>
          <w:rFonts w:ascii="Arial" w:cs="Arial" w:eastAsia="Arial" w:hAnsi="Arial"/>
          <w:i/>
          <w:iCs/>
          <w:sz w:val="18"/>
          <w:szCs w:val="18"/>
        </w:rPr>
        <w:t xml:space="preserve">SC '11</w:t>
      </w:r>
      <w:r>
        <w:rPr>
          <w:rFonts w:ascii="Arial" w:cs="Arial" w:eastAsia="Arial" w:hAnsi="Arial"/>
          <w:sz w:val="18"/>
          <w:szCs w:val="18"/>
        </w:rPr>
        <w:t xml:space="preserve">, 2011. DOI: https://doi.org/10.1145/2063384.2063411.</w:t>
      </w:r>
    </w:p>
    <w:p>
      <w:pPr>
        <w:spacing w:after="60" w:line="240"/>
        <w:ind w:left="360" w:hanging="360"/>
      </w:pPr>
      <w:r>
        <w:rPr>
          <w:rFonts w:ascii="Arial" w:cs="Arial" w:eastAsia="Arial" w:hAnsi="Arial"/>
          <w:sz w:val="18"/>
          <w:szCs w:val="18"/>
        </w:rPr>
        <w:t xml:space="preserve">[8] J. Schulman, F. Wolski, P. Dhariwal, A. Radford, and O. Klimov, "Proximal Policy Optimization Algorithms," arXiv:1707.06347, 2017. https://arxiv.org/abs/1707.06347.</w:t>
      </w:r>
    </w:p>
    <w:p>
      <w:pPr>
        <w:spacing w:after="60" w:line="240"/>
        <w:ind w:left="360" w:hanging="360"/>
      </w:pPr>
      <w:r>
        <w:rPr>
          <w:rFonts w:ascii="Arial" w:cs="Arial" w:eastAsia="Arial" w:hAnsi="Arial"/>
          <w:sz w:val="18"/>
          <w:szCs w:val="18"/>
        </w:rPr>
        <w:t xml:space="preserve">[9] A. Raffin, A. Hill, A. Gleave, A. Kanervisto, M. Ernestus, and N. Dormann, "Stable-Baselines3: Reliable Reinforcement Learning Implementations," </w:t>
      </w:r>
      <w:r>
        <w:rPr>
          <w:rFonts w:ascii="Arial" w:cs="Arial" w:eastAsia="Arial" w:hAnsi="Arial"/>
          <w:i/>
          <w:iCs/>
          <w:sz w:val="18"/>
          <w:szCs w:val="18"/>
        </w:rPr>
        <w:t xml:space="preserve">Journal of Machine Learning Research</w:t>
      </w:r>
      <w:r>
        <w:rPr>
          <w:rFonts w:ascii="Arial" w:cs="Arial" w:eastAsia="Arial" w:hAnsi="Arial"/>
          <w:sz w:val="18"/>
          <w:szCs w:val="18"/>
        </w:rPr>
        <w:t xml:space="preserve">, 22(268), 2021. https://jmlr.org/papers/v22/20-1364.html.</w:t>
      </w:r>
    </w:p>
    <w:p>
      <w:pPr>
        <w:spacing w:after="60" w:line="240"/>
        <w:ind w:left="360" w:hanging="360"/>
      </w:pPr>
      <w:r>
        <w:rPr>
          <w:rFonts w:ascii="Arial" w:cs="Arial" w:eastAsia="Arial" w:hAnsi="Arial"/>
          <w:sz w:val="18"/>
          <w:szCs w:val="18"/>
        </w:rPr>
        <w:t xml:space="preserve">[10] U.S. Federal Energy Regulatory Commission, "Order No. 745: Demand Response Compensation in Organized Wholesale Energy Markets," 134 FERC 61,187, 2011. https://www.ferc.gov/sites/default/files/2020-04/order-745.pdf.</w:t>
      </w:r>
    </w:p>
    <w:p>
      <w:pPr>
        <w:spacing w:after="60" w:line="240"/>
        <w:ind w:left="360" w:hanging="360"/>
      </w:pPr>
      <w:r>
        <w:rPr>
          <w:rFonts w:ascii="Arial" w:cs="Arial" w:eastAsia="Arial" w:hAnsi="Arial"/>
          <w:sz w:val="18"/>
          <w:szCs w:val="18"/>
        </w:rPr>
        <w:t xml:space="preserve">[11] California ISO, "What the Duck Curve Tells Us About Managing a Green Grid," Fast Facts, 2016. https://www.caiso.com/documents/flexibleresourceshelprenewables_fastfacts.pdf.</w:t>
      </w:r>
    </w:p>
    <w:p>
      <w:pPr>
        <w:spacing w:after="60" w:line="240"/>
        <w:ind w:left="360" w:hanging="360"/>
      </w:pPr>
      <w:r>
        <w:rPr>
          <w:rFonts w:ascii="Arial" w:cs="Arial" w:eastAsia="Arial" w:hAnsi="Arial"/>
          <w:sz w:val="18"/>
          <w:szCs w:val="18"/>
        </w:rPr>
        <w:t xml:space="preserve">[12] E. Altman, </w:t>
      </w:r>
      <w:r>
        <w:rPr>
          <w:rFonts w:ascii="Arial" w:cs="Arial" w:eastAsia="Arial" w:hAnsi="Arial"/>
          <w:i/>
          <w:iCs/>
          <w:sz w:val="18"/>
          <w:szCs w:val="18"/>
        </w:rPr>
        <w:t xml:space="preserve">Constrained Markov Decision Processes</w:t>
      </w:r>
      <w:r>
        <w:rPr>
          <w:rFonts w:ascii="Arial" w:cs="Arial" w:eastAsia="Arial" w:hAnsi="Arial"/>
          <w:sz w:val="18"/>
          <w:szCs w:val="18"/>
        </w:rPr>
        <w:t xml:space="preserve">, CRC Press, 1999. DOI: https://doi.org/10.1201/9781315140223.</w:t>
      </w:r>
    </w:p>
    <w:p>
      <w:pPr>
        <w:spacing w:after="60" w:line="240"/>
        <w:ind w:left="360" w:hanging="360"/>
      </w:pPr>
      <w:r>
        <w:rPr>
          <w:rFonts w:ascii="Arial" w:cs="Arial" w:eastAsia="Arial" w:hAnsi="Arial"/>
          <w:sz w:val="18"/>
          <w:szCs w:val="18"/>
        </w:rPr>
        <w:t xml:space="preserve">[13] J. Achiam, D. Held, A. Tamar, and P. Abbeel, "Constrained Policy Optimization," </w:t>
      </w:r>
      <w:r>
        <w:rPr>
          <w:rFonts w:ascii="Arial" w:cs="Arial" w:eastAsia="Arial" w:hAnsi="Arial"/>
          <w:i/>
          <w:iCs/>
          <w:sz w:val="18"/>
          <w:szCs w:val="18"/>
        </w:rPr>
        <w:t xml:space="preserve">ICML</w:t>
      </w:r>
      <w:r>
        <w:rPr>
          <w:rFonts w:ascii="Arial" w:cs="Arial" w:eastAsia="Arial" w:hAnsi="Arial"/>
          <w:sz w:val="18"/>
          <w:szCs w:val="18"/>
        </w:rPr>
        <w:t xml:space="preserve">, 2017. https://arxiv.org/abs/1705.10528.</w:t>
      </w:r>
    </w:p>
    <w:p>
      <w:pPr>
        <w:spacing w:after="60" w:line="240"/>
        <w:ind w:left="360" w:hanging="360"/>
      </w:pPr>
      <w:r>
        <w:rPr>
          <w:rFonts w:ascii="Arial" w:cs="Arial" w:eastAsia="Arial" w:hAnsi="Arial"/>
          <w:sz w:val="18"/>
          <w:szCs w:val="18"/>
        </w:rPr>
        <w:t xml:space="preserve">[14] B. Lakshminarayanan, A. Pritzel, and C. Blundell, "Simple and Scalable Predictive Uncertainty Estimation using Deep Ensembles," </w:t>
      </w:r>
      <w:r>
        <w:rPr>
          <w:rFonts w:ascii="Arial" w:cs="Arial" w:eastAsia="Arial" w:hAnsi="Arial"/>
          <w:i/>
          <w:iCs/>
          <w:sz w:val="18"/>
          <w:szCs w:val="18"/>
        </w:rPr>
        <w:t xml:space="preserve">NeurIPS</w:t>
      </w:r>
      <w:r>
        <w:rPr>
          <w:rFonts w:ascii="Arial" w:cs="Arial" w:eastAsia="Arial" w:hAnsi="Arial"/>
          <w:sz w:val="18"/>
          <w:szCs w:val="18"/>
        </w:rPr>
        <w:t xml:space="preserve">, 2017. https://arxiv.org/abs/1612.01474.</w:t>
      </w:r>
    </w:p>
    <w:p>
      <w:pPr>
        <w:spacing w:after="60" w:line="240"/>
        <w:ind w:left="360" w:hanging="360"/>
      </w:pPr>
      <w:r>
        <w:rPr>
          <w:rFonts w:ascii="Arial" w:cs="Arial" w:eastAsia="Arial" w:hAnsi="Arial"/>
          <w:sz w:val="18"/>
          <w:szCs w:val="18"/>
        </w:rPr>
        <w:t xml:space="preserve">[15] Google, "Google ClusterData2019: Cluster-Usage Traces v3," CC-BY 4.0. https://github.com/google/cluster-data/blob/master/ClusterData2019.md.</w:t>
      </w:r>
    </w:p>
    <w:p>
      <w:pPr>
        <w:spacing w:after="60" w:line="240"/>
        <w:ind w:left="360" w:hanging="360"/>
      </w:pPr>
      <w:r>
        <w:rPr>
          <w:rFonts w:ascii="Arial" w:cs="Arial" w:eastAsia="Arial" w:hAnsi="Arial"/>
          <w:sz w:val="18"/>
          <w:szCs w:val="18"/>
        </w:rPr>
        <w:t xml:space="preserve">[16] Google, "PowerData2019: Power Domain Traces," CC-BY 4.0. https://github.com/google/cluster-data/blob/master/PowerData2019.md.</w:t>
      </w:r>
    </w:p>
    <w:p>
      <w:pPr>
        <w:spacing w:after="60" w:line="240"/>
        <w:ind w:left="360" w:hanging="360"/>
      </w:pPr>
      <w:r>
        <w:rPr>
          <w:rFonts w:ascii="Arial" w:cs="Arial" w:eastAsia="Arial" w:hAnsi="Arial"/>
          <w:sz w:val="18"/>
          <w:szCs w:val="18"/>
        </w:rPr>
        <w:t xml:space="preserve">[17] J. Wilkes and C. Reiss, "Google ClusterData2011-2: Cluster-Usage Traces v2.1," CC-BY 4.0. https://github.com/google/cluster-data/blob/master/ClusterData2011_2.md.</w:t>
      </w:r>
    </w:p>
    <w:p>
      <w:pPr>
        <w:spacing w:after="60" w:line="240"/>
        <w:ind w:left="360" w:hanging="360"/>
      </w:pPr>
      <w:r>
        <w:rPr>
          <w:rFonts w:ascii="Arial" w:cs="Arial" w:eastAsia="Arial" w:hAnsi="Arial"/>
          <w:sz w:val="18"/>
          <w:szCs w:val="18"/>
        </w:rPr>
        <w:t xml:space="preserve">[18] California ISO, "Open Access Same-time Information System (OASIS)," PRC_LMP v12, TH_NP15_GEN-APND. https://oasis.caiso.com.</w:t>
      </w:r>
    </w:p>
    <w:p>
      <w:pPr>
        <w:spacing w:after="60" w:line="240"/>
        <w:ind w:left="360" w:hanging="360"/>
      </w:pPr>
      <w:r>
        <w:rPr>
          <w:rFonts w:ascii="Arial" w:cs="Arial" w:eastAsia="Arial" w:hAnsi="Arial"/>
          <w:sz w:val="18"/>
          <w:szCs w:val="18"/>
        </w:rPr>
        <w:t xml:space="preserve">[19] Electric Reliability Council of Texas, "Market Information System and Historical Load Archives," reports 13060 and 13052. https://www.ercot.com/mktinfo/prices and https://www.ercot.com/gridinfo/load/load_hist.</w:t>
      </w:r>
    </w:p>
    <w:p>
      <w:pPr>
        <w:spacing w:after="60" w:line="240"/>
        <w:ind w:left="360" w:hanging="360"/>
      </w:pPr>
      <w:r>
        <w:rPr>
          <w:rFonts w:ascii="Arial" w:cs="Arial" w:eastAsia="Arial" w:hAnsi="Arial"/>
          <w:sz w:val="18"/>
          <w:szCs w:val="18"/>
        </w:rPr>
        <w:t xml:space="preserve">[20] New York Independent System Operator, "Market Information System Custom Reports," day-ahead LBMP and PAL archives. https://www.nyiso.com/custom-reports.</w:t>
      </w:r>
    </w:p>
    <w:p>
      <w:pPr>
        <w:spacing w:after="60" w:line="240"/>
        <w:ind w:left="360" w:hanging="360"/>
      </w:pPr>
      <w:r>
        <w:rPr>
          <w:rFonts w:ascii="Arial" w:cs="Arial" w:eastAsia="Arial" w:hAnsi="Arial"/>
          <w:sz w:val="18"/>
          <w:szCs w:val="18"/>
        </w:rPr>
        <w:t xml:space="preserve">[21] Midcontinent Independent System Operator, "Market Reports," DA ex-post LMP, MINN.HUB. https://www.misoenergy.org/markets-and-operations/real-time--market-data/market-reports/.</w:t>
      </w:r>
    </w:p>
    <w:p>
      <w:pPr>
        <w:spacing w:after="60" w:line="240"/>
        <w:ind w:left="360" w:hanging="360"/>
      </w:pPr>
      <w:r>
        <w:rPr>
          <w:rFonts w:ascii="Arial" w:cs="Arial" w:eastAsia="Arial" w:hAnsi="Arial"/>
          <w:sz w:val="18"/>
          <w:szCs w:val="18"/>
        </w:rPr>
        <w:t xml:space="preserve">[22] ISO New England, "Day-Ahead Hourly LMP Reports," WW_DALMP_ISO, location 4008. https://www.iso-ne.com/isoexpress/web/reports/pricing.</w:t>
      </w:r>
    </w:p>
    <w:p>
      <w:pPr>
        <w:spacing w:after="60" w:line="240"/>
        <w:ind w:left="360" w:hanging="360"/>
      </w:pPr>
      <w:r>
        <w:rPr>
          <w:rFonts w:ascii="Arial" w:cs="Arial" w:eastAsia="Arial" w:hAnsi="Arial"/>
          <w:sz w:val="18"/>
          <w:szCs w:val="18"/>
        </w:rPr>
        <w:t xml:space="preserve">[23] Southwest Power Pool, "Marketplace Public Data: DA-LMP by Settlement Location," SPPNORTH_HUB. https://portal.spp.org/pages/da-lmp-by-settlement-location.</w:t>
      </w:r>
    </w:p>
    <w:p>
      <w:pPr>
        <w:spacing w:after="60" w:line="240"/>
        <w:ind w:left="360" w:hanging="360"/>
      </w:pPr>
      <w:r>
        <w:rPr>
          <w:rFonts w:ascii="Arial" w:cs="Arial" w:eastAsia="Arial" w:hAnsi="Arial"/>
          <w:sz w:val="18"/>
          <w:szCs w:val="18"/>
        </w:rPr>
        <w:t xml:space="preserve">[24] U.S. Energy Information Administration, "Hourly Electric Grid Monitor (Form EIA-930)," including the EBA.zip bulk archive. https://www.eia.gov/electricity/gridmonitor/.</w:t>
      </w:r>
    </w:p>
    <w:p>
      <w:pPr>
        <w:spacing w:after="60" w:line="240"/>
        <w:ind w:left="360" w:hanging="360"/>
      </w:pPr>
      <w:r>
        <w:rPr>
          <w:rFonts w:ascii="Arial" w:cs="Arial" w:eastAsia="Arial" w:hAnsi="Arial"/>
          <w:sz w:val="18"/>
          <w:szCs w:val="18"/>
        </w:rPr>
        <w:t xml:space="preserve">[25] PJM Interconnection, "Data Miner 2." The source is listed for reproducibility context; PJM was credential-blocked and not evaluated. https://dataminer2.pjm.com/list/pubsData.</w:t>
      </w:r>
    </w:p>
    <w:p>
      <w:pPr>
        <w:spacing w:after="60" w:line="240"/>
        <w:ind w:left="360" w:hanging="360"/>
      </w:pPr>
      <w:r>
        <w:rPr>
          <w:rFonts w:ascii="Arial" w:cs="Arial" w:eastAsia="Arial" w:hAnsi="Arial"/>
          <w:sz w:val="18"/>
          <w:szCs w:val="18"/>
        </w:rPr>
        <w:t xml:space="preserve">[26] A. Radovanovic, R. Koningstein, I. Schneider, B. Chen, A. Duarte, B. Roy, D. Xiao, M. Haridasan, P. Hung, N. Care, S. Talukdar, E. Mullen, K. Smith, M. Cottman, and W. Cirne, "Carbon-Aware Computing for Datacenters," arXiv:2106.11750, 2021. https://arxiv.org/abs/2106.11750.</w:t>
      </w:r>
    </w:p>
    <w:p>
      <w:pPr>
        <w:spacing w:after="60" w:line="240"/>
        <w:ind w:left="360" w:hanging="360"/>
      </w:pPr>
      <w:r>
        <w:rPr>
          <w:rFonts w:ascii="Arial" w:cs="Arial" w:eastAsia="Arial" w:hAnsi="Arial"/>
          <w:sz w:val="18"/>
          <w:szCs w:val="18"/>
        </w:rPr>
        <w:t xml:space="preserve">[27] P. Wiesner, I. Behnke, D. Scheinert, K. Gontarska, and L. Thamsen, "Let's Wait Awhile: How Temporal Workload Shifting Can Reduce Carbon Emissions in the Cloud," arXiv:2110.13234, 2021. https://arxiv.org/abs/2110.13234.</w:t>
      </w:r>
    </w:p>
    <w:p>
      <w:pPr>
        <w:spacing w:after="60" w:line="240"/>
        <w:ind w:left="360" w:hanging="360"/>
      </w:pPr>
      <w:r>
        <w:rPr>
          <w:rFonts w:ascii="Arial" w:cs="Arial" w:eastAsia="Arial" w:hAnsi="Arial"/>
          <w:sz w:val="18"/>
          <w:szCs w:val="18"/>
        </w:rPr>
        <w:t xml:space="preserve">[28] R. Haider, G. Ferro, M. Robba, and A. M. Annaswamy, "Flattening the Duck Curve: A Case for Distributed Decision Making," arXiv:2111.06361,</w:t>
      </w:r>
    </w:p>
    <w:p>
      <w:pPr>
        <w:pStyle w:val="ListParagraph"/>
        <w:numPr>
          <w:ilvl w:val="0"/>
          <w:numId w:val="2"/>
        </w:numPr>
        <w:spacing w:after="60"/>
      </w:pPr>
      <w:r>
        <w:rPr>
          <w:rFonts w:ascii="Arial" w:cs="Arial" w:eastAsia="Arial" w:hAnsi="Arial"/>
        </w:rPr>
        <w:t xml:space="preserve">https://arxiv.org/abs/2111.06361.</w:t>
      </w:r>
    </w:p>
    <w:sectPr>
      <w:headerReference w:type="default" r:id="rId7"/>
      <w:footerReference w:type="default" r:id="rId8"/>
      <w:pgSz w:w="12240" w:h="15840" w:orient="portrait"/>
      <w:pgMar w:top="1080" w:right="1080" w:bottom="1080" w:left="1080" w:header="540" w:footer="54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7"/>
        <w:szCs w:val="17"/>
      </w:rPr>
      <w:t xml:space="preserve">Page </w:t>
    </w:r>
    <w:r>
      <w:rPr>
        <w:rFonts w:ascii="Arial" w:cs="Arial" w:eastAsia="Arial" w:hAnsi="Arial"/>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6A6A6" w:sz="4" w:space="1"/>
      </w:pBdr>
    </w:pPr>
    <w:r>
      <w:rPr>
        <w:rFonts w:ascii="Arial" w:cs="Arial" w:eastAsia="Arial" w:hAnsi="Arial"/>
        <w:color w:val="666666"/>
        <w:sz w:val="17"/>
        <w:szCs w:val="17"/>
      </w:rPr>
      <w:t xml:space="preserve">Anticipatory Grid-Ramp Smoothing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02020"/>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240"/>
      <w:outlineLvl w:val="0"/>
    </w:pPr>
    <w:rPr>
      <w:rFonts w:ascii="Arial" w:cs="Arial" w:eastAsia="Arial" w:hAnsi="Arial"/>
      <w:b/>
      <w:bCs/>
      <w:color w:val="1F4E79"/>
      <w:sz w:val="32"/>
      <w:szCs w:val="32"/>
    </w:rPr>
  </w:style>
  <w:style w:type="paragraph" w:styleId="Heading2">
    <w:name w:val="Heading 2"/>
    <w:basedOn w:val="Normal"/>
    <w:next w:val="Normal"/>
    <w:qFormat/>
    <w:pPr>
      <w:spacing w:after="140" w:before="200"/>
      <w:outlineLvl w:val="1"/>
    </w:pPr>
    <w:rPr>
      <w:rFonts w:ascii="Arial" w:cs="Arial" w:eastAsia="Arial" w:hAnsi="Arial"/>
      <w:b/>
      <w:bCs/>
      <w:color w:val="2F5597"/>
      <w:sz w:val="27"/>
      <w:szCs w:val="27"/>
    </w:rPr>
  </w:style>
  <w:style w:type="paragraph" w:styleId="Heading3">
    <w:name w:val="Heading 3"/>
    <w:basedOn w:val="Normal"/>
    <w:next w:val="Normal"/>
    <w:qFormat/>
    <w:pPr>
      <w:spacing w:after="100" w:before="160"/>
      <w:outlineLvl w:val="2"/>
    </w:pPr>
    <w:rPr>
      <w:rFonts w:ascii="Arial" w:cs="Arial" w:eastAsia="Arial" w:hAnsi="Arial"/>
      <w:b/>
      <w:bCs/>
      <w:color w:val="404040"/>
      <w:sz w:val="24"/>
      <w:szCs w:val="24"/>
    </w:rPr>
  </w:style>
  <w:style w:type="paragraph" w:styleId="Heading4">
    <w:name w:val="Heading 4"/>
    <w:basedOn w:val="Normal"/>
    <w:next w:val="Normal"/>
    <w:qFormat/>
    <w:pPr>
      <w:spacing w:after="80" w:before="140"/>
      <w:outlineLvl w:val="3"/>
    </w:pPr>
    <w:rPr>
      <w:rFonts w:ascii="Arial" w:cs="Arial" w:eastAsia="Arial" w:hAnsi="Arial"/>
      <w:b/>
      <w:bCs/>
      <w:i/>
      <w:iCs/>
      <w:sz w:val="22"/>
      <w:szCs w:val="22"/>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5f3a010408c899cedc2871cad172a26edce6ba4.png"/><Relationship Id="rId10" Type="http://schemas.openxmlformats.org/officeDocument/2006/relationships/image" Target="media/498f6d26ee4e313c80448bc4aa1ef20fabad3bbe.png"/><Relationship Id="rId11" Type="http://schemas.openxmlformats.org/officeDocument/2006/relationships/image" Target="media/93e32e7d2ba91a5e21b3ed9e8a910e149b8bef4f.png"/><Relationship Id="rId12" Type="http://schemas.openxmlformats.org/officeDocument/2006/relationships/image" Target="media/5d3e490e57b15903bac20a5dc79f8681b6ef2f4f.png"/><Relationship Id="rId13" Type="http://schemas.openxmlformats.org/officeDocument/2006/relationships/image" Target="media/7dd63c8e4e7971f23b174464f80aa9380cbeab83.png"/><Relationship Id="rId14" Type="http://schemas.openxmlformats.org/officeDocument/2006/relationships/image" Target="media/da1c5d82d945088f78b63a202c706524bdff075e.png"/><Relationship Id="rId15" Type="http://schemas.openxmlformats.org/officeDocument/2006/relationships/image" Target="media/3cfb86c2e0f75740852628d6c5fbdf0684963fb3.png"/><Relationship Id="rId16" Type="http://schemas.openxmlformats.org/officeDocument/2006/relationships/image" Target="media/55d53623e3ecb4f59bafe666f57ffe906d2d96f2.png"/><Relationship Id="rId17" Type="http://schemas.openxmlformats.org/officeDocument/2006/relationships/image" Target="media/a90d2f058de3de565da8a6b105351c7fdb036ee2.png"/><Relationship Id="rId18" Type="http://schemas.openxmlformats.org/officeDocument/2006/relationships/image" Target="media/18a7075a6017c992f7ca848cb0125ec7d26564cf.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Anticipatory Grid-Ramp Smoothing with Pure Reinforcement Learning</dc:title>
  <dc:creator>GitHub Copilot CLI</dc:creator>
  <dc:description>Reproducible thesis on reward-only reinforcement learning for data-center grid-ramp smoothing.</dc:description>
  <cp:lastModifiedBy>GitHub Copilot CLI</cp:lastModifiedBy>
  <cp:revision>1</cp:revision>
  <dcterms:created xsi:type="dcterms:W3CDTF">2026-08-07T00:00:00.000Z</dcterms:created>
  <dcterms:modified xsi:type="dcterms:W3CDTF">2026-08-07T00:00:00.000Z</dcterms:modified>
</cp:coreProperties>
</file>

<file path=docProps/custom.xml><?xml version="1.0" encoding="utf-8"?>
<Properties xmlns="http://schemas.openxmlformats.org/officeDocument/2006/custom-properties" xmlns:vt="http://schemas.openxmlformats.org/officeDocument/2006/docPropsVTypes"/>
</file>