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Tourism Experience Analytics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Project Documentation Report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builds an end-to-end analytics pipeline for a tourism platform, combining transactional visit data with user and attraction metadata to power three capabilities: predicting how a user will rate an attraction (regression), predicting how a user is likely to travel (classification of visit mode), and recommending attractions a user is likely to enjoy (collaborative filtering with a content-based fallback). The pipeline was deployed as an interactive Streamlit application.</w:t>
      </w:r>
    </w:p>
    <w:p>
      <w:pPr>
        <w:pStyle w:val="Heading1"/>
        <w:spacing w:after="150" w:before="300"/>
      </w:pPr>
      <w:r>
        <w:t xml:space="preserve">2. Data Pipeline</w:t>
      </w:r>
    </w:p>
    <w:p>
      <w:pPr>
        <w:spacing w:after="120"/>
      </w:pPr>
      <w:r>
        <w:t xml:space="preserve">Ten relational tables were merged into a single master dataset: Transaction, User, City, Country, Region, Continent, Visit Mode, Attraction Type, and Attraction (Item) tables, including an expanded attraction catalog (1,698 attractions vs. the original 30-row file).</w:t>
      </w:r>
    </w:p>
    <w:p>
      <w:pPr>
        <w:pStyle w:val="Heading2"/>
        <w:spacing w:after="120" w:before="250"/>
      </w:pPr>
      <w:r>
        <w:t xml:space="preserve">2.1 Cleaning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placeholder rows ('-' values) from geography and mode lookup tables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ratings to the valid 1-5 range and months to 1-12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Deduplicated all lookup and fact tables on their primary keys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Filled missing User CityId with a sentinel value rather than dropping 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Joined geography (City → Country → Region → Continent) onto each user</w:t>
      </w:r>
    </w:p>
    <w:p>
      <w:pPr>
        <w:pStyle w:val="Heading2"/>
        <w:spacing w:after="120" w:before="250"/>
      </w:pPr>
      <w:r>
        <w:t xml:space="preserve">2.2 Result</w:t>
      </w:r>
    </w:p>
    <w:p>
      <w:pPr>
        <w:spacing w:after="120"/>
      </w:pPr>
      <w:r>
        <w:t xml:space="preserve">52,930 transactions were retained after cleaning, covering 33,530 unique users and (in the transaction log) 30 distinct attractions actively visited, joined against the fuller 1,698-attraction catalog for content-based recommendations.</w:t>
      </w:r>
    </w:p>
    <w:p>
      <w:pPr>
        <w:pStyle w:val="Heading1"/>
        <w:spacing w:after="150" w:before="300"/>
      </w:pPr>
      <w:r>
        <w:t xml:space="preserve">3. Exploratory Data Analysis</w:t>
      </w:r>
    </w:p>
    <w:p>
      <w:pPr>
        <w:spacing w:after="120"/>
      </w:pPr>
      <w:r>
        <w:t xml:space="preserve">Key findings from the EDA: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rating overall is 4.16/5 — ratings skew positive, with most falling in the 4-5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'Couples' is the most common visit mode (41% of transactions), followed by Family and Friends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Nature &amp; Wildlife Areas is the most-visited attraction type; Water Parks earn the highest average rating among popular types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Americas account for the largest share of transactions by user continent</w:t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Modeling</w:t>
      </w:r>
    </w:p>
    <w:p>
      <w:pPr>
        <w:pStyle w:val="Heading2"/>
        <w:spacing w:after="120" w:before="250"/>
      </w:pPr>
      <w:r>
        <w:t xml:space="preserve">4.1 Regression — Predicting Rating</w:t>
      </w:r>
    </w:p>
    <w:p>
      <w:pPr>
        <w:spacing w:after="120"/>
      </w:pPr>
      <w:r>
        <w:t xml:space="preserve">A LightGBM regressor was trained on user geography, attraction type, visit timing, and user/attraction historical averages.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60%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R²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0.746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MSE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0.239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0.259</w:t>
            </w:r>
          </w:p>
        </w:tc>
      </w:tr>
    </w:tbl>
    <w:p>
      <w:pPr>
        <w:pStyle w:val="Heading2"/>
        <w:spacing w:after="120" w:before="250"/>
      </w:pPr>
      <w:r>
        <w:t xml:space="preserve">4.2 Classification — Predicting Visit Mode</w:t>
      </w:r>
    </w:p>
    <w:p>
      <w:pPr>
        <w:spacing w:after="120"/>
      </w:pPr>
      <w:r>
        <w:t xml:space="preserve">A LightGBM classifier was trained to predict one of five visit modes (Business, Couples, Family, Friends, Solo), benchmarked against a Random Forest baseline.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60%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LightGBM Accuracy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0.508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LightGBM F1 (weighted)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0.462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Random Forest Accuracy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0.496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Random Forest F1 (weighted)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0.483</w:t>
            </w:r>
          </w:p>
        </w:tc>
      </w:tr>
    </w:tbl>
    <w:p>
      <w:pPr>
        <w:spacing w:after="120"/>
      </w:pPr>
      <w:r>
        <w:t xml:space="preserve">Performance is strongest for the majority classes (Couples, Family); minority classes (Business, Solo) are harder to predict due to class imbalance — a known limitation to flag for stakeholders.</w:t>
      </w:r>
    </w:p>
    <w:p>
      <w:pPr>
        <w:pStyle w:val="Heading2"/>
        <w:spacing w:after="120" w:before="250"/>
      </w:pPr>
      <w:r>
        <w:t xml:space="preserve">4.3 Recommendation System</w:t>
      </w:r>
    </w:p>
    <w:p>
      <w:pPr>
        <w:spacing w:after="120"/>
      </w:pPr>
      <w:r>
        <w:t xml:space="preserve">A truncated-SVD collaborative filtering model was built on the user-item rating matrix (mean-centered per user). A content-based fallback recommends attractions of the same type a user previously rated highly, used for cold-start users with no rating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60%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RMSE (held-out ratings)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1.058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Precision@5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0.048</w:t>
            </w:r>
          </w:p>
        </w:tc>
      </w:tr>
    </w:tbl>
    <w:p>
      <w:pPr>
        <w:spacing w:after="120"/>
      </w:pPr>
      <w:r>
        <w:t xml:space="preserve">The modest Precision@5 reflects the dataset's small attraction catalog (only 30 actively-visited attractions) relative to its user base, which limits differentiation between recommendations — a natural target for future improvement with more attraction inventory.</w:t>
      </w:r>
    </w:p>
    <w:p>
      <w:pPr>
        <w:pStyle w:val="Heading1"/>
        <w:spacing w:after="150" w:before="300"/>
      </w:pPr>
      <w:r>
        <w:t xml:space="preserve">5. Deployment</w:t>
      </w:r>
    </w:p>
    <w:p>
      <w:pPr>
        <w:spacing w:after="120"/>
      </w:pPr>
      <w:r>
        <w:t xml:space="preserve">All three models were wrapped in a multi-tab Streamlit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 My Trip — enter geography, attraction type, and timing to get a predicted rating and visit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Recommendations — select a user to see personalized, collaborative-filtering-based attraction suggestions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Trends &amp; Insights — an interactive Plotly dashboard of ratings, visit modes, attraction popularity, and continent-level traffic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 — project and methodology summary</w:t>
      </w:r>
    </w:p>
    <w:p>
      <w:pPr>
        <w:spacing w:after="120"/>
      </w:pPr>
      <w:r>
        <w:t xml:space="preserve">The app was smoke-tested and confirmed to launch and serve requests successfully.</w:t>
      </w:r>
    </w:p>
    <w:p>
      <w:pPr>
        <w:pStyle w:val="Heading1"/>
        <w:spacing w:after="150" w:before="300"/>
      </w:pPr>
      <w:r>
        <w:t xml:space="preserve">6. Limitations &amp;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Visit-mode classification accuracy (~51%) is moderate; richer behavioral features (trip duration, group size, prior mode history) could improve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recommender is constrained by a small pool of actively-visited attractions; expanding real interaction data across the fuller 1,698-attraction catalog would improve personalization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Regression performance benefits from attraction/user historical averages, which assumes some rating history exists — a pure cold-start rating predictor would need additional content features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361d6b77a8e78a5c851f5a0f57817424089e63.png"/><Relationship Id="rId8" Type="http://schemas.openxmlformats.org/officeDocument/2006/relationships/image" Target="media/4998329a18ef8c3cd84bd9c2f4fee9adda788f09.png"/><Relationship Id="rId9" Type="http://schemas.openxmlformats.org/officeDocument/2006/relationships/image" Target="media/f5e8177c7b518b03c48813c9314953bd5ae1c18f.png"/><Relationship Id="rId10" Type="http://schemas.openxmlformats.org/officeDocument/2006/relationships/image" Target="media/5d623c25658bcbd0a6c3ffe9862d4951d0b27db0.png"/><Relationship Id="rId11" Type="http://schemas.openxmlformats.org/officeDocument/2006/relationships/image" Target="media/12de22b1dc0b190debb52bb469a642cfef8fcd48.png"/><Relationship Id="rId12" Type="http://schemas.openxmlformats.org/officeDocument/2006/relationships/image" Target="media/6185a70a4cc267deafc618c4d6545cd23bd8b68e.png"/><Relationship Id="rId13" Type="http://schemas.openxmlformats.org/officeDocument/2006/relationships/image" Target="media/d195c8266d886ca65c4950f0308ecef95de4eb9a.png"/><Relationship Id="rId14" Type="http://schemas.openxmlformats.org/officeDocument/2006/relationships/image" Target="media/15be35ce0317599ef15619c38dac189fa6567b2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2026-09-09T01:05:37.312Z</dcterms:created>
  <dcterms:modified xsi:type="dcterms:W3CDTF">2026-09-09T01:05:37.323Z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