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63F3" w:rsidRDefault="00A255B3" w:rsidP="00103C83">
      <w:pPr>
        <w:pStyle w:val="Heading1"/>
        <w:jc w:val="center"/>
        <w:rPr>
          <w:rFonts w:ascii="Times New Roman" w:hAnsi="Times New Roman" w:cs="Times New Roman"/>
          <w:b/>
          <w:bCs/>
          <w:szCs w:val="32"/>
        </w:rPr>
      </w:pPr>
      <w:r w:rsidRPr="00103C83">
        <w:rPr>
          <w:rFonts w:ascii="Times New Roman" w:hAnsi="Times New Roman" w:cs="Times New Roman"/>
          <w:b/>
          <w:bCs/>
          <w:szCs w:val="32"/>
        </w:rPr>
        <w:t>Stock Market Summary and Financial Statement Analysis</w:t>
      </w:r>
    </w:p>
    <w:p w:rsidR="00103C83" w:rsidRDefault="00103C83" w:rsidP="00103C83"/>
    <w:p w:rsidR="00A255B3" w:rsidRDefault="00103C83" w:rsidP="00103C83">
      <w:pPr>
        <w:pStyle w:val="Heading2"/>
        <w:jc w:val="center"/>
        <w:rPr>
          <w:rFonts w:ascii="Times New Roman" w:hAnsi="Times New Roman" w:cs="Times New Roman"/>
          <w:b/>
          <w:bCs/>
          <w:sz w:val="28"/>
          <w:szCs w:val="28"/>
        </w:rPr>
      </w:pPr>
      <w:r>
        <w:rPr>
          <w:rFonts w:ascii="Times New Roman" w:hAnsi="Times New Roman" w:cs="Times New Roman"/>
          <w:b/>
          <w:bCs/>
          <w:sz w:val="28"/>
          <w:szCs w:val="28"/>
        </w:rPr>
        <w:t>Company S</w:t>
      </w:r>
      <w:bookmarkStart w:id="0" w:name="_GoBack"/>
      <w:bookmarkEnd w:id="0"/>
      <w:r>
        <w:rPr>
          <w:rFonts w:ascii="Times New Roman" w:hAnsi="Times New Roman" w:cs="Times New Roman"/>
          <w:b/>
          <w:bCs/>
          <w:sz w:val="28"/>
          <w:szCs w:val="28"/>
        </w:rPr>
        <w:t>elected</w:t>
      </w:r>
      <w:r w:rsidRPr="00103C83">
        <w:rPr>
          <w:rFonts w:ascii="Times New Roman" w:hAnsi="Times New Roman" w:cs="Times New Roman"/>
          <w:b/>
          <w:bCs/>
          <w:sz w:val="28"/>
          <w:szCs w:val="28"/>
        </w:rPr>
        <w:t>:</w:t>
      </w:r>
      <w:r w:rsidR="00CC3076">
        <w:rPr>
          <w:rFonts w:ascii="Times New Roman" w:hAnsi="Times New Roman" w:cs="Times New Roman"/>
          <w:b/>
          <w:bCs/>
          <w:sz w:val="28"/>
          <w:szCs w:val="28"/>
        </w:rPr>
        <w:t xml:space="preserve"> Infosys Limited Financial Year</w:t>
      </w:r>
      <w:r w:rsidRPr="00103C83">
        <w:rPr>
          <w:rFonts w:ascii="Times New Roman" w:hAnsi="Times New Roman" w:cs="Times New Roman"/>
          <w:b/>
          <w:bCs/>
          <w:sz w:val="28"/>
          <w:szCs w:val="28"/>
        </w:rPr>
        <w:t>: 2025-26</w:t>
      </w:r>
    </w:p>
    <w:p w:rsidR="00103C83" w:rsidRPr="00C2365F" w:rsidRDefault="00103C83" w:rsidP="00C2365F">
      <w:pPr>
        <w:pStyle w:val="Heading3"/>
        <w:rPr>
          <w:rFonts w:ascii="Times New Roman" w:hAnsi="Times New Roman" w:cs="Times New Roman"/>
          <w:szCs w:val="24"/>
        </w:rPr>
      </w:pPr>
    </w:p>
    <w:p w:rsidR="00103C83" w:rsidRPr="00C2365F" w:rsidRDefault="00103C83" w:rsidP="00A91B29">
      <w:pPr>
        <w:pStyle w:val="Heading3"/>
        <w:numPr>
          <w:ilvl w:val="0"/>
          <w:numId w:val="3"/>
        </w:numPr>
        <w:spacing w:line="360" w:lineRule="auto"/>
        <w:jc w:val="both"/>
        <w:rPr>
          <w:rFonts w:ascii="Times New Roman" w:hAnsi="Times New Roman" w:cs="Times New Roman"/>
          <w:b/>
          <w:bCs/>
          <w:szCs w:val="24"/>
        </w:rPr>
      </w:pPr>
      <w:r w:rsidRPr="00C2365F">
        <w:rPr>
          <w:rFonts w:ascii="Times New Roman" w:hAnsi="Times New Roman" w:cs="Times New Roman"/>
          <w:b/>
          <w:bCs/>
          <w:szCs w:val="24"/>
        </w:rPr>
        <w:t>Stock Market Fundamentals</w:t>
      </w:r>
    </w:p>
    <w:p w:rsidR="00CC3076" w:rsidRPr="00B425E6" w:rsidRDefault="00B425E6" w:rsidP="00A91B2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CC3076" w:rsidRPr="00B425E6">
        <w:rPr>
          <w:rFonts w:ascii="Times New Roman" w:hAnsi="Times New Roman" w:cs="Times New Roman"/>
          <w:b/>
          <w:bCs/>
          <w:sz w:val="24"/>
          <w:szCs w:val="24"/>
        </w:rPr>
        <w:t xml:space="preserve"> What is a Stock Market?</w:t>
      </w:r>
    </w:p>
    <w:p w:rsidR="00CC3076" w:rsidRPr="00CC3076" w:rsidRDefault="00CC3076" w:rsidP="00A91B29">
      <w:pPr>
        <w:pStyle w:val="ListParagraph"/>
        <w:spacing w:line="360" w:lineRule="auto"/>
        <w:jc w:val="both"/>
        <w:rPr>
          <w:rFonts w:ascii="Times New Roman" w:hAnsi="Times New Roman" w:cs="Times New Roman"/>
          <w:sz w:val="24"/>
          <w:szCs w:val="24"/>
        </w:rPr>
      </w:pPr>
      <w:r w:rsidRPr="00CC3076">
        <w:rPr>
          <w:rFonts w:ascii="Times New Roman" w:hAnsi="Times New Roman" w:cs="Times New Roman"/>
          <w:sz w:val="24"/>
          <w:szCs w:val="24"/>
        </w:rPr>
        <w:t>The stock market is a financial marketplace where shares and other securities of publicly listed companies are bought and sold. When a company wants to raise money for expansion or other business activities, it can issue shares to the public. Investors who purchase these shares become shareholders of the company. Stock markets help companies raise capital and provide investors with a regulated platform to buy and sell securities. Stock prices can change because of factors such as company performance, economic conditions, investor expectations, interest rates and market sentiment.</w:t>
      </w:r>
    </w:p>
    <w:p w:rsidR="00CC3076" w:rsidRPr="00C2365F" w:rsidRDefault="00CC3076" w:rsidP="00A91B29">
      <w:pPr>
        <w:pStyle w:val="ListParagraph"/>
        <w:spacing w:line="360" w:lineRule="auto"/>
        <w:jc w:val="both"/>
        <w:rPr>
          <w:rFonts w:ascii="Times New Roman" w:hAnsi="Times New Roman" w:cs="Times New Roman"/>
          <w:b/>
          <w:bCs/>
          <w:sz w:val="24"/>
          <w:szCs w:val="24"/>
        </w:rPr>
      </w:pPr>
      <w:r w:rsidRPr="00C2365F">
        <w:rPr>
          <w:rFonts w:ascii="Times New Roman" w:hAnsi="Times New Roman" w:cs="Times New Roman"/>
          <w:b/>
          <w:bCs/>
          <w:sz w:val="24"/>
          <w:szCs w:val="24"/>
        </w:rPr>
        <w:t xml:space="preserve"> NSE &amp; BSE</w:t>
      </w:r>
    </w:p>
    <w:p w:rsidR="00CC3076" w:rsidRPr="00CC3076" w:rsidRDefault="00CC3076" w:rsidP="00A91B29">
      <w:pPr>
        <w:pStyle w:val="ListParagraph"/>
        <w:spacing w:line="360" w:lineRule="auto"/>
        <w:jc w:val="both"/>
        <w:rPr>
          <w:rFonts w:ascii="Times New Roman" w:hAnsi="Times New Roman" w:cs="Times New Roman"/>
          <w:sz w:val="24"/>
          <w:szCs w:val="24"/>
        </w:rPr>
      </w:pPr>
      <w:r w:rsidRPr="00CC3076">
        <w:rPr>
          <w:rFonts w:ascii="Times New Roman" w:hAnsi="Times New Roman" w:cs="Times New Roman"/>
          <w:sz w:val="24"/>
          <w:szCs w:val="24"/>
        </w:rPr>
        <w:t>NSE (National Stock Exchange) and BSE (BSE Ltd.) are the two major stock exchanges in India. NSE operates the Nifty 50 index, while BSE operates the Sensex index. Stock exchanges provide an electronic platform through which buyers and sellers can trade securities. They also help improve transparency, liquidity and price discovery in the financial market.</w:t>
      </w:r>
    </w:p>
    <w:p w:rsidR="00CC3076" w:rsidRPr="00C2365F" w:rsidRDefault="00CC3076" w:rsidP="00A91B29">
      <w:pPr>
        <w:pStyle w:val="ListParagraph"/>
        <w:spacing w:line="360" w:lineRule="auto"/>
        <w:jc w:val="both"/>
        <w:rPr>
          <w:rFonts w:ascii="Times New Roman" w:hAnsi="Times New Roman" w:cs="Times New Roman"/>
          <w:b/>
          <w:bCs/>
          <w:sz w:val="24"/>
          <w:szCs w:val="24"/>
        </w:rPr>
      </w:pPr>
      <w:r w:rsidRPr="00C2365F">
        <w:rPr>
          <w:rFonts w:ascii="Times New Roman" w:hAnsi="Times New Roman" w:cs="Times New Roman"/>
          <w:b/>
          <w:bCs/>
          <w:sz w:val="24"/>
          <w:szCs w:val="24"/>
        </w:rPr>
        <w:t>Nifty &amp; Sensex</w:t>
      </w:r>
    </w:p>
    <w:p w:rsidR="00CC3076" w:rsidRPr="00CC3076" w:rsidRDefault="00CC3076" w:rsidP="00A91B29">
      <w:pPr>
        <w:pStyle w:val="ListParagraph"/>
        <w:spacing w:line="360" w:lineRule="auto"/>
        <w:jc w:val="both"/>
        <w:rPr>
          <w:rFonts w:ascii="Times New Roman" w:hAnsi="Times New Roman" w:cs="Times New Roman"/>
          <w:sz w:val="24"/>
          <w:szCs w:val="24"/>
        </w:rPr>
      </w:pPr>
      <w:r w:rsidRPr="00CC3076">
        <w:rPr>
          <w:rFonts w:ascii="Times New Roman" w:hAnsi="Times New Roman" w:cs="Times New Roman"/>
          <w:sz w:val="24"/>
          <w:szCs w:val="24"/>
        </w:rPr>
        <w:t>Nifty 50 is a benchmark index of the National Stock Exchange that represents 50 major companies from different sectors of the Indian economy. Sensex is the benchmark index of BSE and consists of 30 major companies. These indices are commonly used to understand the overall direction and performance of the Indian equity market. However, movements in an index do not necessarily represent the performance of every individual company.</w:t>
      </w:r>
    </w:p>
    <w:p w:rsidR="00CC3076" w:rsidRPr="00B425E6" w:rsidRDefault="00B425E6" w:rsidP="00A91B2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CC3076" w:rsidRPr="00B425E6">
        <w:rPr>
          <w:rFonts w:ascii="Times New Roman" w:hAnsi="Times New Roman" w:cs="Times New Roman"/>
          <w:b/>
          <w:bCs/>
          <w:sz w:val="24"/>
          <w:szCs w:val="24"/>
        </w:rPr>
        <w:t xml:space="preserve"> IPO &amp; SME IPO</w:t>
      </w:r>
    </w:p>
    <w:p w:rsidR="00CC3076" w:rsidRPr="00CC3076" w:rsidRDefault="00CC3076" w:rsidP="00A91B29">
      <w:pPr>
        <w:pStyle w:val="ListParagraph"/>
        <w:spacing w:line="360" w:lineRule="auto"/>
        <w:jc w:val="both"/>
        <w:rPr>
          <w:rFonts w:ascii="Times New Roman" w:hAnsi="Times New Roman" w:cs="Times New Roman"/>
          <w:sz w:val="24"/>
          <w:szCs w:val="24"/>
        </w:rPr>
      </w:pPr>
      <w:r w:rsidRPr="00CC3076">
        <w:rPr>
          <w:rFonts w:ascii="Times New Roman" w:hAnsi="Times New Roman" w:cs="Times New Roman"/>
          <w:sz w:val="24"/>
          <w:szCs w:val="24"/>
        </w:rPr>
        <w:t xml:space="preserve">An IPO (Initial Public Offering) is the process through which a company offers its shares to the public for the first time and becomes listed on a stock exchange. Companies use IPOs to raise funds for purposes such as expansion, repayment of debt or general corporate </w:t>
      </w:r>
      <w:r w:rsidRPr="00CC3076">
        <w:rPr>
          <w:rFonts w:ascii="Times New Roman" w:hAnsi="Times New Roman" w:cs="Times New Roman"/>
          <w:sz w:val="24"/>
          <w:szCs w:val="24"/>
        </w:rPr>
        <w:lastRenderedPageBreak/>
        <w:t>activities. An SME IPO is an IPO designed for eligible small and medium-sized enterprises, subject to the applicable regulatory and exchange requirements.</w:t>
      </w:r>
    </w:p>
    <w:p w:rsidR="00CC3076" w:rsidRPr="00C2365F" w:rsidRDefault="00CC3076" w:rsidP="00A91B29">
      <w:pPr>
        <w:pStyle w:val="ListParagraph"/>
        <w:spacing w:line="360" w:lineRule="auto"/>
        <w:jc w:val="both"/>
        <w:rPr>
          <w:rFonts w:ascii="Times New Roman" w:hAnsi="Times New Roman" w:cs="Times New Roman"/>
          <w:b/>
          <w:bCs/>
          <w:sz w:val="24"/>
          <w:szCs w:val="24"/>
        </w:rPr>
      </w:pPr>
      <w:r w:rsidRPr="00C2365F">
        <w:rPr>
          <w:rFonts w:ascii="Times New Roman" w:hAnsi="Times New Roman" w:cs="Times New Roman"/>
          <w:b/>
          <w:bCs/>
          <w:sz w:val="24"/>
          <w:szCs w:val="24"/>
        </w:rPr>
        <w:t xml:space="preserve"> Market Capitalization</w:t>
      </w:r>
    </w:p>
    <w:p w:rsidR="00CC3076" w:rsidRPr="00CC3076" w:rsidRDefault="00CC3076" w:rsidP="00A91B29">
      <w:pPr>
        <w:pStyle w:val="ListParagraph"/>
        <w:spacing w:line="360" w:lineRule="auto"/>
        <w:jc w:val="both"/>
        <w:rPr>
          <w:rFonts w:ascii="Times New Roman" w:hAnsi="Times New Roman" w:cs="Times New Roman"/>
          <w:sz w:val="24"/>
          <w:szCs w:val="24"/>
        </w:rPr>
      </w:pPr>
      <w:r w:rsidRPr="00CC3076">
        <w:rPr>
          <w:rFonts w:ascii="Times New Roman" w:hAnsi="Times New Roman" w:cs="Times New Roman"/>
          <w:sz w:val="24"/>
          <w:szCs w:val="24"/>
        </w:rPr>
        <w:t>Market capitalization represents the total market value of a company's outstanding shares. It is calculated as:</w:t>
      </w:r>
    </w:p>
    <w:p w:rsidR="00CC3076" w:rsidRPr="00CC3076" w:rsidRDefault="00CC3076" w:rsidP="00A91B29">
      <w:pPr>
        <w:pStyle w:val="ListParagraph"/>
        <w:spacing w:line="360" w:lineRule="auto"/>
        <w:jc w:val="both"/>
        <w:rPr>
          <w:rFonts w:ascii="Times New Roman" w:hAnsi="Times New Roman" w:cs="Times New Roman"/>
          <w:sz w:val="24"/>
          <w:szCs w:val="24"/>
        </w:rPr>
      </w:pPr>
      <w:r w:rsidRPr="00CC3076">
        <w:rPr>
          <w:rFonts w:ascii="Times New Roman" w:hAnsi="Times New Roman" w:cs="Times New Roman"/>
          <w:sz w:val="24"/>
          <w:szCs w:val="24"/>
        </w:rPr>
        <w:t>Market Capitalization = Current Share Price × Number of Outstanding Shares</w:t>
      </w:r>
    </w:p>
    <w:p w:rsidR="00CC3076" w:rsidRPr="00CC3076" w:rsidRDefault="00CC3076" w:rsidP="00A91B29">
      <w:pPr>
        <w:pStyle w:val="ListParagraph"/>
        <w:spacing w:line="360" w:lineRule="auto"/>
        <w:jc w:val="both"/>
        <w:rPr>
          <w:rFonts w:ascii="Times New Roman" w:hAnsi="Times New Roman" w:cs="Times New Roman"/>
          <w:sz w:val="24"/>
          <w:szCs w:val="24"/>
        </w:rPr>
      </w:pPr>
      <w:r w:rsidRPr="00CC3076">
        <w:rPr>
          <w:rFonts w:ascii="Times New Roman" w:hAnsi="Times New Roman" w:cs="Times New Roman"/>
          <w:sz w:val="24"/>
          <w:szCs w:val="24"/>
        </w:rPr>
        <w:t>Companies are commonly classified into large-cap, mid-cap and small-cap categories based on their market capitalization. Market capitalization helps analysts understand the relative size of a company in the stock market.</w:t>
      </w:r>
    </w:p>
    <w:p w:rsidR="00CC3076" w:rsidRPr="00C2365F" w:rsidRDefault="00CC3076" w:rsidP="00A91B29">
      <w:pPr>
        <w:pStyle w:val="ListParagraph"/>
        <w:spacing w:line="360" w:lineRule="auto"/>
        <w:jc w:val="both"/>
        <w:rPr>
          <w:rFonts w:ascii="Times New Roman" w:hAnsi="Times New Roman" w:cs="Times New Roman"/>
          <w:b/>
          <w:bCs/>
          <w:sz w:val="24"/>
          <w:szCs w:val="24"/>
        </w:rPr>
      </w:pPr>
      <w:r w:rsidRPr="00C2365F">
        <w:rPr>
          <w:rFonts w:ascii="Times New Roman" w:hAnsi="Times New Roman" w:cs="Times New Roman"/>
          <w:b/>
          <w:bCs/>
          <w:sz w:val="24"/>
          <w:szCs w:val="24"/>
        </w:rPr>
        <w:t xml:space="preserve"> P/E Ratio</w:t>
      </w:r>
    </w:p>
    <w:p w:rsidR="00CC3076" w:rsidRPr="00CC3076" w:rsidRDefault="00CC3076" w:rsidP="00A91B29">
      <w:pPr>
        <w:pStyle w:val="ListParagraph"/>
        <w:spacing w:line="360" w:lineRule="auto"/>
        <w:jc w:val="both"/>
        <w:rPr>
          <w:rFonts w:ascii="Times New Roman" w:hAnsi="Times New Roman" w:cs="Times New Roman"/>
          <w:sz w:val="24"/>
          <w:szCs w:val="24"/>
        </w:rPr>
      </w:pPr>
      <w:r w:rsidRPr="00CC3076">
        <w:rPr>
          <w:rFonts w:ascii="Times New Roman" w:hAnsi="Times New Roman" w:cs="Times New Roman"/>
          <w:sz w:val="24"/>
          <w:szCs w:val="24"/>
        </w:rPr>
        <w:t>The Price-to-Earnings (P/E) ratio compares a company's share price with its earnings per share. It is calculated as:</w:t>
      </w:r>
    </w:p>
    <w:p w:rsidR="00CC3076" w:rsidRPr="00CC3076" w:rsidRDefault="00CC3076" w:rsidP="00A91B29">
      <w:pPr>
        <w:pStyle w:val="ListParagraph"/>
        <w:spacing w:line="360" w:lineRule="auto"/>
        <w:jc w:val="both"/>
        <w:rPr>
          <w:rFonts w:ascii="Times New Roman" w:hAnsi="Times New Roman" w:cs="Times New Roman"/>
          <w:sz w:val="24"/>
          <w:szCs w:val="24"/>
        </w:rPr>
      </w:pPr>
      <w:r w:rsidRPr="00CC3076">
        <w:rPr>
          <w:rFonts w:ascii="Times New Roman" w:hAnsi="Times New Roman" w:cs="Times New Roman"/>
          <w:sz w:val="24"/>
          <w:szCs w:val="24"/>
        </w:rPr>
        <w:t>P/E Ratio = Market Price per Share ÷ Earnings per Share</w:t>
      </w:r>
    </w:p>
    <w:p w:rsidR="00CC3076" w:rsidRPr="00CC3076" w:rsidRDefault="00CC3076" w:rsidP="00A91B29">
      <w:pPr>
        <w:pStyle w:val="ListParagraph"/>
        <w:spacing w:line="360" w:lineRule="auto"/>
        <w:jc w:val="both"/>
        <w:rPr>
          <w:rFonts w:ascii="Times New Roman" w:hAnsi="Times New Roman" w:cs="Times New Roman"/>
          <w:sz w:val="24"/>
          <w:szCs w:val="24"/>
        </w:rPr>
      </w:pPr>
      <w:r w:rsidRPr="00CC3076">
        <w:rPr>
          <w:rFonts w:ascii="Times New Roman" w:hAnsi="Times New Roman" w:cs="Times New Roman"/>
          <w:sz w:val="24"/>
          <w:szCs w:val="24"/>
        </w:rPr>
        <w:t>The ratio is commonly used to understand how much investors are paying for each unit of a company's earnings. A P/E ratio should be interpreted by comparing it with similar companies and the company's historical performance rather than looking at it alone.</w:t>
      </w:r>
    </w:p>
    <w:p w:rsidR="00CC3076" w:rsidRPr="00C2365F" w:rsidRDefault="00CC3076" w:rsidP="00A91B29">
      <w:pPr>
        <w:pStyle w:val="ListParagraph"/>
        <w:spacing w:line="360" w:lineRule="auto"/>
        <w:jc w:val="both"/>
        <w:rPr>
          <w:rFonts w:ascii="Times New Roman" w:hAnsi="Times New Roman" w:cs="Times New Roman"/>
          <w:b/>
          <w:bCs/>
          <w:sz w:val="24"/>
          <w:szCs w:val="24"/>
        </w:rPr>
      </w:pPr>
      <w:r w:rsidRPr="00C2365F">
        <w:rPr>
          <w:rFonts w:ascii="Times New Roman" w:hAnsi="Times New Roman" w:cs="Times New Roman"/>
          <w:b/>
          <w:bCs/>
          <w:sz w:val="24"/>
          <w:szCs w:val="24"/>
        </w:rPr>
        <w:t xml:space="preserve"> P/B Ratio</w:t>
      </w:r>
    </w:p>
    <w:p w:rsidR="00CC3076" w:rsidRPr="00CC3076" w:rsidRDefault="00CC3076" w:rsidP="00A91B29">
      <w:pPr>
        <w:pStyle w:val="ListParagraph"/>
        <w:spacing w:line="360" w:lineRule="auto"/>
        <w:jc w:val="both"/>
        <w:rPr>
          <w:rFonts w:ascii="Times New Roman" w:hAnsi="Times New Roman" w:cs="Times New Roman"/>
          <w:sz w:val="24"/>
          <w:szCs w:val="24"/>
        </w:rPr>
      </w:pPr>
      <w:r w:rsidRPr="00CC3076">
        <w:rPr>
          <w:rFonts w:ascii="Times New Roman" w:hAnsi="Times New Roman" w:cs="Times New Roman"/>
          <w:sz w:val="24"/>
          <w:szCs w:val="24"/>
        </w:rPr>
        <w:t xml:space="preserve">The Price-to-Book (P/B) ratio compares the market price of a company's share with its book value per share. It helps analysts compare the market valuation of a company with the accounting value of its net assets. It can be particularly useful when </w:t>
      </w:r>
      <w:proofErr w:type="spellStart"/>
      <w:r w:rsidRPr="00CC3076">
        <w:rPr>
          <w:rFonts w:ascii="Times New Roman" w:hAnsi="Times New Roman" w:cs="Times New Roman"/>
          <w:sz w:val="24"/>
          <w:szCs w:val="24"/>
        </w:rPr>
        <w:t>analysing</w:t>
      </w:r>
      <w:proofErr w:type="spellEnd"/>
      <w:r w:rsidRPr="00CC3076">
        <w:rPr>
          <w:rFonts w:ascii="Times New Roman" w:hAnsi="Times New Roman" w:cs="Times New Roman"/>
          <w:sz w:val="24"/>
          <w:szCs w:val="24"/>
        </w:rPr>
        <w:t xml:space="preserve"> companies where book value is an important measure of financial strength.</w:t>
      </w:r>
    </w:p>
    <w:p w:rsidR="00CC3076" w:rsidRPr="00C2365F" w:rsidRDefault="00CC3076" w:rsidP="00A91B29">
      <w:pPr>
        <w:pStyle w:val="ListParagraph"/>
        <w:spacing w:line="360" w:lineRule="auto"/>
        <w:jc w:val="both"/>
        <w:rPr>
          <w:rFonts w:ascii="Times New Roman" w:hAnsi="Times New Roman" w:cs="Times New Roman"/>
          <w:b/>
          <w:bCs/>
          <w:sz w:val="24"/>
          <w:szCs w:val="24"/>
        </w:rPr>
      </w:pPr>
      <w:r w:rsidRPr="00C2365F">
        <w:rPr>
          <w:rFonts w:ascii="Times New Roman" w:hAnsi="Times New Roman" w:cs="Times New Roman"/>
          <w:b/>
          <w:bCs/>
          <w:sz w:val="24"/>
          <w:szCs w:val="24"/>
        </w:rPr>
        <w:t>EPS</w:t>
      </w:r>
    </w:p>
    <w:p w:rsidR="00CC3076" w:rsidRPr="00CC3076" w:rsidRDefault="00CC3076" w:rsidP="00A91B29">
      <w:pPr>
        <w:pStyle w:val="ListParagraph"/>
        <w:spacing w:line="360" w:lineRule="auto"/>
        <w:jc w:val="both"/>
        <w:rPr>
          <w:rFonts w:ascii="Times New Roman" w:hAnsi="Times New Roman" w:cs="Times New Roman"/>
          <w:sz w:val="24"/>
          <w:szCs w:val="24"/>
        </w:rPr>
      </w:pPr>
      <w:r w:rsidRPr="00CC3076">
        <w:rPr>
          <w:rFonts w:ascii="Times New Roman" w:hAnsi="Times New Roman" w:cs="Times New Roman"/>
          <w:sz w:val="24"/>
          <w:szCs w:val="24"/>
        </w:rPr>
        <w:t xml:space="preserve">Earnings </w:t>
      </w:r>
      <w:proofErr w:type="gramStart"/>
      <w:r w:rsidRPr="00CC3076">
        <w:rPr>
          <w:rFonts w:ascii="Times New Roman" w:hAnsi="Times New Roman" w:cs="Times New Roman"/>
          <w:sz w:val="24"/>
          <w:szCs w:val="24"/>
        </w:rPr>
        <w:t>Per</w:t>
      </w:r>
      <w:proofErr w:type="gramEnd"/>
      <w:r w:rsidRPr="00CC3076">
        <w:rPr>
          <w:rFonts w:ascii="Times New Roman" w:hAnsi="Times New Roman" w:cs="Times New Roman"/>
          <w:sz w:val="24"/>
          <w:szCs w:val="24"/>
        </w:rPr>
        <w:t xml:space="preserve"> Share (EPS) represents the portion of a company's profit attributable to each outstanding share. A commonly used basic formula is:</w:t>
      </w:r>
    </w:p>
    <w:p w:rsidR="00CC3076" w:rsidRPr="00CC3076" w:rsidRDefault="00CC3076" w:rsidP="00A91B29">
      <w:pPr>
        <w:pStyle w:val="ListParagraph"/>
        <w:spacing w:line="360" w:lineRule="auto"/>
        <w:jc w:val="both"/>
        <w:rPr>
          <w:rFonts w:ascii="Times New Roman" w:hAnsi="Times New Roman" w:cs="Times New Roman"/>
          <w:sz w:val="24"/>
          <w:szCs w:val="24"/>
        </w:rPr>
      </w:pPr>
      <w:r w:rsidRPr="00CC3076">
        <w:rPr>
          <w:rFonts w:ascii="Times New Roman" w:hAnsi="Times New Roman" w:cs="Times New Roman"/>
          <w:sz w:val="24"/>
          <w:szCs w:val="24"/>
        </w:rPr>
        <w:t>EPS = Profit Attributable to Equity Shareholders ÷ Weighted Average Number of Equity Shares</w:t>
      </w:r>
    </w:p>
    <w:p w:rsidR="00CC3076" w:rsidRPr="00CC3076" w:rsidRDefault="00CC3076" w:rsidP="00A91B29">
      <w:pPr>
        <w:pStyle w:val="ListParagraph"/>
        <w:spacing w:line="360" w:lineRule="auto"/>
        <w:jc w:val="both"/>
        <w:rPr>
          <w:rFonts w:ascii="Times New Roman" w:hAnsi="Times New Roman" w:cs="Times New Roman"/>
          <w:sz w:val="24"/>
          <w:szCs w:val="24"/>
        </w:rPr>
      </w:pPr>
      <w:r w:rsidRPr="00CC3076">
        <w:rPr>
          <w:rFonts w:ascii="Times New Roman" w:hAnsi="Times New Roman" w:cs="Times New Roman"/>
          <w:sz w:val="24"/>
          <w:szCs w:val="24"/>
        </w:rPr>
        <w:t xml:space="preserve">EPS is useful for </w:t>
      </w:r>
      <w:proofErr w:type="spellStart"/>
      <w:r w:rsidRPr="00CC3076">
        <w:rPr>
          <w:rFonts w:ascii="Times New Roman" w:hAnsi="Times New Roman" w:cs="Times New Roman"/>
          <w:sz w:val="24"/>
          <w:szCs w:val="24"/>
        </w:rPr>
        <w:t>analysing</w:t>
      </w:r>
      <w:proofErr w:type="spellEnd"/>
      <w:r w:rsidRPr="00CC3076">
        <w:rPr>
          <w:rFonts w:ascii="Times New Roman" w:hAnsi="Times New Roman" w:cs="Times New Roman"/>
          <w:sz w:val="24"/>
          <w:szCs w:val="24"/>
        </w:rPr>
        <w:t xml:space="preserve"> a company's profitability on a per-share basis and is also used in calculating the P/E ratio.</w:t>
      </w:r>
    </w:p>
    <w:p w:rsidR="00CC3076" w:rsidRPr="00C2365F" w:rsidRDefault="00CC3076" w:rsidP="00A91B29">
      <w:pPr>
        <w:pStyle w:val="ListParagraph"/>
        <w:spacing w:line="360" w:lineRule="auto"/>
        <w:jc w:val="both"/>
        <w:rPr>
          <w:rFonts w:ascii="Times New Roman" w:hAnsi="Times New Roman" w:cs="Times New Roman"/>
          <w:b/>
          <w:bCs/>
          <w:sz w:val="24"/>
          <w:szCs w:val="24"/>
        </w:rPr>
      </w:pPr>
      <w:r w:rsidRPr="00C2365F">
        <w:rPr>
          <w:rFonts w:ascii="Times New Roman" w:hAnsi="Times New Roman" w:cs="Times New Roman"/>
          <w:b/>
          <w:bCs/>
          <w:sz w:val="24"/>
          <w:szCs w:val="24"/>
        </w:rPr>
        <w:t>Dividend</w:t>
      </w:r>
    </w:p>
    <w:p w:rsidR="00CC3076" w:rsidRPr="00CC3076" w:rsidRDefault="00CC3076" w:rsidP="00A91B29">
      <w:pPr>
        <w:pStyle w:val="ListParagraph"/>
        <w:spacing w:line="360" w:lineRule="auto"/>
        <w:jc w:val="both"/>
        <w:rPr>
          <w:rFonts w:ascii="Times New Roman" w:hAnsi="Times New Roman" w:cs="Times New Roman"/>
          <w:sz w:val="24"/>
          <w:szCs w:val="24"/>
        </w:rPr>
      </w:pPr>
      <w:r w:rsidRPr="00CC3076">
        <w:rPr>
          <w:rFonts w:ascii="Times New Roman" w:hAnsi="Times New Roman" w:cs="Times New Roman"/>
          <w:sz w:val="24"/>
          <w:szCs w:val="24"/>
        </w:rPr>
        <w:t xml:space="preserve">A dividend is a distribution of a company's profits to its shareholders, subject to the company's financial position and applicable approvals. Companies may declare dividends </w:t>
      </w:r>
      <w:r w:rsidRPr="00CC3076">
        <w:rPr>
          <w:rFonts w:ascii="Times New Roman" w:hAnsi="Times New Roman" w:cs="Times New Roman"/>
          <w:sz w:val="24"/>
          <w:szCs w:val="24"/>
        </w:rPr>
        <w:lastRenderedPageBreak/>
        <w:t>as a way of returning part of their profits to shareholders. Dividends can be expressed as an amount per share or as a percentage of the face value of a share.</w:t>
      </w:r>
    </w:p>
    <w:p w:rsidR="00CC3076" w:rsidRPr="00B425E6" w:rsidRDefault="00CC3076" w:rsidP="00A91B29">
      <w:pPr>
        <w:pStyle w:val="ListParagraph"/>
        <w:spacing w:line="360" w:lineRule="auto"/>
        <w:jc w:val="both"/>
        <w:rPr>
          <w:rFonts w:ascii="Times New Roman" w:hAnsi="Times New Roman" w:cs="Times New Roman"/>
          <w:b/>
          <w:bCs/>
          <w:sz w:val="24"/>
          <w:szCs w:val="24"/>
        </w:rPr>
      </w:pPr>
      <w:r w:rsidRPr="00B425E6">
        <w:rPr>
          <w:rFonts w:ascii="Times New Roman" w:hAnsi="Times New Roman" w:cs="Times New Roman"/>
          <w:b/>
          <w:bCs/>
          <w:sz w:val="24"/>
          <w:szCs w:val="24"/>
        </w:rPr>
        <w:t xml:space="preserve"> Bonus Shares and Stock Split</w:t>
      </w:r>
    </w:p>
    <w:p w:rsidR="00CC3076" w:rsidRPr="00CC3076" w:rsidRDefault="00CC3076" w:rsidP="00A91B29">
      <w:pPr>
        <w:pStyle w:val="ListParagraph"/>
        <w:spacing w:line="360" w:lineRule="auto"/>
        <w:jc w:val="both"/>
        <w:rPr>
          <w:rFonts w:ascii="Times New Roman" w:hAnsi="Times New Roman" w:cs="Times New Roman"/>
          <w:sz w:val="24"/>
          <w:szCs w:val="24"/>
        </w:rPr>
      </w:pPr>
      <w:r w:rsidRPr="00CC3076">
        <w:rPr>
          <w:rFonts w:ascii="Times New Roman" w:hAnsi="Times New Roman" w:cs="Times New Roman"/>
          <w:sz w:val="24"/>
          <w:szCs w:val="24"/>
        </w:rPr>
        <w:t xml:space="preserve">Bonus shares are additional shares issued to existing shareholders without requiring them to make an additional payment, usually by </w:t>
      </w:r>
      <w:proofErr w:type="spellStart"/>
      <w:r w:rsidRPr="00CC3076">
        <w:rPr>
          <w:rFonts w:ascii="Times New Roman" w:hAnsi="Times New Roman" w:cs="Times New Roman"/>
          <w:sz w:val="24"/>
          <w:szCs w:val="24"/>
        </w:rPr>
        <w:t>capitalising</w:t>
      </w:r>
      <w:proofErr w:type="spellEnd"/>
      <w:r w:rsidRPr="00CC3076">
        <w:rPr>
          <w:rFonts w:ascii="Times New Roman" w:hAnsi="Times New Roman" w:cs="Times New Roman"/>
          <w:sz w:val="24"/>
          <w:szCs w:val="24"/>
        </w:rPr>
        <w:t xml:space="preserve"> eligible reserves. A stock split divides existing shares into a larger number of shares with a proportionately lower face value per share. A stock split does not by itself change the total value of a shareholder's holding immediately after the split.</w:t>
      </w:r>
    </w:p>
    <w:p w:rsidR="00CC3076" w:rsidRPr="00B425E6" w:rsidRDefault="00CC3076" w:rsidP="00A91B29">
      <w:pPr>
        <w:pStyle w:val="ListParagraph"/>
        <w:spacing w:line="360" w:lineRule="auto"/>
        <w:jc w:val="both"/>
        <w:rPr>
          <w:rFonts w:ascii="Times New Roman" w:hAnsi="Times New Roman" w:cs="Times New Roman"/>
          <w:b/>
          <w:bCs/>
          <w:sz w:val="24"/>
          <w:szCs w:val="24"/>
        </w:rPr>
      </w:pPr>
      <w:r w:rsidRPr="00B425E6">
        <w:rPr>
          <w:rFonts w:ascii="Times New Roman" w:hAnsi="Times New Roman" w:cs="Times New Roman"/>
          <w:b/>
          <w:bCs/>
          <w:sz w:val="24"/>
          <w:szCs w:val="24"/>
        </w:rPr>
        <w:t xml:space="preserve"> Trading Volume</w:t>
      </w:r>
    </w:p>
    <w:p w:rsidR="00CC3076" w:rsidRDefault="00CC3076" w:rsidP="00A91B29">
      <w:pPr>
        <w:pStyle w:val="ListParagraph"/>
        <w:spacing w:line="360" w:lineRule="auto"/>
        <w:jc w:val="both"/>
        <w:rPr>
          <w:rFonts w:ascii="Times New Roman" w:hAnsi="Times New Roman" w:cs="Times New Roman"/>
          <w:sz w:val="24"/>
          <w:szCs w:val="24"/>
        </w:rPr>
      </w:pPr>
      <w:r w:rsidRPr="00CC3076">
        <w:rPr>
          <w:rFonts w:ascii="Times New Roman" w:hAnsi="Times New Roman" w:cs="Times New Roman"/>
          <w:sz w:val="24"/>
          <w:szCs w:val="24"/>
        </w:rPr>
        <w:t>Trading volume refers to the number of shares bought and sold during a particular period. High trading volume generally indicates greater trading activity and liquidity in a security, while low volume indicates comparatively lower trading activity. Analysts often examine volume along with price movements to understand market activity.</w:t>
      </w:r>
    </w:p>
    <w:p w:rsidR="00C2365F" w:rsidRDefault="00C2365F" w:rsidP="00A91B29">
      <w:pPr>
        <w:pStyle w:val="ListParagraph"/>
        <w:spacing w:line="360" w:lineRule="auto"/>
        <w:jc w:val="both"/>
        <w:rPr>
          <w:rFonts w:ascii="Times New Roman" w:hAnsi="Times New Roman" w:cs="Times New Roman"/>
          <w:sz w:val="24"/>
          <w:szCs w:val="24"/>
        </w:rPr>
      </w:pPr>
    </w:p>
    <w:p w:rsidR="00B425E6" w:rsidRPr="00B425E6" w:rsidRDefault="00B425E6" w:rsidP="00A91B29">
      <w:pPr>
        <w:pStyle w:val="Heading3"/>
        <w:numPr>
          <w:ilvl w:val="0"/>
          <w:numId w:val="3"/>
        </w:numPr>
        <w:spacing w:line="360" w:lineRule="auto"/>
        <w:jc w:val="both"/>
        <w:rPr>
          <w:rFonts w:ascii="Times New Roman" w:hAnsi="Times New Roman" w:cs="Times New Roman"/>
          <w:b/>
          <w:bCs/>
        </w:rPr>
      </w:pPr>
      <w:r w:rsidRPr="00B425E6">
        <w:rPr>
          <w:rFonts w:ascii="Times New Roman" w:hAnsi="Times New Roman" w:cs="Times New Roman"/>
          <w:b/>
          <w:bCs/>
        </w:rPr>
        <w:t>Financial Statement Analysis – Infosys Limited</w:t>
      </w:r>
    </w:p>
    <w:p w:rsidR="00C2365F" w:rsidRPr="00B425E6" w:rsidRDefault="00B425E6" w:rsidP="00A91B29">
      <w:pPr>
        <w:spacing w:line="360" w:lineRule="auto"/>
        <w:jc w:val="both"/>
        <w:rPr>
          <w:rFonts w:ascii="Times New Roman" w:hAnsi="Times New Roman" w:cs="Times New Roman"/>
          <w:b/>
          <w:bCs/>
          <w:sz w:val="24"/>
          <w:szCs w:val="24"/>
        </w:rPr>
      </w:pPr>
      <w:r w:rsidRPr="00B425E6">
        <w:rPr>
          <w:rFonts w:ascii="Times New Roman" w:hAnsi="Times New Roman" w:cs="Times New Roman"/>
          <w:b/>
          <w:bCs/>
          <w:sz w:val="24"/>
          <w:szCs w:val="24"/>
        </w:rPr>
        <w:t xml:space="preserve">            Company Overview</w:t>
      </w:r>
    </w:p>
    <w:p w:rsidR="00B425E6" w:rsidRDefault="00B425E6" w:rsidP="00A91B29">
      <w:pPr>
        <w:pStyle w:val="ListParagraph"/>
        <w:spacing w:line="360" w:lineRule="auto"/>
        <w:jc w:val="both"/>
        <w:rPr>
          <w:rFonts w:ascii="Times New Roman" w:hAnsi="Times New Roman" w:cs="Times New Roman"/>
          <w:sz w:val="24"/>
          <w:szCs w:val="24"/>
        </w:rPr>
      </w:pPr>
      <w:r w:rsidRPr="00B425E6">
        <w:rPr>
          <w:rFonts w:ascii="Times New Roman" w:hAnsi="Times New Roman" w:cs="Times New Roman"/>
          <w:sz w:val="24"/>
          <w:szCs w:val="24"/>
        </w:rPr>
        <w:t>Infosys Limited is a leading Indian multinational information technology company that provides digital services, consulting, technology solutions and business process services to clients across different industries. The company is listed on both the National Stock Exchange (NSE) and BSE. For this analysis, the company's consolidated financial performance for FY 2025–26 is considered.</w:t>
      </w:r>
    </w:p>
    <w:p w:rsidR="00713FFD" w:rsidRDefault="00713FFD" w:rsidP="00A91B29">
      <w:pPr>
        <w:pStyle w:val="ListParagraph"/>
        <w:spacing w:line="360" w:lineRule="auto"/>
        <w:jc w:val="both"/>
        <w:rPr>
          <w:rFonts w:ascii="Times New Roman" w:hAnsi="Times New Roman" w:cs="Times New Roman"/>
          <w:sz w:val="24"/>
          <w:szCs w:val="24"/>
        </w:rPr>
      </w:pPr>
    </w:p>
    <w:p w:rsidR="00B425E6" w:rsidRDefault="00B425E6" w:rsidP="00A91B29">
      <w:pPr>
        <w:pStyle w:val="ListParagraph"/>
        <w:spacing w:line="360" w:lineRule="auto"/>
        <w:jc w:val="both"/>
        <w:rPr>
          <w:rFonts w:ascii="Times New Roman" w:hAnsi="Times New Roman" w:cs="Times New Roman"/>
          <w:b/>
          <w:bCs/>
          <w:sz w:val="24"/>
          <w:szCs w:val="24"/>
        </w:rPr>
      </w:pPr>
      <w:r w:rsidRPr="00B425E6">
        <w:rPr>
          <w:rFonts w:ascii="Times New Roman" w:hAnsi="Times New Roman" w:cs="Times New Roman"/>
          <w:b/>
          <w:bCs/>
          <w:sz w:val="24"/>
          <w:szCs w:val="24"/>
        </w:rPr>
        <w:t>Profit &amp; Loss Analysis</w:t>
      </w:r>
    </w:p>
    <w:tbl>
      <w:tblPr>
        <w:tblStyle w:val="TableGrid"/>
        <w:tblW w:w="0" w:type="auto"/>
        <w:tblInd w:w="720" w:type="dxa"/>
        <w:tblLook w:val="04A0" w:firstRow="1" w:lastRow="0" w:firstColumn="1" w:lastColumn="0" w:noHBand="0" w:noVBand="1"/>
      </w:tblPr>
      <w:tblGrid>
        <w:gridCol w:w="2245"/>
        <w:gridCol w:w="1980"/>
        <w:gridCol w:w="1980"/>
      </w:tblGrid>
      <w:tr w:rsidR="00604D29" w:rsidTr="00604D29">
        <w:tc>
          <w:tcPr>
            <w:tcW w:w="2245" w:type="dxa"/>
          </w:tcPr>
          <w:p w:rsidR="00604D29" w:rsidRPr="00451246" w:rsidRDefault="00604D29" w:rsidP="00A91B29">
            <w:pPr>
              <w:pStyle w:val="ListParagraph"/>
              <w:spacing w:line="360" w:lineRule="auto"/>
              <w:ind w:left="0"/>
              <w:jc w:val="both"/>
              <w:rPr>
                <w:rFonts w:ascii="Times New Roman" w:hAnsi="Times New Roman" w:cs="Times New Roman"/>
                <w:b/>
                <w:bCs/>
                <w:sz w:val="24"/>
                <w:szCs w:val="24"/>
              </w:rPr>
            </w:pPr>
            <w:r w:rsidRPr="00451246">
              <w:rPr>
                <w:rFonts w:ascii="Times New Roman" w:hAnsi="Times New Roman" w:cs="Times New Roman"/>
                <w:b/>
                <w:bCs/>
                <w:sz w:val="24"/>
                <w:szCs w:val="24"/>
              </w:rPr>
              <w:t>Particular</w:t>
            </w:r>
          </w:p>
        </w:tc>
        <w:tc>
          <w:tcPr>
            <w:tcW w:w="1980" w:type="dxa"/>
          </w:tcPr>
          <w:p w:rsidR="00604D29" w:rsidRPr="00451246" w:rsidRDefault="00604D29" w:rsidP="00A91B29">
            <w:pPr>
              <w:pStyle w:val="ListParagraph"/>
              <w:spacing w:line="360" w:lineRule="auto"/>
              <w:ind w:left="0"/>
              <w:jc w:val="both"/>
              <w:rPr>
                <w:rFonts w:ascii="Times New Roman" w:hAnsi="Times New Roman" w:cs="Times New Roman"/>
                <w:b/>
                <w:bCs/>
                <w:sz w:val="24"/>
                <w:szCs w:val="24"/>
              </w:rPr>
            </w:pPr>
            <w:r w:rsidRPr="00451246">
              <w:rPr>
                <w:rFonts w:ascii="Times New Roman" w:hAnsi="Times New Roman" w:cs="Times New Roman"/>
                <w:b/>
                <w:bCs/>
                <w:sz w:val="24"/>
                <w:szCs w:val="24"/>
              </w:rPr>
              <w:t>FY 2024-25</w:t>
            </w:r>
          </w:p>
        </w:tc>
        <w:tc>
          <w:tcPr>
            <w:tcW w:w="1980" w:type="dxa"/>
          </w:tcPr>
          <w:p w:rsidR="00604D29" w:rsidRPr="00451246" w:rsidRDefault="00604D29" w:rsidP="00A91B29">
            <w:pPr>
              <w:pStyle w:val="ListParagraph"/>
              <w:spacing w:line="360" w:lineRule="auto"/>
              <w:ind w:left="0"/>
              <w:jc w:val="both"/>
              <w:rPr>
                <w:rFonts w:ascii="Times New Roman" w:hAnsi="Times New Roman" w:cs="Times New Roman"/>
                <w:b/>
                <w:bCs/>
                <w:sz w:val="24"/>
                <w:szCs w:val="24"/>
              </w:rPr>
            </w:pPr>
            <w:r w:rsidRPr="00451246">
              <w:rPr>
                <w:rFonts w:ascii="Times New Roman" w:hAnsi="Times New Roman" w:cs="Times New Roman"/>
                <w:b/>
                <w:bCs/>
                <w:sz w:val="24"/>
                <w:szCs w:val="24"/>
              </w:rPr>
              <w:t>FY 2025-26</w:t>
            </w:r>
          </w:p>
        </w:tc>
      </w:tr>
      <w:tr w:rsidR="00604D29" w:rsidTr="00604D29">
        <w:tc>
          <w:tcPr>
            <w:tcW w:w="2245" w:type="dxa"/>
          </w:tcPr>
          <w:p w:rsidR="00604D29" w:rsidRDefault="00604D29" w:rsidP="00A91B29">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Revenue</w:t>
            </w:r>
          </w:p>
        </w:tc>
        <w:tc>
          <w:tcPr>
            <w:tcW w:w="1980" w:type="dxa"/>
          </w:tcPr>
          <w:p w:rsidR="00604D29" w:rsidRDefault="00604D29" w:rsidP="00A91B29">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₹1,62,990 Cr</w:t>
            </w:r>
          </w:p>
        </w:tc>
        <w:tc>
          <w:tcPr>
            <w:tcW w:w="1980" w:type="dxa"/>
          </w:tcPr>
          <w:p w:rsidR="00604D29" w:rsidRDefault="00604D29" w:rsidP="00A91B29">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₹1.78,650 Cr</w:t>
            </w:r>
          </w:p>
        </w:tc>
      </w:tr>
      <w:tr w:rsidR="00604D29" w:rsidTr="00604D29">
        <w:tc>
          <w:tcPr>
            <w:tcW w:w="2245" w:type="dxa"/>
          </w:tcPr>
          <w:p w:rsidR="00604D29" w:rsidRDefault="00604D29" w:rsidP="00A91B29">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Profit for the Year</w:t>
            </w:r>
          </w:p>
        </w:tc>
        <w:tc>
          <w:tcPr>
            <w:tcW w:w="1980" w:type="dxa"/>
          </w:tcPr>
          <w:p w:rsidR="00604D29" w:rsidRDefault="00604D29" w:rsidP="00A91B29">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₹26,713 Cr</w:t>
            </w:r>
          </w:p>
        </w:tc>
        <w:tc>
          <w:tcPr>
            <w:tcW w:w="1980" w:type="dxa"/>
          </w:tcPr>
          <w:p w:rsidR="00604D29" w:rsidRDefault="00604D29" w:rsidP="00A91B29">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₹29,474 Cr</w:t>
            </w:r>
          </w:p>
        </w:tc>
      </w:tr>
      <w:tr w:rsidR="00604D29" w:rsidTr="00604D29">
        <w:tc>
          <w:tcPr>
            <w:tcW w:w="2245" w:type="dxa"/>
          </w:tcPr>
          <w:p w:rsidR="00604D29" w:rsidRDefault="00604D29" w:rsidP="00A91B29">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Basis EPS</w:t>
            </w:r>
          </w:p>
        </w:tc>
        <w:tc>
          <w:tcPr>
            <w:tcW w:w="1980" w:type="dxa"/>
          </w:tcPr>
          <w:p w:rsidR="00604D29" w:rsidRDefault="00604D29" w:rsidP="00A91B29">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₹64.50</w:t>
            </w:r>
          </w:p>
        </w:tc>
        <w:tc>
          <w:tcPr>
            <w:tcW w:w="1980" w:type="dxa"/>
          </w:tcPr>
          <w:p w:rsidR="00604D29" w:rsidRDefault="00604D29" w:rsidP="00A91B29">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₹71.58</w:t>
            </w:r>
          </w:p>
        </w:tc>
      </w:tr>
    </w:tbl>
    <w:p w:rsidR="00B425E6" w:rsidRDefault="00B425E6" w:rsidP="00A91B29">
      <w:pPr>
        <w:pStyle w:val="ListParagraph"/>
        <w:spacing w:line="360" w:lineRule="auto"/>
        <w:jc w:val="both"/>
        <w:rPr>
          <w:rFonts w:ascii="Times New Roman" w:hAnsi="Times New Roman" w:cs="Times New Roman"/>
          <w:sz w:val="24"/>
          <w:szCs w:val="24"/>
        </w:rPr>
      </w:pPr>
    </w:p>
    <w:p w:rsidR="00604D29" w:rsidRDefault="00604D29" w:rsidP="00A91B29">
      <w:pPr>
        <w:pStyle w:val="ListParagraph"/>
        <w:spacing w:line="360" w:lineRule="auto"/>
        <w:jc w:val="both"/>
        <w:rPr>
          <w:rFonts w:ascii="Times New Roman" w:hAnsi="Times New Roman" w:cs="Times New Roman"/>
          <w:sz w:val="24"/>
          <w:szCs w:val="24"/>
        </w:rPr>
      </w:pPr>
      <w:r w:rsidRPr="00604D29">
        <w:rPr>
          <w:rFonts w:ascii="Times New Roman" w:hAnsi="Times New Roman" w:cs="Times New Roman"/>
          <w:sz w:val="24"/>
          <w:szCs w:val="24"/>
        </w:rPr>
        <w:t>Infosys recorded growth in revenue during FY 2025–26 compared with the previous financial year. Revenue increased from approximately ₹1</w:t>
      </w:r>
      <w:proofErr w:type="gramStart"/>
      <w:r w:rsidRPr="00604D29">
        <w:rPr>
          <w:rFonts w:ascii="Times New Roman" w:hAnsi="Times New Roman" w:cs="Times New Roman"/>
          <w:sz w:val="24"/>
          <w:szCs w:val="24"/>
        </w:rPr>
        <w:t>,62,990</w:t>
      </w:r>
      <w:proofErr w:type="gramEnd"/>
      <w:r w:rsidRPr="00604D29">
        <w:rPr>
          <w:rFonts w:ascii="Times New Roman" w:hAnsi="Times New Roman" w:cs="Times New Roman"/>
          <w:sz w:val="24"/>
          <w:szCs w:val="24"/>
        </w:rPr>
        <w:t xml:space="preserve"> crore to ₹1,78,650 crore. </w:t>
      </w:r>
      <w:r w:rsidRPr="00604D29">
        <w:rPr>
          <w:rFonts w:ascii="Times New Roman" w:hAnsi="Times New Roman" w:cs="Times New Roman"/>
          <w:sz w:val="24"/>
          <w:szCs w:val="24"/>
        </w:rPr>
        <w:lastRenderedPageBreak/>
        <w:t>Profit for the year also increased, indicating an improvement in overall profitability. Basic earnings per share increased to ₹71.58, showing higher earnings attributable to each equity share.</w:t>
      </w:r>
    </w:p>
    <w:p w:rsidR="00713FFD" w:rsidRDefault="00713FFD" w:rsidP="00A91B29">
      <w:pPr>
        <w:pStyle w:val="ListParagraph"/>
        <w:spacing w:line="360" w:lineRule="auto"/>
        <w:jc w:val="both"/>
        <w:rPr>
          <w:rFonts w:ascii="Times New Roman" w:hAnsi="Times New Roman" w:cs="Times New Roman"/>
          <w:sz w:val="24"/>
          <w:szCs w:val="24"/>
        </w:rPr>
      </w:pPr>
    </w:p>
    <w:p w:rsidR="00604D29" w:rsidRPr="00713FFD" w:rsidRDefault="00604D29" w:rsidP="00A91B29">
      <w:pPr>
        <w:pStyle w:val="ListParagraph"/>
        <w:spacing w:line="360" w:lineRule="auto"/>
        <w:jc w:val="both"/>
        <w:rPr>
          <w:rFonts w:ascii="Times New Roman" w:hAnsi="Times New Roman" w:cs="Times New Roman"/>
          <w:b/>
          <w:bCs/>
          <w:sz w:val="24"/>
          <w:szCs w:val="24"/>
        </w:rPr>
      </w:pPr>
      <w:r w:rsidRPr="00604D29">
        <w:rPr>
          <w:rFonts w:ascii="Times New Roman" w:hAnsi="Times New Roman" w:cs="Times New Roman"/>
          <w:b/>
          <w:bCs/>
          <w:sz w:val="24"/>
          <w:szCs w:val="24"/>
        </w:rPr>
        <w:t>Balance Sheet Analysis</w:t>
      </w:r>
    </w:p>
    <w:tbl>
      <w:tblPr>
        <w:tblStyle w:val="TableGrid"/>
        <w:tblW w:w="0" w:type="auto"/>
        <w:tblInd w:w="720" w:type="dxa"/>
        <w:tblLook w:val="04A0" w:firstRow="1" w:lastRow="0" w:firstColumn="1" w:lastColumn="0" w:noHBand="0" w:noVBand="1"/>
      </w:tblPr>
      <w:tblGrid>
        <w:gridCol w:w="2515"/>
        <w:gridCol w:w="1980"/>
        <w:gridCol w:w="2070"/>
      </w:tblGrid>
      <w:tr w:rsidR="00451246" w:rsidTr="00713FFD">
        <w:tc>
          <w:tcPr>
            <w:tcW w:w="2515" w:type="dxa"/>
          </w:tcPr>
          <w:p w:rsidR="00451246" w:rsidRPr="00451246" w:rsidRDefault="00451246" w:rsidP="00A91B29">
            <w:pPr>
              <w:pStyle w:val="ListParagraph"/>
              <w:spacing w:line="360" w:lineRule="auto"/>
              <w:ind w:left="0"/>
              <w:jc w:val="both"/>
              <w:rPr>
                <w:rFonts w:ascii="Times New Roman" w:hAnsi="Times New Roman" w:cs="Times New Roman"/>
                <w:b/>
                <w:bCs/>
                <w:sz w:val="24"/>
                <w:szCs w:val="24"/>
              </w:rPr>
            </w:pPr>
            <w:r w:rsidRPr="00451246">
              <w:rPr>
                <w:rFonts w:ascii="Times New Roman" w:hAnsi="Times New Roman" w:cs="Times New Roman"/>
                <w:b/>
                <w:bCs/>
                <w:sz w:val="24"/>
                <w:szCs w:val="24"/>
              </w:rPr>
              <w:t>Particular</w:t>
            </w:r>
          </w:p>
        </w:tc>
        <w:tc>
          <w:tcPr>
            <w:tcW w:w="1980" w:type="dxa"/>
          </w:tcPr>
          <w:p w:rsidR="00451246" w:rsidRPr="00451246" w:rsidRDefault="00451246" w:rsidP="00A91B29">
            <w:pPr>
              <w:pStyle w:val="ListParagraph"/>
              <w:spacing w:line="360" w:lineRule="auto"/>
              <w:ind w:left="0"/>
              <w:jc w:val="both"/>
              <w:rPr>
                <w:rFonts w:ascii="Times New Roman" w:hAnsi="Times New Roman" w:cs="Times New Roman"/>
                <w:b/>
                <w:bCs/>
                <w:sz w:val="24"/>
                <w:szCs w:val="24"/>
              </w:rPr>
            </w:pPr>
            <w:r w:rsidRPr="00451246">
              <w:rPr>
                <w:rFonts w:ascii="Times New Roman" w:hAnsi="Times New Roman" w:cs="Times New Roman"/>
                <w:b/>
                <w:bCs/>
                <w:sz w:val="24"/>
                <w:szCs w:val="24"/>
              </w:rPr>
              <w:t>FY 2024-25</w:t>
            </w:r>
          </w:p>
        </w:tc>
        <w:tc>
          <w:tcPr>
            <w:tcW w:w="2070" w:type="dxa"/>
          </w:tcPr>
          <w:p w:rsidR="00451246" w:rsidRPr="00451246" w:rsidRDefault="00451246" w:rsidP="00A91B29">
            <w:pPr>
              <w:pStyle w:val="ListParagraph"/>
              <w:spacing w:line="360" w:lineRule="auto"/>
              <w:ind w:left="0"/>
              <w:jc w:val="both"/>
              <w:rPr>
                <w:rFonts w:ascii="Times New Roman" w:hAnsi="Times New Roman" w:cs="Times New Roman"/>
                <w:b/>
                <w:bCs/>
                <w:sz w:val="24"/>
                <w:szCs w:val="24"/>
              </w:rPr>
            </w:pPr>
            <w:r w:rsidRPr="00451246">
              <w:rPr>
                <w:rFonts w:ascii="Times New Roman" w:hAnsi="Times New Roman" w:cs="Times New Roman"/>
                <w:b/>
                <w:bCs/>
                <w:sz w:val="24"/>
                <w:szCs w:val="24"/>
              </w:rPr>
              <w:t>FY 2025-26</w:t>
            </w:r>
          </w:p>
        </w:tc>
      </w:tr>
      <w:tr w:rsidR="00451246" w:rsidTr="00713FFD">
        <w:tc>
          <w:tcPr>
            <w:tcW w:w="2515" w:type="dxa"/>
          </w:tcPr>
          <w:p w:rsidR="00451246" w:rsidRDefault="00451246" w:rsidP="00A91B29">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Total Assets</w:t>
            </w:r>
          </w:p>
        </w:tc>
        <w:tc>
          <w:tcPr>
            <w:tcW w:w="1980" w:type="dxa"/>
          </w:tcPr>
          <w:p w:rsidR="00451246" w:rsidRDefault="00451246" w:rsidP="00A91B29">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₹1,48,903 Cr</w:t>
            </w:r>
          </w:p>
        </w:tc>
        <w:tc>
          <w:tcPr>
            <w:tcW w:w="2070" w:type="dxa"/>
          </w:tcPr>
          <w:p w:rsidR="00451246" w:rsidRDefault="00451246" w:rsidP="00A91B29">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₹1,55,967 Cr</w:t>
            </w:r>
          </w:p>
        </w:tc>
      </w:tr>
      <w:tr w:rsidR="00451246" w:rsidTr="00713FFD">
        <w:tc>
          <w:tcPr>
            <w:tcW w:w="2515" w:type="dxa"/>
          </w:tcPr>
          <w:p w:rsidR="00451246" w:rsidRDefault="00451246" w:rsidP="00A91B29">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Total Liabilities</w:t>
            </w:r>
          </w:p>
        </w:tc>
        <w:tc>
          <w:tcPr>
            <w:tcW w:w="1980" w:type="dxa"/>
          </w:tcPr>
          <w:p w:rsidR="00451246" w:rsidRDefault="00451246" w:rsidP="00A91B29">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₹96,203 Cr</w:t>
            </w:r>
          </w:p>
        </w:tc>
        <w:tc>
          <w:tcPr>
            <w:tcW w:w="2070" w:type="dxa"/>
          </w:tcPr>
          <w:p w:rsidR="00451246" w:rsidRDefault="00451246" w:rsidP="00A91B29">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₹93,297 Cr</w:t>
            </w:r>
          </w:p>
        </w:tc>
      </w:tr>
      <w:tr w:rsidR="00451246" w:rsidTr="00713FFD">
        <w:tc>
          <w:tcPr>
            <w:tcW w:w="2515" w:type="dxa"/>
          </w:tcPr>
          <w:p w:rsidR="00451246" w:rsidRDefault="00451246" w:rsidP="00A91B29">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Shareholder’s Equity</w:t>
            </w:r>
          </w:p>
        </w:tc>
        <w:tc>
          <w:tcPr>
            <w:tcW w:w="1980" w:type="dxa"/>
          </w:tcPr>
          <w:p w:rsidR="00451246" w:rsidRDefault="00451246" w:rsidP="00A91B29">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₹24,455 Cr</w:t>
            </w:r>
          </w:p>
        </w:tc>
        <w:tc>
          <w:tcPr>
            <w:tcW w:w="2070" w:type="dxa"/>
          </w:tcPr>
          <w:p w:rsidR="00451246" w:rsidRDefault="00451246" w:rsidP="00A91B29">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₹22,201 Cr</w:t>
            </w:r>
          </w:p>
        </w:tc>
      </w:tr>
      <w:tr w:rsidR="00451246" w:rsidTr="00713FFD">
        <w:tc>
          <w:tcPr>
            <w:tcW w:w="2515" w:type="dxa"/>
          </w:tcPr>
          <w:p w:rsidR="00451246" w:rsidRDefault="00451246" w:rsidP="00A91B29">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Cash and Investments</w:t>
            </w:r>
          </w:p>
        </w:tc>
        <w:tc>
          <w:tcPr>
            <w:tcW w:w="1980" w:type="dxa"/>
          </w:tcPr>
          <w:p w:rsidR="00451246" w:rsidRDefault="00451246" w:rsidP="00A91B29">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₹12,482 Cr</w:t>
            </w:r>
          </w:p>
        </w:tc>
        <w:tc>
          <w:tcPr>
            <w:tcW w:w="2070" w:type="dxa"/>
          </w:tcPr>
          <w:p w:rsidR="00451246" w:rsidRDefault="00451246" w:rsidP="00A91B29">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₹12,950 Cr</w:t>
            </w:r>
          </w:p>
        </w:tc>
      </w:tr>
    </w:tbl>
    <w:p w:rsidR="00604D29" w:rsidRDefault="00604D29" w:rsidP="00A91B29">
      <w:pPr>
        <w:pStyle w:val="ListParagraph"/>
        <w:spacing w:line="360" w:lineRule="auto"/>
        <w:jc w:val="both"/>
        <w:rPr>
          <w:rFonts w:ascii="Times New Roman" w:hAnsi="Times New Roman" w:cs="Times New Roman"/>
          <w:sz w:val="24"/>
          <w:szCs w:val="24"/>
        </w:rPr>
      </w:pPr>
    </w:p>
    <w:p w:rsidR="00713FFD" w:rsidRDefault="00713FFD" w:rsidP="00A91B29">
      <w:pPr>
        <w:pStyle w:val="ListParagraph"/>
        <w:spacing w:line="360" w:lineRule="auto"/>
        <w:jc w:val="both"/>
        <w:rPr>
          <w:rFonts w:ascii="Times New Roman" w:hAnsi="Times New Roman" w:cs="Times New Roman"/>
          <w:sz w:val="24"/>
          <w:szCs w:val="24"/>
        </w:rPr>
      </w:pPr>
      <w:r w:rsidRPr="00604D29">
        <w:rPr>
          <w:rFonts w:ascii="Times New Roman" w:hAnsi="Times New Roman" w:cs="Times New Roman"/>
          <w:sz w:val="24"/>
          <w:szCs w:val="24"/>
        </w:rPr>
        <w:t xml:space="preserve">The balance sheet provides information about the financial position of Infosys at the end of the financial year. It presents the company's assets, liabilities and shareholders' equity. </w:t>
      </w:r>
      <w:proofErr w:type="spellStart"/>
      <w:r w:rsidRPr="00604D29">
        <w:rPr>
          <w:rFonts w:ascii="Times New Roman" w:hAnsi="Times New Roman" w:cs="Times New Roman"/>
          <w:sz w:val="24"/>
          <w:szCs w:val="24"/>
        </w:rPr>
        <w:t>Analysing</w:t>
      </w:r>
      <w:proofErr w:type="spellEnd"/>
      <w:r w:rsidRPr="00604D29">
        <w:rPr>
          <w:rFonts w:ascii="Times New Roman" w:hAnsi="Times New Roman" w:cs="Times New Roman"/>
          <w:sz w:val="24"/>
          <w:szCs w:val="24"/>
        </w:rPr>
        <w:t xml:space="preserve"> these components helps understand the company's financial strength and how its resources are financed.</w:t>
      </w:r>
    </w:p>
    <w:p w:rsidR="00713FFD" w:rsidRDefault="00713FFD" w:rsidP="00A91B29">
      <w:pPr>
        <w:pStyle w:val="ListParagraph"/>
        <w:spacing w:line="360" w:lineRule="auto"/>
        <w:jc w:val="both"/>
        <w:rPr>
          <w:rFonts w:ascii="Times New Roman" w:hAnsi="Times New Roman" w:cs="Times New Roman"/>
          <w:sz w:val="24"/>
          <w:szCs w:val="24"/>
        </w:rPr>
      </w:pPr>
    </w:p>
    <w:p w:rsidR="00451246" w:rsidRDefault="00451246" w:rsidP="00A91B29">
      <w:pPr>
        <w:pStyle w:val="ListParagraph"/>
        <w:spacing w:line="360" w:lineRule="auto"/>
        <w:jc w:val="both"/>
        <w:rPr>
          <w:rFonts w:ascii="Times New Roman" w:hAnsi="Times New Roman" w:cs="Times New Roman"/>
          <w:b/>
          <w:bCs/>
          <w:sz w:val="24"/>
          <w:szCs w:val="24"/>
        </w:rPr>
      </w:pPr>
      <w:r w:rsidRPr="00451246">
        <w:rPr>
          <w:rFonts w:ascii="Times New Roman" w:hAnsi="Times New Roman" w:cs="Times New Roman"/>
          <w:b/>
          <w:bCs/>
          <w:sz w:val="24"/>
          <w:szCs w:val="24"/>
        </w:rPr>
        <w:t>Cash Flow Analysis</w:t>
      </w:r>
    </w:p>
    <w:tbl>
      <w:tblPr>
        <w:tblStyle w:val="TableGrid"/>
        <w:tblW w:w="0" w:type="auto"/>
        <w:tblInd w:w="720" w:type="dxa"/>
        <w:tblLook w:val="04A0" w:firstRow="1" w:lastRow="0" w:firstColumn="1" w:lastColumn="0" w:noHBand="0" w:noVBand="1"/>
      </w:tblPr>
      <w:tblGrid>
        <w:gridCol w:w="2912"/>
        <w:gridCol w:w="1583"/>
        <w:gridCol w:w="1620"/>
      </w:tblGrid>
      <w:tr w:rsidR="00713FFD" w:rsidTr="00713FFD">
        <w:tc>
          <w:tcPr>
            <w:tcW w:w="2912" w:type="dxa"/>
          </w:tcPr>
          <w:p w:rsidR="00713FFD" w:rsidRDefault="00713FFD" w:rsidP="00A91B29">
            <w:pPr>
              <w:pStyle w:val="ListParagraph"/>
              <w:spacing w:line="360" w:lineRule="auto"/>
              <w:ind w:left="0"/>
              <w:jc w:val="both"/>
              <w:rPr>
                <w:rFonts w:ascii="Times New Roman" w:hAnsi="Times New Roman" w:cs="Times New Roman"/>
                <w:b/>
                <w:bCs/>
                <w:sz w:val="24"/>
                <w:szCs w:val="24"/>
              </w:rPr>
            </w:pPr>
            <w:r w:rsidRPr="00451246">
              <w:rPr>
                <w:rFonts w:ascii="Times New Roman" w:hAnsi="Times New Roman" w:cs="Times New Roman"/>
                <w:b/>
                <w:bCs/>
                <w:sz w:val="24"/>
                <w:szCs w:val="24"/>
              </w:rPr>
              <w:t>Particular</w:t>
            </w:r>
          </w:p>
        </w:tc>
        <w:tc>
          <w:tcPr>
            <w:tcW w:w="1583" w:type="dxa"/>
          </w:tcPr>
          <w:p w:rsidR="00713FFD" w:rsidRDefault="00713FFD" w:rsidP="00A91B29">
            <w:pPr>
              <w:pStyle w:val="ListParagraph"/>
              <w:spacing w:line="360" w:lineRule="auto"/>
              <w:ind w:left="0"/>
              <w:jc w:val="both"/>
              <w:rPr>
                <w:rFonts w:ascii="Times New Roman" w:hAnsi="Times New Roman" w:cs="Times New Roman"/>
                <w:b/>
                <w:bCs/>
                <w:sz w:val="24"/>
                <w:szCs w:val="24"/>
              </w:rPr>
            </w:pPr>
            <w:r w:rsidRPr="00451246">
              <w:rPr>
                <w:rFonts w:ascii="Times New Roman" w:hAnsi="Times New Roman" w:cs="Times New Roman"/>
                <w:b/>
                <w:bCs/>
                <w:sz w:val="24"/>
                <w:szCs w:val="24"/>
              </w:rPr>
              <w:t>FY 2024-25</w:t>
            </w:r>
          </w:p>
        </w:tc>
        <w:tc>
          <w:tcPr>
            <w:tcW w:w="1620" w:type="dxa"/>
          </w:tcPr>
          <w:p w:rsidR="00713FFD" w:rsidRDefault="00713FFD" w:rsidP="00A91B29">
            <w:pPr>
              <w:pStyle w:val="ListParagraph"/>
              <w:spacing w:line="360" w:lineRule="auto"/>
              <w:ind w:left="0"/>
              <w:jc w:val="both"/>
              <w:rPr>
                <w:rFonts w:ascii="Times New Roman" w:hAnsi="Times New Roman" w:cs="Times New Roman"/>
                <w:b/>
                <w:bCs/>
                <w:sz w:val="24"/>
                <w:szCs w:val="24"/>
              </w:rPr>
            </w:pPr>
            <w:r w:rsidRPr="00451246">
              <w:rPr>
                <w:rFonts w:ascii="Times New Roman" w:hAnsi="Times New Roman" w:cs="Times New Roman"/>
                <w:b/>
                <w:bCs/>
                <w:sz w:val="24"/>
                <w:szCs w:val="24"/>
              </w:rPr>
              <w:t>FY 2025-26</w:t>
            </w:r>
          </w:p>
        </w:tc>
      </w:tr>
      <w:tr w:rsidR="00713FFD" w:rsidTr="00713FFD">
        <w:tc>
          <w:tcPr>
            <w:tcW w:w="2912" w:type="dxa"/>
          </w:tcPr>
          <w:p w:rsidR="00713FFD" w:rsidRDefault="00713FFD" w:rsidP="00A91B29">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Cash Flow from Operating</w:t>
            </w:r>
          </w:p>
          <w:p w:rsidR="00713FFD" w:rsidRPr="00713FFD" w:rsidRDefault="00713FFD" w:rsidP="00A91B29">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Activities</w:t>
            </w:r>
          </w:p>
        </w:tc>
        <w:tc>
          <w:tcPr>
            <w:tcW w:w="1583" w:type="dxa"/>
          </w:tcPr>
          <w:p w:rsidR="00713FFD" w:rsidRPr="00713FFD" w:rsidRDefault="00713FFD" w:rsidP="00A91B29">
            <w:pPr>
              <w:pStyle w:val="ListParagraph"/>
              <w:spacing w:line="360" w:lineRule="auto"/>
              <w:ind w:left="0"/>
              <w:jc w:val="both"/>
              <w:rPr>
                <w:rFonts w:ascii="Times New Roman" w:hAnsi="Times New Roman" w:cs="Times New Roman"/>
                <w:sz w:val="24"/>
                <w:szCs w:val="24"/>
              </w:rPr>
            </w:pPr>
            <w:r w:rsidRPr="00713FFD">
              <w:rPr>
                <w:rFonts w:ascii="Times New Roman" w:hAnsi="Times New Roman" w:cs="Times New Roman"/>
                <w:sz w:val="24"/>
                <w:szCs w:val="24"/>
              </w:rPr>
              <w:t>₹35,694 Cr</w:t>
            </w:r>
          </w:p>
        </w:tc>
        <w:tc>
          <w:tcPr>
            <w:tcW w:w="1620" w:type="dxa"/>
          </w:tcPr>
          <w:p w:rsidR="00713FFD" w:rsidRPr="00713FFD" w:rsidRDefault="00713FFD" w:rsidP="00A91B29">
            <w:pPr>
              <w:pStyle w:val="ListParagraph"/>
              <w:spacing w:line="360" w:lineRule="auto"/>
              <w:ind w:left="0"/>
              <w:jc w:val="both"/>
              <w:rPr>
                <w:rFonts w:ascii="Times New Roman" w:hAnsi="Times New Roman" w:cs="Times New Roman"/>
                <w:sz w:val="24"/>
                <w:szCs w:val="24"/>
              </w:rPr>
            </w:pPr>
            <w:r w:rsidRPr="00713FFD">
              <w:rPr>
                <w:rFonts w:ascii="Times New Roman" w:hAnsi="Times New Roman" w:cs="Times New Roman"/>
                <w:sz w:val="24"/>
                <w:szCs w:val="24"/>
              </w:rPr>
              <w:t>₹35.470 Cr</w:t>
            </w:r>
          </w:p>
        </w:tc>
      </w:tr>
      <w:tr w:rsidR="00713FFD" w:rsidTr="00713FFD">
        <w:tc>
          <w:tcPr>
            <w:tcW w:w="2912" w:type="dxa"/>
          </w:tcPr>
          <w:p w:rsidR="00713FFD" w:rsidRPr="00713FFD" w:rsidRDefault="00713FFD" w:rsidP="00A91B29">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Cash Flow from Investing Activities</w:t>
            </w:r>
          </w:p>
        </w:tc>
        <w:tc>
          <w:tcPr>
            <w:tcW w:w="1583" w:type="dxa"/>
          </w:tcPr>
          <w:p w:rsidR="00713FFD" w:rsidRPr="00713FFD" w:rsidRDefault="00713FFD" w:rsidP="00A91B29">
            <w:pPr>
              <w:pStyle w:val="ListParagraph"/>
              <w:spacing w:line="360" w:lineRule="auto"/>
              <w:ind w:left="0"/>
              <w:jc w:val="both"/>
              <w:rPr>
                <w:rFonts w:ascii="Times New Roman" w:hAnsi="Times New Roman" w:cs="Times New Roman"/>
                <w:sz w:val="24"/>
                <w:szCs w:val="24"/>
              </w:rPr>
            </w:pPr>
            <w:r w:rsidRPr="00713FFD">
              <w:rPr>
                <w:rFonts w:ascii="Times New Roman" w:hAnsi="Times New Roman" w:cs="Times New Roman"/>
                <w:sz w:val="24"/>
                <w:szCs w:val="24"/>
              </w:rPr>
              <w:t>₹(1,748) Cr</w:t>
            </w:r>
          </w:p>
        </w:tc>
        <w:tc>
          <w:tcPr>
            <w:tcW w:w="1620" w:type="dxa"/>
          </w:tcPr>
          <w:p w:rsidR="00713FFD" w:rsidRPr="00713FFD" w:rsidRDefault="00713FFD" w:rsidP="00A91B29">
            <w:pPr>
              <w:pStyle w:val="ListParagraph"/>
              <w:spacing w:line="360" w:lineRule="auto"/>
              <w:ind w:left="0"/>
              <w:jc w:val="both"/>
              <w:rPr>
                <w:rFonts w:ascii="Times New Roman" w:hAnsi="Times New Roman" w:cs="Times New Roman"/>
                <w:sz w:val="24"/>
                <w:szCs w:val="24"/>
              </w:rPr>
            </w:pPr>
            <w:r w:rsidRPr="00713FFD">
              <w:rPr>
                <w:rFonts w:ascii="Times New Roman" w:hAnsi="Times New Roman" w:cs="Times New Roman"/>
                <w:sz w:val="24"/>
                <w:szCs w:val="24"/>
              </w:rPr>
              <w:t>₹(3,782) Cr</w:t>
            </w:r>
          </w:p>
        </w:tc>
      </w:tr>
      <w:tr w:rsidR="00713FFD" w:rsidTr="00713FFD">
        <w:tc>
          <w:tcPr>
            <w:tcW w:w="2912" w:type="dxa"/>
          </w:tcPr>
          <w:p w:rsidR="00713FFD" w:rsidRPr="00713FFD" w:rsidRDefault="00713FFD" w:rsidP="00A91B29">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Cash </w:t>
            </w:r>
            <w:r>
              <w:rPr>
                <w:rFonts w:ascii="Times New Roman" w:hAnsi="Times New Roman" w:cs="Times New Roman"/>
                <w:sz w:val="24"/>
                <w:szCs w:val="24"/>
              </w:rPr>
              <w:t>Flow from Financing</w:t>
            </w:r>
            <w:r>
              <w:rPr>
                <w:rFonts w:ascii="Times New Roman" w:hAnsi="Times New Roman" w:cs="Times New Roman"/>
                <w:sz w:val="24"/>
                <w:szCs w:val="24"/>
              </w:rPr>
              <w:t xml:space="preserve"> Activities</w:t>
            </w:r>
          </w:p>
        </w:tc>
        <w:tc>
          <w:tcPr>
            <w:tcW w:w="1583" w:type="dxa"/>
          </w:tcPr>
          <w:p w:rsidR="00713FFD" w:rsidRPr="00713FFD" w:rsidRDefault="00713FFD" w:rsidP="00A91B29">
            <w:pPr>
              <w:pStyle w:val="ListParagraph"/>
              <w:spacing w:line="360" w:lineRule="auto"/>
              <w:ind w:left="0"/>
              <w:jc w:val="both"/>
              <w:rPr>
                <w:rFonts w:ascii="Times New Roman" w:hAnsi="Times New Roman" w:cs="Times New Roman"/>
                <w:sz w:val="24"/>
                <w:szCs w:val="24"/>
              </w:rPr>
            </w:pPr>
            <w:r w:rsidRPr="00713FFD">
              <w:rPr>
                <w:rFonts w:ascii="Times New Roman" w:hAnsi="Times New Roman" w:cs="Times New Roman"/>
                <w:sz w:val="24"/>
                <w:szCs w:val="24"/>
              </w:rPr>
              <w:t>₹(25,926) Cr</w:t>
            </w:r>
          </w:p>
        </w:tc>
        <w:tc>
          <w:tcPr>
            <w:tcW w:w="1620" w:type="dxa"/>
          </w:tcPr>
          <w:p w:rsidR="00713FFD" w:rsidRPr="00713FFD" w:rsidRDefault="00713FFD" w:rsidP="00A91B29">
            <w:pPr>
              <w:pStyle w:val="ListParagraph"/>
              <w:spacing w:line="360" w:lineRule="auto"/>
              <w:ind w:left="0"/>
              <w:jc w:val="both"/>
              <w:rPr>
                <w:rFonts w:ascii="Times New Roman" w:hAnsi="Times New Roman" w:cs="Times New Roman"/>
                <w:sz w:val="24"/>
                <w:szCs w:val="24"/>
              </w:rPr>
            </w:pPr>
            <w:r w:rsidRPr="00713FFD">
              <w:rPr>
                <w:rFonts w:ascii="Times New Roman" w:hAnsi="Times New Roman" w:cs="Times New Roman"/>
                <w:sz w:val="24"/>
                <w:szCs w:val="24"/>
              </w:rPr>
              <w:t>₹(27,443) Cr</w:t>
            </w:r>
          </w:p>
        </w:tc>
      </w:tr>
    </w:tbl>
    <w:p w:rsidR="00451246" w:rsidRDefault="00451246" w:rsidP="00A91B29">
      <w:pPr>
        <w:pStyle w:val="ListParagraph"/>
        <w:spacing w:line="360" w:lineRule="auto"/>
        <w:jc w:val="both"/>
        <w:rPr>
          <w:rFonts w:ascii="Times New Roman" w:hAnsi="Times New Roman" w:cs="Times New Roman"/>
          <w:b/>
          <w:bCs/>
          <w:sz w:val="24"/>
          <w:szCs w:val="24"/>
        </w:rPr>
      </w:pPr>
    </w:p>
    <w:p w:rsidR="00713FFD" w:rsidRDefault="00713FFD" w:rsidP="00A91B29">
      <w:pPr>
        <w:pStyle w:val="ListParagraph"/>
        <w:spacing w:line="360" w:lineRule="auto"/>
        <w:jc w:val="both"/>
        <w:rPr>
          <w:rFonts w:ascii="Times New Roman" w:hAnsi="Times New Roman" w:cs="Times New Roman"/>
          <w:sz w:val="24"/>
          <w:szCs w:val="24"/>
        </w:rPr>
      </w:pPr>
      <w:r w:rsidRPr="00713FFD">
        <w:rPr>
          <w:rFonts w:ascii="Times New Roman" w:hAnsi="Times New Roman" w:cs="Times New Roman"/>
          <w:sz w:val="24"/>
          <w:szCs w:val="24"/>
        </w:rPr>
        <w:t>Infosys generated strong cash from its operating activities in both financial years, showing that its core business continued to generate substantial cash. Investing activities resulted in a cash outflow, while financing activities also showed a cash outflow, mainly reflecting activities such as dividends and other financing-related payments. Overall, the operating cash flow indicates a strong ability to generate cash from business operations.</w:t>
      </w:r>
    </w:p>
    <w:p w:rsidR="00713FFD" w:rsidRDefault="00713FFD" w:rsidP="00A91B29">
      <w:pPr>
        <w:pStyle w:val="ListParagraph"/>
        <w:spacing w:line="360" w:lineRule="auto"/>
        <w:jc w:val="both"/>
        <w:rPr>
          <w:rFonts w:ascii="Times New Roman" w:hAnsi="Times New Roman" w:cs="Times New Roman"/>
          <w:sz w:val="24"/>
          <w:szCs w:val="24"/>
        </w:rPr>
      </w:pPr>
    </w:p>
    <w:p w:rsidR="00713FFD" w:rsidRPr="00713FFD" w:rsidRDefault="00713FFD" w:rsidP="00A91B29">
      <w:pPr>
        <w:pStyle w:val="ListParagraph"/>
        <w:spacing w:line="360" w:lineRule="auto"/>
        <w:jc w:val="both"/>
        <w:rPr>
          <w:rFonts w:ascii="Times New Roman" w:hAnsi="Times New Roman" w:cs="Times New Roman"/>
          <w:b/>
          <w:bCs/>
          <w:sz w:val="24"/>
          <w:szCs w:val="24"/>
        </w:rPr>
      </w:pPr>
      <w:r w:rsidRPr="00713FFD">
        <w:rPr>
          <w:rFonts w:ascii="Times New Roman" w:hAnsi="Times New Roman" w:cs="Times New Roman"/>
          <w:b/>
          <w:bCs/>
          <w:sz w:val="24"/>
          <w:szCs w:val="24"/>
        </w:rPr>
        <w:lastRenderedPageBreak/>
        <w:t>Financial Ratio Analysis</w:t>
      </w:r>
    </w:p>
    <w:tbl>
      <w:tblPr>
        <w:tblStyle w:val="TableGrid"/>
        <w:tblW w:w="0" w:type="auto"/>
        <w:tblInd w:w="720" w:type="dxa"/>
        <w:tblLook w:val="04A0" w:firstRow="1" w:lastRow="0" w:firstColumn="1" w:lastColumn="0" w:noHBand="0" w:noVBand="1"/>
      </w:tblPr>
      <w:tblGrid>
        <w:gridCol w:w="2891"/>
        <w:gridCol w:w="1604"/>
        <w:gridCol w:w="1530"/>
      </w:tblGrid>
      <w:tr w:rsidR="00A91B29" w:rsidTr="00A91B29">
        <w:tc>
          <w:tcPr>
            <w:tcW w:w="2891" w:type="dxa"/>
          </w:tcPr>
          <w:p w:rsidR="00A91B29" w:rsidRPr="00A91B29" w:rsidRDefault="00A91B29" w:rsidP="00A91B29">
            <w:pPr>
              <w:pStyle w:val="ListParagraph"/>
              <w:spacing w:line="360" w:lineRule="auto"/>
              <w:ind w:left="0"/>
              <w:jc w:val="both"/>
              <w:rPr>
                <w:rFonts w:ascii="Times New Roman" w:hAnsi="Times New Roman" w:cs="Times New Roman"/>
                <w:b/>
                <w:bCs/>
                <w:sz w:val="24"/>
                <w:szCs w:val="24"/>
              </w:rPr>
            </w:pPr>
            <w:r w:rsidRPr="00A91B29">
              <w:rPr>
                <w:rFonts w:ascii="Times New Roman" w:hAnsi="Times New Roman" w:cs="Times New Roman"/>
                <w:b/>
                <w:bCs/>
                <w:sz w:val="24"/>
                <w:szCs w:val="24"/>
              </w:rPr>
              <w:t>Ratio</w:t>
            </w:r>
          </w:p>
        </w:tc>
        <w:tc>
          <w:tcPr>
            <w:tcW w:w="1604" w:type="dxa"/>
          </w:tcPr>
          <w:p w:rsidR="00A91B29" w:rsidRDefault="00A91B29" w:rsidP="00A91B29">
            <w:pPr>
              <w:pStyle w:val="ListParagraph"/>
              <w:spacing w:line="360" w:lineRule="auto"/>
              <w:ind w:left="0"/>
              <w:jc w:val="both"/>
              <w:rPr>
                <w:rFonts w:ascii="Times New Roman" w:hAnsi="Times New Roman" w:cs="Times New Roman"/>
                <w:sz w:val="24"/>
                <w:szCs w:val="24"/>
              </w:rPr>
            </w:pPr>
            <w:r w:rsidRPr="00451246">
              <w:rPr>
                <w:rFonts w:ascii="Times New Roman" w:hAnsi="Times New Roman" w:cs="Times New Roman"/>
                <w:b/>
                <w:bCs/>
                <w:sz w:val="24"/>
                <w:szCs w:val="24"/>
              </w:rPr>
              <w:t>FY 2024-25</w:t>
            </w:r>
          </w:p>
        </w:tc>
        <w:tc>
          <w:tcPr>
            <w:tcW w:w="1530" w:type="dxa"/>
          </w:tcPr>
          <w:p w:rsidR="00A91B29" w:rsidRDefault="00A91B29" w:rsidP="00A91B29">
            <w:pPr>
              <w:pStyle w:val="ListParagraph"/>
              <w:spacing w:line="360" w:lineRule="auto"/>
              <w:ind w:left="0"/>
              <w:jc w:val="both"/>
              <w:rPr>
                <w:rFonts w:ascii="Times New Roman" w:hAnsi="Times New Roman" w:cs="Times New Roman"/>
                <w:b/>
                <w:bCs/>
                <w:sz w:val="24"/>
                <w:szCs w:val="24"/>
              </w:rPr>
            </w:pPr>
            <w:r w:rsidRPr="00451246">
              <w:rPr>
                <w:rFonts w:ascii="Times New Roman" w:hAnsi="Times New Roman" w:cs="Times New Roman"/>
                <w:b/>
                <w:bCs/>
                <w:sz w:val="24"/>
                <w:szCs w:val="24"/>
              </w:rPr>
              <w:t>FY 2025-26</w:t>
            </w:r>
          </w:p>
        </w:tc>
      </w:tr>
      <w:tr w:rsidR="00A91B29" w:rsidTr="00A91B29">
        <w:tc>
          <w:tcPr>
            <w:tcW w:w="2891" w:type="dxa"/>
          </w:tcPr>
          <w:p w:rsidR="00A91B29" w:rsidRDefault="00A91B29" w:rsidP="00A91B29">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New Profit Margin</w:t>
            </w:r>
          </w:p>
        </w:tc>
        <w:tc>
          <w:tcPr>
            <w:tcW w:w="1604" w:type="dxa"/>
          </w:tcPr>
          <w:p w:rsidR="00A91B29" w:rsidRDefault="00A91B29" w:rsidP="00A91B29">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16.4%</w:t>
            </w:r>
          </w:p>
        </w:tc>
        <w:tc>
          <w:tcPr>
            <w:tcW w:w="1530" w:type="dxa"/>
          </w:tcPr>
          <w:p w:rsidR="00A91B29" w:rsidRDefault="00A91B29" w:rsidP="00A91B29">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16.5%</w:t>
            </w:r>
          </w:p>
        </w:tc>
      </w:tr>
      <w:tr w:rsidR="00A91B29" w:rsidTr="00A91B29">
        <w:tc>
          <w:tcPr>
            <w:tcW w:w="2891" w:type="dxa"/>
          </w:tcPr>
          <w:p w:rsidR="00A91B29" w:rsidRDefault="00A91B29" w:rsidP="00A91B29">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Return on Equity (ROE)</w:t>
            </w:r>
          </w:p>
        </w:tc>
        <w:tc>
          <w:tcPr>
            <w:tcW w:w="1604" w:type="dxa"/>
          </w:tcPr>
          <w:p w:rsidR="00A91B29" w:rsidRDefault="00A91B29" w:rsidP="00A91B29">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29.0%</w:t>
            </w:r>
          </w:p>
        </w:tc>
        <w:tc>
          <w:tcPr>
            <w:tcW w:w="1530" w:type="dxa"/>
          </w:tcPr>
          <w:p w:rsidR="00A91B29" w:rsidRDefault="00A91B29" w:rsidP="00A91B29">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31.6%</w:t>
            </w:r>
          </w:p>
        </w:tc>
      </w:tr>
      <w:tr w:rsidR="00A91B29" w:rsidTr="00A91B29">
        <w:tc>
          <w:tcPr>
            <w:tcW w:w="2891" w:type="dxa"/>
          </w:tcPr>
          <w:p w:rsidR="00A91B29" w:rsidRDefault="00A91B29" w:rsidP="00A91B29">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Basic EPS</w:t>
            </w:r>
          </w:p>
        </w:tc>
        <w:tc>
          <w:tcPr>
            <w:tcW w:w="1604" w:type="dxa"/>
          </w:tcPr>
          <w:p w:rsidR="00A91B29" w:rsidRDefault="00A91B29" w:rsidP="00A91B29">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₹64.50</w:t>
            </w:r>
          </w:p>
        </w:tc>
        <w:tc>
          <w:tcPr>
            <w:tcW w:w="1530" w:type="dxa"/>
          </w:tcPr>
          <w:p w:rsidR="00A91B29" w:rsidRDefault="00A91B29" w:rsidP="00A91B29">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₹71.58</w:t>
            </w:r>
          </w:p>
        </w:tc>
      </w:tr>
      <w:tr w:rsidR="00A91B29" w:rsidTr="00A91B29">
        <w:tc>
          <w:tcPr>
            <w:tcW w:w="2891" w:type="dxa"/>
          </w:tcPr>
          <w:p w:rsidR="00A91B29" w:rsidRDefault="00A91B29" w:rsidP="00A91B29">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P/E Ratio</w:t>
            </w:r>
          </w:p>
        </w:tc>
        <w:tc>
          <w:tcPr>
            <w:tcW w:w="1604" w:type="dxa"/>
          </w:tcPr>
          <w:p w:rsidR="00A91B29" w:rsidRDefault="00A91B29" w:rsidP="00A91B29">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24.4</w:t>
            </w:r>
          </w:p>
        </w:tc>
        <w:tc>
          <w:tcPr>
            <w:tcW w:w="1530" w:type="dxa"/>
          </w:tcPr>
          <w:p w:rsidR="00A91B29" w:rsidRDefault="00A91B29" w:rsidP="00A91B29">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17.5</w:t>
            </w:r>
          </w:p>
        </w:tc>
      </w:tr>
    </w:tbl>
    <w:p w:rsidR="00713FFD" w:rsidRDefault="00713FFD" w:rsidP="00A91B29">
      <w:pPr>
        <w:pStyle w:val="ListParagraph"/>
        <w:spacing w:line="360" w:lineRule="auto"/>
        <w:jc w:val="both"/>
        <w:rPr>
          <w:rFonts w:ascii="Times New Roman" w:hAnsi="Times New Roman" w:cs="Times New Roman"/>
          <w:sz w:val="24"/>
          <w:szCs w:val="24"/>
        </w:rPr>
      </w:pPr>
    </w:p>
    <w:p w:rsidR="00713FFD" w:rsidRDefault="00A91B29" w:rsidP="00A91B29">
      <w:pPr>
        <w:pStyle w:val="ListParagraph"/>
        <w:spacing w:line="360" w:lineRule="auto"/>
        <w:jc w:val="both"/>
        <w:rPr>
          <w:rFonts w:ascii="Times New Roman" w:hAnsi="Times New Roman" w:cs="Times New Roman"/>
          <w:sz w:val="24"/>
          <w:szCs w:val="24"/>
        </w:rPr>
      </w:pPr>
      <w:r w:rsidRPr="00A91B29">
        <w:rPr>
          <w:rFonts w:ascii="Times New Roman" w:hAnsi="Times New Roman" w:cs="Times New Roman"/>
          <w:sz w:val="24"/>
          <w:szCs w:val="24"/>
        </w:rPr>
        <w:t>Infosys maintained a strong profitability position during FY2025–26. The net profit margin increased slightly from 16.4% to 16.5%. Return on Equity increased from 29.0% to 31.6%, indicating improved returns generated on shareholders' equity. Basic EPS increased from ₹64.50 to ₹71.58. The P/E ratio decreased from 24.4 to 17.5, reflecting a change in the company's market valuation relative to its earnings.</w:t>
      </w:r>
    </w:p>
    <w:p w:rsidR="00A91B29" w:rsidRPr="00A91B29" w:rsidRDefault="00A91B29" w:rsidP="00A91B29">
      <w:pPr>
        <w:pStyle w:val="ListParagraph"/>
        <w:spacing w:line="360" w:lineRule="auto"/>
        <w:jc w:val="both"/>
        <w:rPr>
          <w:rFonts w:ascii="Times New Roman" w:hAnsi="Times New Roman" w:cs="Times New Roman"/>
          <w:b/>
          <w:bCs/>
          <w:sz w:val="24"/>
          <w:szCs w:val="24"/>
        </w:rPr>
      </w:pPr>
    </w:p>
    <w:p w:rsidR="00A91B29" w:rsidRDefault="00A91B29" w:rsidP="00A91B29">
      <w:pPr>
        <w:pStyle w:val="ListParagraph"/>
        <w:spacing w:line="360" w:lineRule="auto"/>
        <w:jc w:val="both"/>
        <w:rPr>
          <w:rFonts w:ascii="Times New Roman" w:hAnsi="Times New Roman" w:cs="Times New Roman"/>
          <w:b/>
          <w:bCs/>
          <w:sz w:val="24"/>
          <w:szCs w:val="24"/>
        </w:rPr>
      </w:pPr>
      <w:r w:rsidRPr="00A91B29">
        <w:rPr>
          <w:rFonts w:ascii="Times New Roman" w:hAnsi="Times New Roman" w:cs="Times New Roman"/>
          <w:b/>
          <w:bCs/>
          <w:sz w:val="24"/>
          <w:szCs w:val="24"/>
        </w:rPr>
        <w:t>Conclusion</w:t>
      </w:r>
    </w:p>
    <w:p w:rsidR="00A91B29" w:rsidRPr="00A91B29" w:rsidRDefault="00A91B29" w:rsidP="00A91B29">
      <w:pPr>
        <w:pStyle w:val="ListParagraph"/>
        <w:spacing w:line="360" w:lineRule="auto"/>
        <w:jc w:val="both"/>
        <w:rPr>
          <w:rFonts w:ascii="Times New Roman" w:hAnsi="Times New Roman" w:cs="Times New Roman"/>
          <w:sz w:val="24"/>
          <w:szCs w:val="24"/>
        </w:rPr>
      </w:pPr>
      <w:r w:rsidRPr="00A91B29">
        <w:rPr>
          <w:rFonts w:ascii="Times New Roman" w:hAnsi="Times New Roman" w:cs="Times New Roman"/>
          <w:sz w:val="24"/>
          <w:szCs w:val="24"/>
        </w:rPr>
        <w:t>The analysis of Infosys Limited's financial statements provides an understanding of its financial performance and position during FY 2025–26. The company recorded growth in revenue and profit compared with the previous financial year. Its operating activities continued to generate substantial cash, indicating strong cash-generation capability from its core business. The increase in EPS and ROE also reflects improved profitability and returns for shareholders. Overall, the analysis shows that financial statements and ratios are useful tools for understanding a company's performance, financial strength and business trends. This analysis is conducted for academic and learning purposes and should not be considered investment advice.</w:t>
      </w:r>
    </w:p>
    <w:sectPr w:rsidR="00A91B29" w:rsidRPr="00A91B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CF4713"/>
    <w:multiLevelType w:val="hybridMultilevel"/>
    <w:tmpl w:val="B002CD7E"/>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 w15:restartNumberingAfterBreak="0">
    <w:nsid w:val="6A8136D7"/>
    <w:multiLevelType w:val="hybridMultilevel"/>
    <w:tmpl w:val="4BBE2E46"/>
    <w:lvl w:ilvl="0" w:tplc="0409000F">
      <w:start w:val="1"/>
      <w:numFmt w:val="decimal"/>
      <w:lvlText w:val="%1."/>
      <w:lvlJc w:val="lef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4C5012E"/>
    <w:multiLevelType w:val="hybridMultilevel"/>
    <w:tmpl w:val="0486E2C6"/>
    <w:lvl w:ilvl="0" w:tplc="0409000F">
      <w:start w:val="1"/>
      <w:numFmt w:val="decimal"/>
      <w:lvlText w:val="%1."/>
      <w:lvlJc w:val="left"/>
      <w:pPr>
        <w:ind w:left="1116" w:hanging="360"/>
      </w:pPr>
    </w:lvl>
    <w:lvl w:ilvl="1" w:tplc="04090019" w:tentative="1">
      <w:start w:val="1"/>
      <w:numFmt w:val="lowerLetter"/>
      <w:lvlText w:val="%2."/>
      <w:lvlJc w:val="left"/>
      <w:pPr>
        <w:ind w:left="1836" w:hanging="360"/>
      </w:pPr>
    </w:lvl>
    <w:lvl w:ilvl="2" w:tplc="0409001B" w:tentative="1">
      <w:start w:val="1"/>
      <w:numFmt w:val="lowerRoman"/>
      <w:lvlText w:val="%3."/>
      <w:lvlJc w:val="right"/>
      <w:pPr>
        <w:ind w:left="2556" w:hanging="180"/>
      </w:pPr>
    </w:lvl>
    <w:lvl w:ilvl="3" w:tplc="0409000F" w:tentative="1">
      <w:start w:val="1"/>
      <w:numFmt w:val="decimal"/>
      <w:lvlText w:val="%4."/>
      <w:lvlJc w:val="left"/>
      <w:pPr>
        <w:ind w:left="3276" w:hanging="360"/>
      </w:pPr>
    </w:lvl>
    <w:lvl w:ilvl="4" w:tplc="04090019" w:tentative="1">
      <w:start w:val="1"/>
      <w:numFmt w:val="lowerLetter"/>
      <w:lvlText w:val="%5."/>
      <w:lvlJc w:val="left"/>
      <w:pPr>
        <w:ind w:left="3996" w:hanging="360"/>
      </w:pPr>
    </w:lvl>
    <w:lvl w:ilvl="5" w:tplc="0409001B" w:tentative="1">
      <w:start w:val="1"/>
      <w:numFmt w:val="lowerRoman"/>
      <w:lvlText w:val="%6."/>
      <w:lvlJc w:val="right"/>
      <w:pPr>
        <w:ind w:left="4716" w:hanging="180"/>
      </w:pPr>
    </w:lvl>
    <w:lvl w:ilvl="6" w:tplc="0409000F" w:tentative="1">
      <w:start w:val="1"/>
      <w:numFmt w:val="decimal"/>
      <w:lvlText w:val="%7."/>
      <w:lvlJc w:val="left"/>
      <w:pPr>
        <w:ind w:left="5436" w:hanging="360"/>
      </w:pPr>
    </w:lvl>
    <w:lvl w:ilvl="7" w:tplc="04090019" w:tentative="1">
      <w:start w:val="1"/>
      <w:numFmt w:val="lowerLetter"/>
      <w:lvlText w:val="%8."/>
      <w:lvlJc w:val="left"/>
      <w:pPr>
        <w:ind w:left="6156" w:hanging="360"/>
      </w:pPr>
    </w:lvl>
    <w:lvl w:ilvl="8" w:tplc="0409001B" w:tentative="1">
      <w:start w:val="1"/>
      <w:numFmt w:val="lowerRoman"/>
      <w:lvlText w:val="%9."/>
      <w:lvlJc w:val="right"/>
      <w:pPr>
        <w:ind w:left="6876"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55B3"/>
    <w:rsid w:val="00103C83"/>
    <w:rsid w:val="002163F3"/>
    <w:rsid w:val="00451246"/>
    <w:rsid w:val="00604D29"/>
    <w:rsid w:val="00713FFD"/>
    <w:rsid w:val="00A255B3"/>
    <w:rsid w:val="00A91B29"/>
    <w:rsid w:val="00B425E6"/>
    <w:rsid w:val="00C2365F"/>
    <w:rsid w:val="00CC3076"/>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8A11A"/>
  <w15:chartTrackingRefBased/>
  <w15:docId w15:val="{97C8721E-B031-4743-ADC0-3CF7C3E46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A255B3"/>
    <w:pPr>
      <w:keepNext/>
      <w:keepLines/>
      <w:spacing w:before="240" w:after="0"/>
      <w:outlineLvl w:val="0"/>
    </w:pPr>
    <w:rPr>
      <w:rFonts w:asciiTheme="majorHAnsi" w:eastAsiaTheme="majorEastAsia" w:hAnsiTheme="majorHAnsi" w:cstheme="majorBidi"/>
      <w:color w:val="2E74B5" w:themeColor="accent1" w:themeShade="BF"/>
      <w:sz w:val="32"/>
      <w:szCs w:val="29"/>
    </w:rPr>
  </w:style>
  <w:style w:type="paragraph" w:styleId="Heading2">
    <w:name w:val="heading 2"/>
    <w:basedOn w:val="Normal"/>
    <w:next w:val="Normal"/>
    <w:link w:val="Heading2Char"/>
    <w:uiPriority w:val="9"/>
    <w:unhideWhenUsed/>
    <w:qFormat/>
    <w:rsid w:val="00103C83"/>
    <w:pPr>
      <w:keepNext/>
      <w:keepLines/>
      <w:spacing w:before="40" w:after="0"/>
      <w:outlineLvl w:val="1"/>
    </w:pPr>
    <w:rPr>
      <w:rFonts w:asciiTheme="majorHAnsi" w:eastAsiaTheme="majorEastAsia" w:hAnsiTheme="majorHAnsi" w:cstheme="majorBidi"/>
      <w:color w:val="2E74B5" w:themeColor="accent1" w:themeShade="BF"/>
      <w:sz w:val="26"/>
      <w:szCs w:val="23"/>
    </w:rPr>
  </w:style>
  <w:style w:type="paragraph" w:styleId="Heading3">
    <w:name w:val="heading 3"/>
    <w:basedOn w:val="Normal"/>
    <w:next w:val="Normal"/>
    <w:link w:val="Heading3Char"/>
    <w:uiPriority w:val="9"/>
    <w:unhideWhenUsed/>
    <w:qFormat/>
    <w:rsid w:val="00C2365F"/>
    <w:pPr>
      <w:keepNext/>
      <w:keepLines/>
      <w:spacing w:before="40" w:after="0"/>
      <w:outlineLvl w:val="2"/>
    </w:pPr>
    <w:rPr>
      <w:rFonts w:asciiTheme="majorHAnsi" w:eastAsiaTheme="majorEastAsia" w:hAnsiTheme="majorHAnsi" w:cstheme="majorBidi"/>
      <w:color w:val="1F4D78" w:themeColor="accent1" w:themeShade="7F"/>
      <w:sz w:val="24"/>
      <w:szCs w:val="21"/>
    </w:rPr>
  </w:style>
  <w:style w:type="paragraph" w:styleId="Heading4">
    <w:name w:val="heading 4"/>
    <w:basedOn w:val="Normal"/>
    <w:next w:val="Normal"/>
    <w:link w:val="Heading4Char"/>
    <w:uiPriority w:val="9"/>
    <w:unhideWhenUsed/>
    <w:qFormat/>
    <w:rsid w:val="00B425E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5B3"/>
    <w:rPr>
      <w:rFonts w:asciiTheme="majorHAnsi" w:eastAsiaTheme="majorEastAsia" w:hAnsiTheme="majorHAnsi" w:cstheme="majorBidi"/>
      <w:color w:val="2E74B5" w:themeColor="accent1" w:themeShade="BF"/>
      <w:sz w:val="32"/>
      <w:szCs w:val="29"/>
    </w:rPr>
  </w:style>
  <w:style w:type="character" w:customStyle="1" w:styleId="Heading2Char">
    <w:name w:val="Heading 2 Char"/>
    <w:basedOn w:val="DefaultParagraphFont"/>
    <w:link w:val="Heading2"/>
    <w:uiPriority w:val="9"/>
    <w:rsid w:val="00103C83"/>
    <w:rPr>
      <w:rFonts w:asciiTheme="majorHAnsi" w:eastAsiaTheme="majorEastAsia" w:hAnsiTheme="majorHAnsi" w:cstheme="majorBidi"/>
      <w:color w:val="2E74B5" w:themeColor="accent1" w:themeShade="BF"/>
      <w:sz w:val="26"/>
      <w:szCs w:val="23"/>
    </w:rPr>
  </w:style>
  <w:style w:type="paragraph" w:styleId="Title">
    <w:name w:val="Title"/>
    <w:basedOn w:val="Normal"/>
    <w:next w:val="Normal"/>
    <w:link w:val="TitleChar"/>
    <w:uiPriority w:val="10"/>
    <w:qFormat/>
    <w:rsid w:val="00103C83"/>
    <w:pPr>
      <w:spacing w:after="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03C83"/>
    <w:rPr>
      <w:rFonts w:asciiTheme="majorHAnsi" w:eastAsiaTheme="majorEastAsia" w:hAnsiTheme="majorHAnsi" w:cstheme="majorBidi"/>
      <w:spacing w:val="-10"/>
      <w:kern w:val="28"/>
      <w:sz w:val="56"/>
      <w:szCs w:val="50"/>
    </w:rPr>
  </w:style>
  <w:style w:type="paragraph" w:styleId="ListParagraph">
    <w:name w:val="List Paragraph"/>
    <w:basedOn w:val="Normal"/>
    <w:uiPriority w:val="34"/>
    <w:qFormat/>
    <w:rsid w:val="00103C83"/>
    <w:pPr>
      <w:ind w:left="720"/>
      <w:contextualSpacing/>
    </w:pPr>
  </w:style>
  <w:style w:type="character" w:customStyle="1" w:styleId="Heading3Char">
    <w:name w:val="Heading 3 Char"/>
    <w:basedOn w:val="DefaultParagraphFont"/>
    <w:link w:val="Heading3"/>
    <w:uiPriority w:val="9"/>
    <w:rsid w:val="00C2365F"/>
    <w:rPr>
      <w:rFonts w:asciiTheme="majorHAnsi" w:eastAsiaTheme="majorEastAsia" w:hAnsiTheme="majorHAnsi" w:cstheme="majorBidi"/>
      <w:color w:val="1F4D78" w:themeColor="accent1" w:themeShade="7F"/>
      <w:sz w:val="24"/>
      <w:szCs w:val="21"/>
    </w:rPr>
  </w:style>
  <w:style w:type="character" w:customStyle="1" w:styleId="Heading4Char">
    <w:name w:val="Heading 4 Char"/>
    <w:basedOn w:val="DefaultParagraphFont"/>
    <w:link w:val="Heading4"/>
    <w:uiPriority w:val="9"/>
    <w:rsid w:val="00B425E6"/>
    <w:rPr>
      <w:rFonts w:asciiTheme="majorHAnsi" w:eastAsiaTheme="majorEastAsia" w:hAnsiTheme="majorHAnsi" w:cstheme="majorBidi"/>
      <w:i/>
      <w:iCs/>
      <w:color w:val="2E74B5" w:themeColor="accent1" w:themeShade="BF"/>
    </w:rPr>
  </w:style>
  <w:style w:type="table" w:styleId="TableGrid">
    <w:name w:val="Table Grid"/>
    <w:basedOn w:val="TableNormal"/>
    <w:uiPriority w:val="39"/>
    <w:rsid w:val="00604D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1232</Words>
  <Characters>7024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2026-08-16T15:46:00Z</dcterms:created>
  <dcterms:modified xsi:type="dcterms:W3CDTF">2026-08-16T15:46:00Z</dcterms:modified>
</cp:coreProperties>
</file>