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DF1E45D">
      <w:pPr>
        <w:pStyle w:val="style0"/>
        <w:jc w:val="center"/>
        <w:rPr/>
      </w:pPr>
      <w:r>
        <w:rPr>
          <w:b/>
          <w:color w:val="1f4e79"/>
          <w:sz w:val="36"/>
        </w:rPr>
        <w:t>CLOUD SECURITY MISCONFIGURATIONS</w:t>
      </w:r>
      <w:r>
        <w:rPr>
          <w:b/>
          <w:color w:val="1f4e79"/>
          <w:sz w:val="36"/>
        </w:rPr>
        <w:br/>
      </w:r>
      <w:r>
        <w:rPr>
          <w:b/>
          <w:color w:val="1f4e79"/>
          <w:sz w:val="36"/>
        </w:rPr>
        <w:t>RISK ASSESSMENT TABLE</w:t>
      </w:r>
    </w:p>
    <w:p w14:paraId="BA5D1684">
      <w:pPr>
        <w:pStyle w:val="style0"/>
        <w:jc w:val="center"/>
        <w:rPr>
          <w:sz w:val="20"/>
          <w:szCs w:val="20"/>
        </w:rPr>
      </w:pPr>
      <w:r>
        <w:rPr>
          <w:i/>
          <w:sz w:val="20"/>
          <w:szCs w:val="20"/>
        </w:rPr>
        <w:t xml:space="preserve">Prepared by: </w:t>
      </w:r>
      <w:r>
        <w:rPr>
          <w:i/>
          <w:sz w:val="20"/>
          <w:szCs w:val="20"/>
          <w:lang w:val="en-US"/>
        </w:rPr>
        <w:t>Janvi Pandey/</w:t>
      </w:r>
      <w:r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  <w:lang w:val="en-US"/>
        </w:rPr>
        <w:t xml:space="preserve">Intern ID: </w:t>
      </w:r>
      <w:r>
        <w:rPr>
          <w:rFonts w:ascii="Calibri,Arial" w:cs="Calibri,Arial" w:eastAsia="Calibri,Arial" w:hAnsi="Calibri,Arial" w:hint="default"/>
          <w:i/>
          <w:iCs/>
          <w:color w:val="000000"/>
          <w:sz w:val="20"/>
          <w:szCs w:val="20"/>
        </w:rPr>
        <w:t>2412</w:t>
      </w:r>
    </w:p>
    <w:p w14:paraId="098A78A4">
      <w:pPr>
        <w:pStyle w:val="style0"/>
        <w:rPr>
          <w:sz w:val="20"/>
          <w:szCs w:val="20"/>
        </w:rPr>
      </w:pPr>
      <w:r>
        <w:rPr>
          <w:sz w:val="20"/>
          <w:szCs w:val="20"/>
        </w:rPr>
        <w:t>Purpose: summarize common cloud security misconfigurations, their impact, preventive controls, and safe verification methods. Risk ratings are indicative and should be adjusted to the environment.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58"/>
        <w:gridCol w:w="2131"/>
      </w:tblGrid>
      <w:tr w14:paraId="159D4A17">
        <w:trPr>
          <w:jc w:val="center"/>
        </w:trPr>
        <w:tc>
          <w:tcPr>
            <w:tcW w:w="2131" w:type="dxa"/>
            <w:tcBorders/>
          </w:tcPr>
          <w:p w14:paraId="66C88E13">
            <w:pPr>
              <w:pStyle w:val="style0"/>
              <w:rPr>
                <w:sz w:val="22"/>
                <w:szCs w:val="32"/>
              </w:rPr>
            </w:pPr>
            <w:r>
              <w:rPr>
                <w:b/>
                <w:color w:val="1f4e79"/>
                <w:sz w:val="21"/>
                <w:szCs w:val="32"/>
              </w:rPr>
              <w:t>Misconfiguration</w:t>
            </w:r>
          </w:p>
        </w:tc>
        <w:tc>
          <w:tcPr>
            <w:tcW w:w="2131" w:type="dxa"/>
            <w:tcBorders/>
          </w:tcPr>
          <w:p w14:paraId="4F971A05">
            <w:pPr>
              <w:pStyle w:val="style0"/>
              <w:rPr>
                <w:sz w:val="22"/>
                <w:szCs w:val="32"/>
              </w:rPr>
            </w:pPr>
            <w:r>
              <w:rPr>
                <w:b/>
                <w:color w:val="1f4e79"/>
                <w:sz w:val="21"/>
                <w:szCs w:val="32"/>
              </w:rPr>
              <w:t>Potential Impact</w:t>
            </w:r>
          </w:p>
        </w:tc>
        <w:tc>
          <w:tcPr>
            <w:tcW w:w="2131" w:type="dxa"/>
            <w:tcBorders/>
          </w:tcPr>
          <w:p w14:paraId="FD113B70">
            <w:pPr>
              <w:pStyle w:val="style0"/>
              <w:rPr>
                <w:sz w:val="22"/>
                <w:szCs w:val="32"/>
              </w:rPr>
            </w:pPr>
            <w:r>
              <w:rPr>
                <w:b/>
                <w:color w:val="1f4e79"/>
                <w:sz w:val="21"/>
                <w:szCs w:val="32"/>
              </w:rPr>
              <w:t>Prevention</w:t>
            </w:r>
          </w:p>
        </w:tc>
        <w:tc>
          <w:tcPr>
            <w:tcW w:w="2131" w:type="dxa"/>
            <w:tcBorders/>
          </w:tcPr>
          <w:p w14:paraId="B93176E0">
            <w:pPr>
              <w:pStyle w:val="style0"/>
              <w:rPr>
                <w:sz w:val="22"/>
                <w:szCs w:val="32"/>
              </w:rPr>
            </w:pPr>
            <w:r>
              <w:rPr>
                <w:b/>
                <w:color w:val="1f4e79"/>
                <w:sz w:val="21"/>
                <w:szCs w:val="32"/>
              </w:rPr>
              <w:t>Safe Verification</w:t>
            </w:r>
          </w:p>
        </w:tc>
        <w:tc>
          <w:tcPr>
            <w:tcW w:w="2131" w:type="dxa"/>
            <w:tcBorders/>
          </w:tcPr>
          <w:p w14:paraId="C78D3456">
            <w:pPr>
              <w:pStyle w:val="style0"/>
              <w:rPr>
                <w:sz w:val="22"/>
                <w:szCs w:val="32"/>
              </w:rPr>
            </w:pPr>
            <w:r>
              <w:rPr>
                <w:b/>
                <w:color w:val="1f4e79"/>
                <w:sz w:val="21"/>
                <w:szCs w:val="32"/>
              </w:rPr>
              <w:t>Indicative Risk</w:t>
            </w:r>
          </w:p>
        </w:tc>
      </w:tr>
      <w:tr w14:paraId="9EA9D6FF">
        <w:tblPrEx/>
        <w:trPr>
          <w:jc w:val="center"/>
        </w:trPr>
        <w:tc>
          <w:tcPr>
            <w:tcW w:w="2131" w:type="dxa"/>
            <w:tcBorders/>
          </w:tcPr>
          <w:p w14:paraId="FE2483AD">
            <w:pPr>
              <w:pStyle w:val="style0"/>
              <w:rPr>
                <w:sz w:val="22"/>
                <w:szCs w:val="32"/>
              </w:rPr>
            </w:pPr>
            <w:r>
              <w:rPr>
                <w:sz w:val="18"/>
                <w:szCs w:val="32"/>
              </w:rPr>
              <w:t>1. Overly broad permissions</w:t>
            </w:r>
          </w:p>
        </w:tc>
        <w:tc>
          <w:tcPr>
            <w:tcW w:w="2131" w:type="dxa"/>
            <w:tcBorders/>
          </w:tcPr>
          <w:p w14:paraId="2B4833B9">
            <w:pPr>
              <w:pStyle w:val="style0"/>
              <w:rPr>
                <w:sz w:val="22"/>
                <w:szCs w:val="32"/>
              </w:rPr>
            </w:pPr>
            <w:r>
              <w:rPr>
                <w:sz w:val="18"/>
                <w:szCs w:val="32"/>
              </w:rPr>
              <w:t>Users or services may read, change, or delete resources beyond their job needs. A compromised account can cause wider damage.</w:t>
            </w:r>
          </w:p>
        </w:tc>
        <w:tc>
          <w:tcPr>
            <w:tcW w:w="2131" w:type="dxa"/>
            <w:tcBorders/>
          </w:tcPr>
          <w:p w14:paraId="AE16BBF6">
            <w:pPr>
              <w:pStyle w:val="style0"/>
              <w:rPr>
                <w:sz w:val="22"/>
                <w:szCs w:val="32"/>
              </w:rPr>
            </w:pPr>
            <w:r>
              <w:rPr>
                <w:sz w:val="18"/>
                <w:szCs w:val="32"/>
              </w:rPr>
              <w:t>Grant least-privilege permissions; use roles and temporary credentials; enable MFA for human access; remove unused permissions; review access regularly.</w:t>
            </w:r>
          </w:p>
        </w:tc>
        <w:tc>
          <w:tcPr>
            <w:tcW w:w="2131" w:type="dxa"/>
            <w:tcBorders/>
          </w:tcPr>
          <w:p w14:paraId="3BB32B2E">
            <w:pPr>
              <w:pStyle w:val="style0"/>
              <w:rPr>
                <w:sz w:val="22"/>
                <w:szCs w:val="32"/>
              </w:rPr>
            </w:pPr>
            <w:r>
              <w:rPr>
                <w:sz w:val="18"/>
                <w:szCs w:val="32"/>
              </w:rPr>
              <w:t>Review IAM policies and effective permissions in the authorized account. Flag wildcard actions/resources. Do not test destructive actions.</w:t>
            </w:r>
          </w:p>
        </w:tc>
        <w:tc>
          <w:tcPr>
            <w:tcW w:w="2131" w:type="dxa"/>
            <w:tcBorders/>
          </w:tcPr>
          <w:p w14:paraId="78F7B365">
            <w:pPr>
              <w:pStyle w:val="style0"/>
              <w:rPr>
                <w:sz w:val="22"/>
                <w:szCs w:val="32"/>
              </w:rPr>
            </w:pPr>
            <w:r>
              <w:rPr>
                <w:sz w:val="18"/>
                <w:szCs w:val="32"/>
              </w:rPr>
              <w:t>High</w:t>
            </w:r>
          </w:p>
        </w:tc>
      </w:tr>
      <w:tr w14:paraId="AD74AE66">
        <w:tblPrEx/>
        <w:trPr>
          <w:jc w:val="center"/>
        </w:trPr>
        <w:tc>
          <w:tcPr>
            <w:tcW w:w="2131" w:type="dxa"/>
            <w:tcBorders/>
          </w:tcPr>
          <w:p w14:paraId="AFF07307">
            <w:pPr>
              <w:pStyle w:val="style0"/>
              <w:rPr>
                <w:sz w:val="22"/>
                <w:szCs w:val="32"/>
              </w:rPr>
            </w:pPr>
            <w:r>
              <w:rPr>
                <w:sz w:val="18"/>
                <w:szCs w:val="32"/>
              </w:rPr>
              <w:t>2. Public storage exposure</w:t>
            </w:r>
          </w:p>
        </w:tc>
        <w:tc>
          <w:tcPr>
            <w:tcW w:w="2131" w:type="dxa"/>
            <w:tcBorders/>
          </w:tcPr>
          <w:p w14:paraId="18471D81">
            <w:pPr>
              <w:pStyle w:val="style0"/>
              <w:rPr>
                <w:sz w:val="22"/>
                <w:szCs w:val="32"/>
              </w:rPr>
            </w:pPr>
            <w:r>
              <w:rPr>
                <w:sz w:val="18"/>
                <w:szCs w:val="32"/>
              </w:rPr>
              <w:t>Private files, backups, customer data, or application content may be exposed to unauthorized users.</w:t>
            </w:r>
          </w:p>
        </w:tc>
        <w:tc>
          <w:tcPr>
            <w:tcW w:w="2131" w:type="dxa"/>
            <w:tcBorders/>
          </w:tcPr>
          <w:p w14:paraId="64E097E0">
            <w:pPr>
              <w:pStyle w:val="style0"/>
              <w:rPr>
                <w:sz w:val="22"/>
                <w:szCs w:val="32"/>
              </w:rPr>
            </w:pPr>
            <w:r>
              <w:rPr>
                <w:sz w:val="18"/>
                <w:szCs w:val="32"/>
              </w:rPr>
              <w:t>Keep storage private by default; enable public-access blocking where available; review bucket/container policies, ACLs, and cross-account access.</w:t>
            </w:r>
          </w:p>
        </w:tc>
        <w:tc>
          <w:tcPr>
            <w:tcW w:w="2131" w:type="dxa"/>
            <w:tcBorders/>
          </w:tcPr>
          <w:p w14:paraId="B3B59D43">
            <w:pPr>
              <w:pStyle w:val="style0"/>
              <w:rPr>
                <w:sz w:val="22"/>
                <w:szCs w:val="32"/>
              </w:rPr>
            </w:pPr>
            <w:r>
              <w:rPr>
                <w:sz w:val="18"/>
                <w:szCs w:val="32"/>
              </w:rPr>
              <w:t>Inspect public-access settings and policies in the owner account. Use only a synthetic test file for any approved access test.</w:t>
            </w:r>
          </w:p>
        </w:tc>
        <w:tc>
          <w:tcPr>
            <w:tcW w:w="2131" w:type="dxa"/>
            <w:tcBorders/>
          </w:tcPr>
          <w:p w14:paraId="91ADAD90">
            <w:pPr>
              <w:pStyle w:val="style0"/>
              <w:rPr>
                <w:sz w:val="22"/>
                <w:szCs w:val="32"/>
              </w:rPr>
            </w:pPr>
            <w:r>
              <w:rPr>
                <w:sz w:val="18"/>
                <w:szCs w:val="32"/>
              </w:rPr>
              <w:t>High</w:t>
            </w:r>
          </w:p>
        </w:tc>
      </w:tr>
      <w:tr w14:paraId="166D9FAB">
        <w:tblPrEx/>
        <w:trPr>
          <w:jc w:val="center"/>
        </w:trPr>
        <w:tc>
          <w:tcPr>
            <w:tcW w:w="2131" w:type="dxa"/>
            <w:tcBorders/>
          </w:tcPr>
          <w:p w14:paraId="1252FF99">
            <w:pPr>
              <w:pStyle w:val="style0"/>
              <w:rPr>
                <w:sz w:val="22"/>
                <w:szCs w:val="32"/>
              </w:rPr>
            </w:pPr>
            <w:r>
              <w:rPr>
                <w:sz w:val="18"/>
                <w:szCs w:val="32"/>
              </w:rPr>
              <w:t>3. Exposed secrets</w:t>
            </w:r>
          </w:p>
        </w:tc>
        <w:tc>
          <w:tcPr>
            <w:tcW w:w="2131" w:type="dxa"/>
            <w:tcBorders/>
          </w:tcPr>
          <w:p w14:paraId="8B9C4CED">
            <w:pPr>
              <w:pStyle w:val="style0"/>
              <w:rPr>
                <w:sz w:val="22"/>
                <w:szCs w:val="32"/>
              </w:rPr>
            </w:pPr>
            <w:r>
              <w:rPr>
                <w:sz w:val="18"/>
                <w:szCs w:val="32"/>
              </w:rPr>
              <w:t>Leaked API keys, passwords, tokens, or database credentials may allow unauthorized access to services and data.</w:t>
            </w:r>
          </w:p>
        </w:tc>
        <w:tc>
          <w:tcPr>
            <w:tcW w:w="2131" w:type="dxa"/>
            <w:tcBorders/>
          </w:tcPr>
          <w:p w14:paraId="FC742BD8">
            <w:pPr>
              <w:pStyle w:val="style0"/>
              <w:rPr>
                <w:sz w:val="22"/>
                <w:szCs w:val="32"/>
              </w:rPr>
            </w:pPr>
            <w:r>
              <w:rPr>
                <w:sz w:val="18"/>
                <w:szCs w:val="32"/>
              </w:rPr>
              <w:t>Use a managed secrets store; do not hard-code secrets in code or logs; restrict who can read secrets; rotate or revoke exposed credentials; use secret scanning.</w:t>
            </w:r>
          </w:p>
        </w:tc>
        <w:tc>
          <w:tcPr>
            <w:tcW w:w="2131" w:type="dxa"/>
            <w:tcBorders/>
          </w:tcPr>
          <w:p w14:paraId="6DC9B1E5">
            <w:pPr>
              <w:pStyle w:val="style0"/>
              <w:rPr>
                <w:sz w:val="22"/>
                <w:szCs w:val="32"/>
              </w:rPr>
            </w:pPr>
            <w:r>
              <w:rPr>
                <w:sz w:val="18"/>
                <w:szCs w:val="32"/>
              </w:rPr>
              <w:t>Scan an approved test repository/configuration using fake sample secrets. Never include actual secret values in screenshots or reports.</w:t>
            </w:r>
          </w:p>
        </w:tc>
        <w:tc>
          <w:tcPr>
            <w:tcW w:w="2131" w:type="dxa"/>
            <w:tcBorders/>
          </w:tcPr>
          <w:p w14:paraId="FD4BD362">
            <w:pPr>
              <w:pStyle w:val="style0"/>
              <w:rPr>
                <w:sz w:val="22"/>
                <w:szCs w:val="32"/>
              </w:rPr>
            </w:pPr>
            <w:r>
              <w:rPr>
                <w:sz w:val="18"/>
                <w:szCs w:val="32"/>
              </w:rPr>
              <w:t>High</w:t>
            </w:r>
          </w:p>
        </w:tc>
      </w:tr>
      <w:tr w14:paraId="B02B9893">
        <w:tblPrEx/>
        <w:trPr>
          <w:jc w:val="center"/>
        </w:trPr>
        <w:tc>
          <w:tcPr>
            <w:tcW w:w="2131" w:type="dxa"/>
            <w:tcBorders/>
          </w:tcPr>
          <w:p w14:paraId="DD01F400">
            <w:pPr>
              <w:pStyle w:val="style0"/>
              <w:rPr>
                <w:sz w:val="22"/>
                <w:szCs w:val="32"/>
              </w:rPr>
            </w:pPr>
            <w:r>
              <w:rPr>
                <w:sz w:val="18"/>
                <w:szCs w:val="32"/>
              </w:rPr>
              <w:t>4. Missing or incomplete logging</w:t>
            </w:r>
          </w:p>
        </w:tc>
        <w:tc>
          <w:tcPr>
            <w:tcW w:w="2131" w:type="dxa"/>
            <w:tcBorders/>
          </w:tcPr>
          <w:p w14:paraId="BDD1FC54">
            <w:pPr>
              <w:pStyle w:val="style0"/>
              <w:rPr>
                <w:sz w:val="22"/>
                <w:szCs w:val="32"/>
              </w:rPr>
            </w:pPr>
            <w:r>
              <w:rPr>
                <w:sz w:val="18"/>
                <w:szCs w:val="32"/>
              </w:rPr>
              <w:t>Suspicious activity may not be detected promptly, and investigators may lack a reliable activity timeline.</w:t>
            </w:r>
          </w:p>
        </w:tc>
        <w:tc>
          <w:tcPr>
            <w:tcW w:w="2131" w:type="dxa"/>
            <w:tcBorders/>
          </w:tcPr>
          <w:p w14:paraId="5A3FE198">
            <w:pPr>
              <w:pStyle w:val="style0"/>
              <w:rPr>
                <w:sz w:val="22"/>
                <w:szCs w:val="32"/>
              </w:rPr>
            </w:pPr>
            <w:r>
              <w:rPr>
                <w:sz w:val="18"/>
                <w:szCs w:val="32"/>
              </w:rPr>
              <w:t>Enable relevant audit logs; centralize and protect logs; set retention; restrict log deletion; alert on high-risk activity.</w:t>
            </w:r>
          </w:p>
        </w:tc>
        <w:tc>
          <w:tcPr>
            <w:tcW w:w="2131" w:type="dxa"/>
            <w:tcBorders/>
          </w:tcPr>
          <w:p w14:paraId="F434A0A4">
            <w:pPr>
              <w:pStyle w:val="style0"/>
              <w:rPr>
                <w:sz w:val="22"/>
                <w:szCs w:val="32"/>
              </w:rPr>
            </w:pPr>
            <w:r>
              <w:rPr>
                <w:sz w:val="18"/>
                <w:szCs w:val="32"/>
              </w:rPr>
              <w:t>Confirm required logs are enabled and delivered. Generate a harmless, approved test event and check that it appears in the log destination.</w:t>
            </w:r>
          </w:p>
        </w:tc>
        <w:tc>
          <w:tcPr>
            <w:tcW w:w="2131" w:type="dxa"/>
            <w:tcBorders/>
          </w:tcPr>
          <w:p w14:paraId="3D3F03ED">
            <w:pPr>
              <w:pStyle w:val="style0"/>
              <w:rPr>
                <w:sz w:val="22"/>
                <w:szCs w:val="32"/>
              </w:rPr>
            </w:pPr>
            <w:r>
              <w:rPr>
                <w:sz w:val="18"/>
                <w:szCs w:val="32"/>
              </w:rPr>
              <w:t>High</w:t>
            </w:r>
          </w:p>
        </w:tc>
      </w:tr>
      <w:tr w14:paraId="02954EAE">
        <w:tblPrEx/>
        <w:trPr>
          <w:jc w:val="center"/>
        </w:trPr>
        <w:tc>
          <w:tcPr>
            <w:tcW w:w="2131" w:type="dxa"/>
            <w:tcBorders/>
          </w:tcPr>
          <w:p w14:paraId="8BF5650A">
            <w:pPr>
              <w:pStyle w:val="style0"/>
              <w:rPr>
                <w:sz w:val="22"/>
                <w:szCs w:val="32"/>
              </w:rPr>
            </w:pPr>
            <w:r>
              <w:rPr>
                <w:sz w:val="18"/>
                <w:szCs w:val="32"/>
              </w:rPr>
              <w:t>5. Insecure network rules</w:t>
            </w:r>
          </w:p>
        </w:tc>
        <w:tc>
          <w:tcPr>
            <w:tcW w:w="2131" w:type="dxa"/>
            <w:tcBorders/>
          </w:tcPr>
          <w:p w14:paraId="D7680393">
            <w:pPr>
              <w:pStyle w:val="style0"/>
              <w:rPr>
                <w:sz w:val="22"/>
                <w:szCs w:val="32"/>
              </w:rPr>
            </w:pPr>
            <w:r>
              <w:rPr>
                <w:sz w:val="18"/>
                <w:szCs w:val="32"/>
              </w:rPr>
              <w:t>Unnecessary public access to management ports or services increases the attack surface and risk of unauthorized connections.</w:t>
            </w:r>
          </w:p>
        </w:tc>
        <w:tc>
          <w:tcPr>
            <w:tcW w:w="2131" w:type="dxa"/>
            <w:tcBorders/>
          </w:tcPr>
          <w:p w14:paraId="D30BD0B1">
            <w:pPr>
              <w:pStyle w:val="style0"/>
              <w:rPr>
                <w:sz w:val="22"/>
                <w:szCs w:val="32"/>
              </w:rPr>
            </w:pPr>
            <w:r>
              <w:rPr>
                <w:sz w:val="18"/>
                <w:szCs w:val="32"/>
              </w:rPr>
              <w:t>Restrict source IPs and ports; remove unused rules; use private connectivity and network segmentation where practical; review rules regularly.</w:t>
            </w:r>
          </w:p>
        </w:tc>
        <w:tc>
          <w:tcPr>
            <w:tcW w:w="2131" w:type="dxa"/>
            <w:tcBorders/>
          </w:tcPr>
          <w:p w14:paraId="E1A4F34B">
            <w:pPr>
              <w:pStyle w:val="style0"/>
              <w:rPr>
                <w:sz w:val="22"/>
                <w:szCs w:val="32"/>
              </w:rPr>
            </w:pPr>
            <w:r>
              <w:rPr>
                <w:sz w:val="18"/>
                <w:szCs w:val="32"/>
              </w:rPr>
              <w:t>Review inbound/outbound rules in the authorized cloud console or configuration export. Do not scan or connect to third-party systems.</w:t>
            </w:r>
          </w:p>
        </w:tc>
        <w:tc>
          <w:tcPr>
            <w:tcW w:w="2131" w:type="dxa"/>
            <w:tcBorders/>
          </w:tcPr>
          <w:p w14:paraId="CA92DD06">
            <w:pPr>
              <w:pStyle w:val="style0"/>
              <w:rPr>
                <w:sz w:val="22"/>
                <w:szCs w:val="32"/>
              </w:rPr>
            </w:pPr>
            <w:r>
              <w:rPr>
                <w:sz w:val="18"/>
                <w:szCs w:val="32"/>
              </w:rPr>
              <w:t>High</w:t>
            </w:r>
          </w:p>
        </w:tc>
      </w:tr>
    </w:tbl>
    <w:p w14:paraId="58B96B32">
      <w:pPr>
        <w:pStyle w:val="style1"/>
        <w:rPr>
          <w:u w:val="single"/>
        </w:rPr>
      </w:pPr>
      <w:r>
        <w:rPr>
          <w:u w:val="single"/>
        </w:rPr>
        <w:t>Short Reference List</w:t>
      </w:r>
      <w:r>
        <w:rPr>
          <w:u w:val="single"/>
          <w:lang w:val="en-US"/>
        </w:rPr>
        <w:t xml:space="preserve"> </w:t>
      </w:r>
    </w:p>
    <w:p w14:paraId="948F0185">
      <w:pPr>
        <w:pStyle w:val="style48"/>
        <w:spacing w:after="40"/>
        <w:rPr>
          <w:sz w:val="20"/>
          <w:szCs w:val="20"/>
        </w:rPr>
      </w:pPr>
      <w:r>
        <w:rPr>
          <w:b/>
          <w:sz w:val="20"/>
          <w:szCs w:val="20"/>
        </w:rPr>
        <w:t xml:space="preserve">AWS — IAM Security Best Practices: </w:t>
      </w:r>
      <w:r>
        <w:rPr>
          <w:sz w:val="20"/>
          <w:szCs w:val="20"/>
        </w:rPr>
        <w:t>https://docs.aws.amazon.com/IAM/latest/UserGuide/best-practices.html</w:t>
      </w:r>
    </w:p>
    <w:p w14:paraId="2FF62F57">
      <w:pPr>
        <w:pStyle w:val="style48"/>
        <w:spacing w:after="40"/>
        <w:rPr>
          <w:sz w:val="20"/>
          <w:szCs w:val="20"/>
        </w:rPr>
      </w:pPr>
      <w:r>
        <w:rPr>
          <w:b/>
          <w:sz w:val="20"/>
          <w:szCs w:val="20"/>
        </w:rPr>
        <w:t xml:space="preserve">AWS — Amazon S3 Block Public Access: </w:t>
      </w:r>
      <w:r>
        <w:rPr>
          <w:sz w:val="20"/>
          <w:szCs w:val="20"/>
        </w:rPr>
        <w:t>https://docs.aws.amazon.com/AmazonS3/latest/userguide/access-control-block-public-access.html</w:t>
      </w:r>
    </w:p>
    <w:p w14:paraId="F43A784F">
      <w:pPr>
        <w:pStyle w:val="style48"/>
        <w:spacing w:after="40"/>
        <w:rPr>
          <w:sz w:val="20"/>
          <w:szCs w:val="20"/>
        </w:rPr>
      </w:pPr>
      <w:r>
        <w:rPr>
          <w:b/>
          <w:sz w:val="20"/>
          <w:szCs w:val="20"/>
        </w:rPr>
        <w:t xml:space="preserve">OWASP — Secrets Management Cheat Sheet: </w:t>
      </w:r>
      <w:r>
        <w:rPr>
          <w:sz w:val="20"/>
          <w:szCs w:val="20"/>
        </w:rPr>
        <w:t>https://cheatsheetseries.owasp.org/cheatsheets/Secrets_Management_Cheat_Sheet.html</w:t>
      </w:r>
    </w:p>
    <w:p w14:paraId="B3AA7109">
      <w:pPr>
        <w:pStyle w:val="style48"/>
        <w:spacing w:after="40"/>
        <w:rPr>
          <w:sz w:val="20"/>
          <w:szCs w:val="20"/>
        </w:rPr>
      </w:pPr>
      <w:r>
        <w:rPr>
          <w:b/>
          <w:sz w:val="20"/>
          <w:szCs w:val="20"/>
        </w:rPr>
        <w:t xml:space="preserve">AWS — CloudTrail User Guide: </w:t>
      </w:r>
      <w:r>
        <w:rPr>
          <w:sz w:val="20"/>
          <w:szCs w:val="20"/>
        </w:rPr>
        <w:t>https://docs.aws.amazon.com/awscloudtrail/latest/userguide/cloudtrail-user-guide.html</w:t>
      </w:r>
    </w:p>
    <w:p w14:paraId="F63A15C2">
      <w:pPr>
        <w:pStyle w:val="style48"/>
        <w:spacing w:after="40"/>
        <w:rPr>
          <w:sz w:val="20"/>
          <w:szCs w:val="20"/>
        </w:rPr>
      </w:pPr>
      <w:r>
        <w:rPr>
          <w:b/>
          <w:sz w:val="20"/>
          <w:szCs w:val="20"/>
        </w:rPr>
        <w:t xml:space="preserve">AWS — Security Group Rules: </w:t>
      </w:r>
      <w:r>
        <w:rPr>
          <w:sz w:val="20"/>
          <w:szCs w:val="20"/>
        </w:rPr>
        <w:t>https://docs.aws.amazon.com/vpc/latest/userguide/security-group-rules.html</w:t>
      </w:r>
    </w:p>
    <w:p w14:paraId="DFC555AC">
      <w:pPr>
        <w:pStyle w:val="style0"/>
        <w:rPr>
          <w:sz w:val="20"/>
          <w:szCs w:val="20"/>
        </w:rPr>
      </w:pPr>
      <w:r>
        <w:rPr>
          <w:sz w:val="20"/>
          <w:szCs w:val="20"/>
        </w:rPr>
        <w:t>Note: No live cloud environment was tested for this document. Verification steps are recommendations, not claimed results.</w:t>
      </w:r>
    </w:p>
    <w:sectPr>
      <w:pgSz w:w="12240" w:h="15840" w:orient="portrait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  <w:font w:name="Calibri,Arial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hAnsi="Arial"/>
      <w:sz w:val="18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e5a5837f-55fc-4f03-83d8-05651c18335b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4f432429-06fe-4e01-bea8-63aa57500f85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ed957c06-bda6-491a-9f04-68b7ec39ba7c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452258cb-992c-4709-9d84-f275797456df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add894f2-713d-4116-8926-f0752f4f4a17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5f81edb4-e4cd-407d-9918-ff5590b0622b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f6328774-6f81-4774-813f-be86fa3b4629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235b20d8-eaa3-4959-9c76-1c848b541b0a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3429e1dd-16ec-4e8b-8d00-fe7d4fc29acf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c7b73578-71c6-45c3-8734-4da9938182b1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8fcf374c-6393-47ef-a869-91fb0f59bb21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c1230585-8225-4f92-aa3c-1e4ba86e07a6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04c9f8be-3c38-401a-9e59-e5826d72646f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f8e5f234-9719-4330-bf6b-3a85050c8cdf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402</Words>
  <Pages>1</Pages>
  <Characters>2823</Characters>
  <Application>WPS Office</Application>
  <DocSecurity>0</DocSecurity>
  <Paragraphs>46</Paragraphs>
  <ScaleCrop>false</ScaleCrop>
  <LinksUpToDate>false</LinksUpToDate>
  <CharactersWithSpaces>3185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RMX3627</lastModifiedBy>
  <dcterms:modified xsi:type="dcterms:W3CDTF">2026-10-24T14:20:10Z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1188a04b6e5d46b08cdff969f2454d7b_23</vt:lpwstr>
  </property>
</Properties>
</file>