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232D34">
      <w:pPr>
        <w:rPr>
          <w:rFonts w:hint="eastAsia" w:ascii="宋体" w:hAnsi="宋体"/>
          <w:sz w:val="28"/>
        </w:rPr>
      </w:pPr>
      <w:r>
        <w:drawing>
          <wp:inline distT="0" distB="0" distL="114300" distR="114300">
            <wp:extent cx="3219450" cy="626110"/>
            <wp:effectExtent l="0" t="0" r="635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3219450" cy="626110"/>
                    </a:xfrm>
                    <a:prstGeom prst="rect">
                      <a:avLst/>
                    </a:prstGeom>
                    <a:noFill/>
                    <a:ln>
                      <a:noFill/>
                    </a:ln>
                  </pic:spPr>
                </pic:pic>
              </a:graphicData>
            </a:graphic>
          </wp:inline>
        </w:drawing>
      </w:r>
    </w:p>
    <w:p w14:paraId="27D74145">
      <w:pPr>
        <w:jc w:val="center"/>
        <w:rPr>
          <w:rFonts w:ascii="华文中宋" w:hAnsi="宋体" w:eastAsia="华文中宋"/>
          <w:b/>
          <w:bCs/>
          <w:sz w:val="72"/>
          <w:szCs w:val="72"/>
        </w:rPr>
      </w:pPr>
    </w:p>
    <w:p w14:paraId="73507635">
      <w:pPr>
        <w:jc w:val="center"/>
        <w:rPr>
          <w:rFonts w:hint="eastAsia" w:ascii="华文中宋" w:hAnsi="宋体" w:eastAsia="华文中宋"/>
          <w:b/>
          <w:bCs/>
          <w:szCs w:val="21"/>
        </w:rPr>
      </w:pPr>
      <w:r>
        <w:rPr>
          <w:rFonts w:hint="eastAsia" w:ascii="华文中宋" w:hAnsi="宋体" w:eastAsia="华文中宋"/>
          <w:b/>
          <w:bCs/>
          <w:sz w:val="72"/>
          <w:szCs w:val="72"/>
        </w:rPr>
        <w:t>暑假社会调查报告</w:t>
      </w:r>
    </w:p>
    <w:p w14:paraId="38A396E9">
      <w:pPr>
        <w:rPr>
          <w:rFonts w:hint="eastAsia" w:ascii="宋体" w:hAnsi="宋体"/>
          <w:sz w:val="28"/>
        </w:rPr>
      </w:pPr>
    </w:p>
    <w:p w14:paraId="15600899">
      <w:pPr>
        <w:rPr>
          <w:rFonts w:hint="eastAsia" w:ascii="宋体" w:hAnsi="宋体"/>
          <w:sz w:val="28"/>
        </w:rPr>
      </w:pPr>
      <w:r>
        <w:rPr>
          <w:rFonts w:hint="eastAsia" w:ascii="宋体" w:hAnsi="宋体"/>
          <w:sz w:val="28"/>
        </w:rPr>
        <w:t xml:space="preserve">                   　</w:t>
      </w:r>
    </w:p>
    <w:p w14:paraId="498D1AA5">
      <w:pPr>
        <w:rPr>
          <w:rFonts w:hint="eastAsia" w:ascii="宋体" w:hAnsi="宋体"/>
          <w:sz w:val="28"/>
        </w:rPr>
      </w:pPr>
      <w:r>
        <w:rPr>
          <w:rFonts w:hint="eastAsia" w:ascii="宋体" w:hAnsi="宋体"/>
          <w:sz w:val="28"/>
        </w:rPr>
        <w:t xml:space="preserve">                  </w:t>
      </w: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1"/>
        <w:gridCol w:w="4709"/>
      </w:tblGrid>
      <w:tr w14:paraId="695EEE43">
        <w:trPr>
          <w:jc w:val="center"/>
        </w:trPr>
        <w:tc>
          <w:tcPr>
            <w:tcW w:w="1521" w:type="dxa"/>
            <w:tcBorders>
              <w:top w:val="nil"/>
              <w:left w:val="nil"/>
              <w:bottom w:val="nil"/>
              <w:right w:val="nil"/>
            </w:tcBorders>
            <w:noWrap w:val="0"/>
            <w:vAlign w:val="center"/>
          </w:tcPr>
          <w:p w14:paraId="5D0D5F28">
            <w:pPr>
              <w:jc w:val="center"/>
              <w:rPr>
                <w:rFonts w:hint="eastAsia"/>
              </w:rPr>
            </w:pPr>
            <w:r>
              <w:rPr>
                <w:rFonts w:hint="eastAsia"/>
                <w:b/>
                <w:bCs/>
                <w:sz w:val="28"/>
              </w:rPr>
              <w:t>题    目</w:t>
            </w:r>
          </w:p>
        </w:tc>
        <w:tc>
          <w:tcPr>
            <w:tcW w:w="4709" w:type="dxa"/>
            <w:tcBorders>
              <w:top w:val="nil"/>
              <w:left w:val="nil"/>
              <w:bottom w:val="single" w:color="auto" w:sz="4" w:space="0"/>
              <w:right w:val="nil"/>
            </w:tcBorders>
            <w:noWrap w:val="0"/>
            <w:vAlign w:val="center"/>
          </w:tcPr>
          <w:p w14:paraId="6E7DEBCD">
            <w:pPr>
              <w:jc w:val="center"/>
              <w:rPr>
                <w:rFonts w:hint="eastAsia"/>
              </w:rPr>
            </w:pPr>
          </w:p>
        </w:tc>
      </w:tr>
      <w:tr w14:paraId="53C00B26">
        <w:trPr>
          <w:jc w:val="center"/>
        </w:trPr>
        <w:tc>
          <w:tcPr>
            <w:tcW w:w="1521" w:type="dxa"/>
            <w:tcBorders>
              <w:top w:val="nil"/>
              <w:left w:val="nil"/>
              <w:bottom w:val="nil"/>
              <w:right w:val="nil"/>
            </w:tcBorders>
            <w:noWrap w:val="0"/>
            <w:vAlign w:val="center"/>
          </w:tcPr>
          <w:p w14:paraId="7B602D3C">
            <w:pPr>
              <w:jc w:val="center"/>
              <w:rPr>
                <w:rFonts w:hint="eastAsia"/>
                <w:b/>
                <w:bCs/>
                <w:sz w:val="28"/>
              </w:rPr>
            </w:pPr>
            <w:r>
              <w:rPr>
                <w:rFonts w:hint="eastAsia"/>
                <w:b/>
                <w:bCs/>
                <w:sz w:val="28"/>
              </w:rPr>
              <w:t>学    院</w:t>
            </w:r>
          </w:p>
        </w:tc>
        <w:tc>
          <w:tcPr>
            <w:tcW w:w="4709" w:type="dxa"/>
            <w:tcBorders>
              <w:top w:val="single" w:color="auto" w:sz="4" w:space="0"/>
              <w:left w:val="nil"/>
              <w:bottom w:val="single" w:color="auto" w:sz="4" w:space="0"/>
              <w:right w:val="nil"/>
            </w:tcBorders>
            <w:noWrap w:val="0"/>
            <w:vAlign w:val="center"/>
          </w:tcPr>
          <w:p w14:paraId="652C18D3">
            <w:pPr>
              <w:jc w:val="center"/>
              <w:rPr>
                <w:rFonts w:hint="eastAsia"/>
              </w:rPr>
            </w:pPr>
          </w:p>
        </w:tc>
      </w:tr>
      <w:tr w14:paraId="779C5EB2">
        <w:trPr>
          <w:jc w:val="center"/>
        </w:trPr>
        <w:tc>
          <w:tcPr>
            <w:tcW w:w="1521" w:type="dxa"/>
            <w:tcBorders>
              <w:top w:val="nil"/>
              <w:left w:val="nil"/>
              <w:bottom w:val="nil"/>
              <w:right w:val="nil"/>
            </w:tcBorders>
            <w:noWrap w:val="0"/>
            <w:vAlign w:val="center"/>
          </w:tcPr>
          <w:p w14:paraId="4F780694">
            <w:pPr>
              <w:jc w:val="center"/>
              <w:rPr>
                <w:rFonts w:hint="eastAsia"/>
              </w:rPr>
            </w:pPr>
            <w:r>
              <w:rPr>
                <w:rFonts w:hint="eastAsia"/>
                <w:b/>
                <w:bCs/>
                <w:sz w:val="28"/>
              </w:rPr>
              <w:t>专    业</w:t>
            </w:r>
          </w:p>
        </w:tc>
        <w:tc>
          <w:tcPr>
            <w:tcW w:w="4709" w:type="dxa"/>
            <w:tcBorders>
              <w:top w:val="single" w:color="auto" w:sz="4" w:space="0"/>
              <w:left w:val="nil"/>
              <w:bottom w:val="single" w:color="auto" w:sz="4" w:space="0"/>
              <w:right w:val="nil"/>
            </w:tcBorders>
            <w:noWrap w:val="0"/>
            <w:vAlign w:val="center"/>
          </w:tcPr>
          <w:p w14:paraId="16CF98B5">
            <w:pPr>
              <w:jc w:val="center"/>
              <w:rPr>
                <w:rFonts w:hint="eastAsia"/>
              </w:rPr>
            </w:pPr>
          </w:p>
        </w:tc>
      </w:tr>
      <w:tr w14:paraId="0BCB4328">
        <w:trPr>
          <w:jc w:val="center"/>
        </w:trPr>
        <w:tc>
          <w:tcPr>
            <w:tcW w:w="1521" w:type="dxa"/>
            <w:tcBorders>
              <w:top w:val="nil"/>
              <w:left w:val="nil"/>
              <w:bottom w:val="nil"/>
              <w:right w:val="nil"/>
            </w:tcBorders>
            <w:noWrap w:val="0"/>
            <w:vAlign w:val="center"/>
          </w:tcPr>
          <w:p w14:paraId="6313A278">
            <w:pPr>
              <w:jc w:val="center"/>
              <w:rPr>
                <w:rFonts w:hint="eastAsia"/>
              </w:rPr>
            </w:pPr>
            <w:r>
              <w:rPr>
                <w:rFonts w:hint="eastAsia"/>
                <w:b/>
                <w:bCs/>
                <w:sz w:val="28"/>
              </w:rPr>
              <w:t>班    级</w:t>
            </w:r>
          </w:p>
        </w:tc>
        <w:tc>
          <w:tcPr>
            <w:tcW w:w="4709" w:type="dxa"/>
            <w:tcBorders>
              <w:top w:val="single" w:color="auto" w:sz="4" w:space="0"/>
              <w:left w:val="nil"/>
              <w:bottom w:val="single" w:color="auto" w:sz="4" w:space="0"/>
              <w:right w:val="nil"/>
            </w:tcBorders>
            <w:noWrap w:val="0"/>
            <w:vAlign w:val="center"/>
          </w:tcPr>
          <w:p w14:paraId="3749C95D">
            <w:pPr>
              <w:jc w:val="center"/>
              <w:rPr>
                <w:rFonts w:hint="eastAsia"/>
              </w:rPr>
            </w:pPr>
          </w:p>
        </w:tc>
      </w:tr>
      <w:tr w14:paraId="1083C3A7">
        <w:trPr>
          <w:jc w:val="center"/>
        </w:trPr>
        <w:tc>
          <w:tcPr>
            <w:tcW w:w="1521" w:type="dxa"/>
            <w:tcBorders>
              <w:top w:val="nil"/>
              <w:left w:val="nil"/>
              <w:bottom w:val="nil"/>
              <w:right w:val="nil"/>
            </w:tcBorders>
            <w:noWrap w:val="0"/>
            <w:vAlign w:val="center"/>
          </w:tcPr>
          <w:p w14:paraId="14D9503E">
            <w:pPr>
              <w:jc w:val="center"/>
              <w:rPr>
                <w:rFonts w:hint="eastAsia"/>
                <w:b/>
                <w:bCs/>
                <w:sz w:val="28"/>
              </w:rPr>
            </w:pPr>
            <w:r>
              <w:rPr>
                <w:rFonts w:hint="eastAsia"/>
                <w:b/>
                <w:bCs/>
                <w:sz w:val="28"/>
              </w:rPr>
              <w:t>学    号</w:t>
            </w:r>
          </w:p>
        </w:tc>
        <w:tc>
          <w:tcPr>
            <w:tcW w:w="4709" w:type="dxa"/>
            <w:tcBorders>
              <w:top w:val="single" w:color="auto" w:sz="4" w:space="0"/>
              <w:left w:val="nil"/>
              <w:bottom w:val="single" w:color="auto" w:sz="4" w:space="0"/>
              <w:right w:val="nil"/>
            </w:tcBorders>
            <w:noWrap w:val="0"/>
            <w:vAlign w:val="center"/>
          </w:tcPr>
          <w:p w14:paraId="5B630CCA">
            <w:pPr>
              <w:jc w:val="center"/>
              <w:rPr>
                <w:rFonts w:hint="eastAsia"/>
              </w:rPr>
            </w:pPr>
          </w:p>
        </w:tc>
      </w:tr>
      <w:tr w14:paraId="6540391F">
        <w:trPr>
          <w:jc w:val="center"/>
        </w:trPr>
        <w:tc>
          <w:tcPr>
            <w:tcW w:w="1521" w:type="dxa"/>
            <w:tcBorders>
              <w:top w:val="nil"/>
              <w:left w:val="nil"/>
              <w:bottom w:val="nil"/>
              <w:right w:val="nil"/>
            </w:tcBorders>
            <w:noWrap w:val="0"/>
            <w:vAlign w:val="center"/>
          </w:tcPr>
          <w:p w14:paraId="2680244E">
            <w:pPr>
              <w:jc w:val="center"/>
              <w:rPr>
                <w:rFonts w:hint="eastAsia"/>
                <w:b/>
                <w:bCs/>
                <w:sz w:val="28"/>
              </w:rPr>
            </w:pPr>
            <w:r>
              <w:rPr>
                <w:rFonts w:hint="eastAsia"/>
                <w:b/>
                <w:bCs/>
                <w:sz w:val="28"/>
              </w:rPr>
              <w:t>学生姓名</w:t>
            </w:r>
          </w:p>
        </w:tc>
        <w:tc>
          <w:tcPr>
            <w:tcW w:w="4709" w:type="dxa"/>
            <w:tcBorders>
              <w:top w:val="single" w:color="auto" w:sz="4" w:space="0"/>
              <w:left w:val="nil"/>
              <w:bottom w:val="single" w:color="auto" w:sz="4" w:space="0"/>
              <w:right w:val="nil"/>
            </w:tcBorders>
            <w:noWrap w:val="0"/>
            <w:vAlign w:val="center"/>
          </w:tcPr>
          <w:p w14:paraId="58A1FBA8">
            <w:pPr>
              <w:jc w:val="center"/>
              <w:rPr>
                <w:rFonts w:hint="eastAsia"/>
              </w:rPr>
            </w:pPr>
          </w:p>
        </w:tc>
      </w:tr>
      <w:tr w14:paraId="6E6DD858">
        <w:trPr>
          <w:jc w:val="center"/>
        </w:trPr>
        <w:tc>
          <w:tcPr>
            <w:tcW w:w="1521" w:type="dxa"/>
            <w:tcBorders>
              <w:top w:val="nil"/>
              <w:left w:val="nil"/>
              <w:bottom w:val="nil"/>
              <w:right w:val="nil"/>
            </w:tcBorders>
            <w:noWrap w:val="0"/>
            <w:vAlign w:val="center"/>
          </w:tcPr>
          <w:p w14:paraId="6C5927C1">
            <w:pPr>
              <w:jc w:val="center"/>
              <w:rPr>
                <w:rFonts w:hint="eastAsia"/>
                <w:b/>
                <w:bCs/>
                <w:sz w:val="28"/>
              </w:rPr>
            </w:pPr>
            <w:r>
              <w:rPr>
                <w:rFonts w:hint="eastAsia"/>
                <w:b/>
                <w:bCs/>
                <w:sz w:val="28"/>
              </w:rPr>
              <w:t>指导教师</w:t>
            </w:r>
          </w:p>
        </w:tc>
        <w:tc>
          <w:tcPr>
            <w:tcW w:w="4709" w:type="dxa"/>
            <w:tcBorders>
              <w:top w:val="single" w:color="auto" w:sz="4" w:space="0"/>
              <w:left w:val="nil"/>
              <w:bottom w:val="single" w:color="auto" w:sz="4" w:space="0"/>
              <w:right w:val="nil"/>
            </w:tcBorders>
            <w:noWrap w:val="0"/>
            <w:vAlign w:val="center"/>
          </w:tcPr>
          <w:p w14:paraId="3085CE9A">
            <w:pPr>
              <w:jc w:val="center"/>
              <w:rPr>
                <w:rFonts w:hint="eastAsia"/>
              </w:rPr>
            </w:pPr>
          </w:p>
        </w:tc>
      </w:tr>
      <w:tr w14:paraId="21832E38">
        <w:trPr>
          <w:jc w:val="center"/>
        </w:trPr>
        <w:tc>
          <w:tcPr>
            <w:tcW w:w="1521" w:type="dxa"/>
            <w:tcBorders>
              <w:top w:val="nil"/>
              <w:left w:val="nil"/>
              <w:bottom w:val="nil"/>
              <w:right w:val="nil"/>
            </w:tcBorders>
            <w:noWrap w:val="0"/>
            <w:vAlign w:val="center"/>
          </w:tcPr>
          <w:p w14:paraId="73CB5866">
            <w:pPr>
              <w:jc w:val="center"/>
              <w:rPr>
                <w:rFonts w:hint="eastAsia"/>
                <w:b/>
                <w:bCs/>
                <w:sz w:val="28"/>
              </w:rPr>
            </w:pPr>
            <w:r>
              <w:rPr>
                <w:rFonts w:hint="eastAsia"/>
                <w:b/>
                <w:bCs/>
                <w:sz w:val="28"/>
              </w:rPr>
              <w:t>职    称</w:t>
            </w:r>
          </w:p>
        </w:tc>
        <w:tc>
          <w:tcPr>
            <w:tcW w:w="4709" w:type="dxa"/>
            <w:tcBorders>
              <w:top w:val="single" w:color="auto" w:sz="4" w:space="0"/>
              <w:left w:val="nil"/>
              <w:bottom w:val="single" w:color="auto" w:sz="4" w:space="0"/>
              <w:right w:val="nil"/>
            </w:tcBorders>
            <w:noWrap w:val="0"/>
            <w:vAlign w:val="center"/>
          </w:tcPr>
          <w:p w14:paraId="4061FE83">
            <w:pPr>
              <w:jc w:val="center"/>
              <w:rPr>
                <w:rFonts w:hint="eastAsia"/>
              </w:rPr>
            </w:pPr>
          </w:p>
        </w:tc>
      </w:tr>
    </w:tbl>
    <w:p w14:paraId="6614FFD2">
      <w:pPr>
        <w:jc w:val="center"/>
        <w:rPr>
          <w:rFonts w:hint="eastAsia" w:ascii="楷体_GB2312" w:hAnsi="宋体" w:eastAsia="楷体_GB2312"/>
          <w:sz w:val="36"/>
        </w:rPr>
      </w:pPr>
      <w:r>
        <w:rPr>
          <w:rFonts w:ascii="楷体_GB2312" w:hAnsi="宋体" w:eastAsia="楷体_GB2312"/>
          <w:sz w:val="36"/>
        </w:rPr>
        <w:softHyphen/>
      </w:r>
      <w:r>
        <w:rPr>
          <w:rFonts w:ascii="楷体_GB2312" w:hAnsi="宋体" w:eastAsia="楷体_GB2312"/>
          <w:sz w:val="36"/>
        </w:rPr>
        <w:softHyphen/>
      </w:r>
      <w:r>
        <w:rPr>
          <w:rFonts w:ascii="楷体_GB2312" w:hAnsi="宋体" w:eastAsia="楷体_GB2312"/>
          <w:sz w:val="36"/>
        </w:rPr>
        <w:softHyphen/>
      </w:r>
      <w:r>
        <w:rPr>
          <w:rFonts w:ascii="楷体_GB2312" w:hAnsi="宋体" w:eastAsia="楷体_GB2312"/>
          <w:sz w:val="36"/>
        </w:rPr>
        <w:softHyphen/>
      </w:r>
      <w:r>
        <w:rPr>
          <w:rFonts w:ascii="楷体_GB2312" w:hAnsi="宋体" w:eastAsia="楷体_GB2312"/>
          <w:sz w:val="36"/>
        </w:rPr>
        <w:softHyphen/>
      </w:r>
      <w:r>
        <w:rPr>
          <w:rFonts w:ascii="楷体_GB2312" w:hAnsi="宋体" w:eastAsia="楷体_GB2312"/>
          <w:sz w:val="36"/>
        </w:rPr>
        <w:softHyphen/>
      </w:r>
      <w:r>
        <w:rPr>
          <w:rFonts w:ascii="楷体_GB2312" w:hAnsi="宋体" w:eastAsia="楷体_GB2312"/>
          <w:sz w:val="36"/>
        </w:rPr>
        <w:softHyphen/>
      </w:r>
      <w:r>
        <w:rPr>
          <w:rFonts w:ascii="楷体_GB2312" w:hAnsi="宋体" w:eastAsia="楷体_GB2312"/>
          <w:sz w:val="36"/>
        </w:rPr>
        <w:softHyphen/>
      </w:r>
      <w:r>
        <w:rPr>
          <w:rFonts w:ascii="楷体_GB2312" w:hAnsi="宋体" w:eastAsia="楷体_GB2312"/>
          <w:sz w:val="36"/>
        </w:rPr>
        <w:softHyphen/>
      </w:r>
      <w:r>
        <w:rPr>
          <w:rFonts w:ascii="楷体_GB2312" w:hAnsi="宋体" w:eastAsia="楷体_GB2312"/>
          <w:sz w:val="36"/>
        </w:rPr>
        <w:softHyphen/>
      </w:r>
      <w:r>
        <w:rPr>
          <w:rFonts w:ascii="楷体_GB2312" w:hAnsi="宋体" w:eastAsia="楷体_GB2312"/>
          <w:sz w:val="36"/>
        </w:rPr>
        <w:softHyphen/>
      </w:r>
      <w:r>
        <w:rPr>
          <w:rFonts w:ascii="楷体_GB2312" w:hAnsi="宋体" w:eastAsia="楷体_GB2312"/>
          <w:sz w:val="36"/>
        </w:rPr>
        <w:softHyphen/>
      </w:r>
      <w:r>
        <w:rPr>
          <w:rFonts w:ascii="楷体_GB2312" w:hAnsi="宋体" w:eastAsia="楷体_GB2312"/>
          <w:sz w:val="36"/>
        </w:rPr>
        <w:softHyphen/>
      </w:r>
      <w:r>
        <w:rPr>
          <w:rFonts w:ascii="楷体_GB2312" w:hAnsi="宋体" w:eastAsia="楷体_GB2312"/>
          <w:sz w:val="36"/>
        </w:rPr>
        <w:softHyphen/>
      </w:r>
      <w:r>
        <w:rPr>
          <w:rFonts w:ascii="楷体_GB2312" w:hAnsi="宋体" w:eastAsia="楷体_GB2312"/>
          <w:sz w:val="36"/>
        </w:rPr>
        <w:softHyphen/>
      </w:r>
      <w:r>
        <w:rPr>
          <w:rFonts w:ascii="楷体_GB2312" w:hAnsi="宋体" w:eastAsia="楷体_GB2312"/>
          <w:sz w:val="36"/>
        </w:rPr>
        <w:softHyphen/>
      </w:r>
      <w:r>
        <w:rPr>
          <w:rFonts w:ascii="楷体_GB2312" w:hAnsi="宋体" w:eastAsia="楷体_GB2312"/>
          <w:sz w:val="36"/>
        </w:rPr>
        <w:softHyphen/>
      </w:r>
      <w:r>
        <w:rPr>
          <w:rFonts w:ascii="楷体_GB2312" w:hAnsi="宋体" w:eastAsia="楷体_GB2312"/>
          <w:sz w:val="36"/>
        </w:rPr>
        <w:softHyphen/>
      </w:r>
      <w:r>
        <w:rPr>
          <w:rFonts w:ascii="楷体_GB2312" w:hAnsi="宋体" w:eastAsia="楷体_GB2312"/>
          <w:sz w:val="36"/>
        </w:rPr>
        <w:softHyphen/>
      </w:r>
    </w:p>
    <w:p w14:paraId="747B5EB3">
      <w:pPr>
        <w:jc w:val="center"/>
        <w:rPr>
          <w:rFonts w:hint="eastAsia" w:ascii="宋体" w:hAnsi="宋体"/>
          <w:b/>
          <w:bCs/>
          <w:sz w:val="28"/>
          <w:szCs w:val="28"/>
        </w:rPr>
      </w:pPr>
      <w:r>
        <w:rPr>
          <w:rFonts w:hint="eastAsia" w:ascii="宋体" w:hAnsi="宋体"/>
          <w:b/>
          <w:bCs/>
          <w:sz w:val="28"/>
          <w:szCs w:val="28"/>
        </w:rPr>
        <w:t>年   月   日</w:t>
      </w:r>
    </w:p>
    <w:p w14:paraId="0D70B4C5">
      <w:pPr>
        <w:rPr>
          <w:rFonts w:hint="eastAsia" w:ascii="宋体" w:hAnsi="宋体" w:eastAsia="宋体" w:cs="宋体"/>
          <w:sz w:val="36"/>
          <w:szCs w:val="36"/>
        </w:rPr>
      </w:pPr>
      <w:r>
        <w:rPr>
          <w:rFonts w:hint="eastAsia" w:ascii="宋体" w:hAnsi="宋体" w:eastAsia="宋体" w:cs="宋体"/>
          <w:sz w:val="36"/>
          <w:szCs w:val="36"/>
        </w:rPr>
        <w:br w:type="page"/>
      </w:r>
    </w:p>
    <w:p w14:paraId="1BE342E7">
      <w:pPr>
        <w:pStyle w:val="23"/>
        <w:rPr>
          <w:rFonts w:hint="eastAsia" w:ascii="宋体" w:hAnsi="宋体" w:eastAsia="宋体" w:cs="宋体"/>
          <w:sz w:val="36"/>
          <w:szCs w:val="36"/>
        </w:rPr>
      </w:pPr>
      <w:r>
        <w:rPr>
          <w:rFonts w:hint="eastAsia" w:ascii="宋体" w:hAnsi="宋体" w:eastAsia="宋体" w:cs="宋体"/>
          <w:sz w:val="36"/>
          <w:szCs w:val="36"/>
        </w:rPr>
        <w:t>移动互联网时代跨境支付内部控制与审计风险调查</w:t>
      </w:r>
    </w:p>
    <w:p w14:paraId="4778F288">
      <w:pPr>
        <w:pStyle w:val="44"/>
      </w:pPr>
      <w:r>
        <w:rPr>
          <w:rFonts w:hint="eastAsia"/>
          <w:b/>
          <w:bCs/>
        </w:rPr>
        <w:t>调查目标</w:t>
      </w:r>
      <w:r>
        <w:rPr>
          <w:rFonts w:hint="eastAsia"/>
        </w:rPr>
        <w:t>：了解居民在跨境支付中的身份认证、授权核对、费用说明、异常提醒、凭证留存和争议处理情况，</w:t>
      </w:r>
      <w:bookmarkStart w:id="53" w:name="_GoBack"/>
      <w:r>
        <w:rPr>
          <w:rFonts w:hint="eastAsia"/>
        </w:rPr>
        <w:t>检验可观察的控制信息是否有助于受访者识别风险并保留交易证据，</w:t>
      </w:r>
      <w:bookmarkEnd w:id="53"/>
      <w:r>
        <w:rPr>
          <w:rFonts w:hint="eastAsia"/>
        </w:rPr>
        <w:t>为支付平台的信息沟通和审计证据留痕改进提供参考。</w:t>
      </w:r>
    </w:p>
    <w:p w14:paraId="715F6CF1">
      <w:pPr>
        <w:pStyle w:val="44"/>
      </w:pPr>
      <w:r>
        <w:rPr>
          <w:rFonts w:hint="eastAsia"/>
          <w:b/>
          <w:bCs/>
        </w:rPr>
        <w:t>调查时间</w:t>
      </w:r>
      <w:r>
        <w:rPr>
          <w:rFonts w:hint="eastAsia"/>
        </w:rPr>
        <w:t>：现有50份匿名问卷记录未保留调查发布与回收的起止时间；本文于2026年8月完成资料整理、统计和结果分析。</w:t>
      </w:r>
    </w:p>
    <w:p w14:paraId="5FB29A3D">
      <w:pPr>
        <w:pStyle w:val="44"/>
      </w:pPr>
      <w:r>
        <w:rPr>
          <w:rFonts w:hint="eastAsia"/>
          <w:b/>
          <w:bCs/>
        </w:rPr>
        <w:t>调查对象</w:t>
      </w:r>
      <w:r>
        <w:rPr>
          <w:rFonts w:hint="eastAsia"/>
        </w:rPr>
        <w:t>：以年满18周岁、使用过移动支付工具的居民为对象，重点关注具有跨境网购、出境旅行支付、境外数字服务订阅、境外汇款或收款及跨境电商经历的群体；本次共整理50份匿名问卷记录。</w:t>
      </w:r>
    </w:p>
    <w:p w14:paraId="0DA29BDB">
      <w:pPr>
        <w:pStyle w:val="44"/>
      </w:pPr>
      <w:r>
        <w:rPr>
          <w:rFonts w:hint="eastAsia"/>
          <w:b/>
          <w:bCs/>
        </w:rPr>
        <w:t>调查方式</w:t>
      </w:r>
      <w:r>
        <w:rPr>
          <w:rFonts w:hint="eastAsia"/>
        </w:rPr>
        <w:t>：采用匿名结构化问卷收集支付经历、控制认知和凭证留存信息，并结合公开制度资料进行背景分析；对问卷记录开展频数、比例和样本内部比较。</w:t>
      </w:r>
    </w:p>
    <w:p w14:paraId="1624CB9B">
      <w:pPr>
        <w:pStyle w:val="44"/>
      </w:pPr>
      <w:r>
        <w:rPr>
          <w:rFonts w:hint="eastAsia"/>
        </w:rPr>
        <w:t>移动互联网改变了居民接触跨境交易的方式，也改变了审计人员获取交易证据和评价内部控制的环境。本文以COSO内部控制框架和国际审计准则为依据，通过公开资料、结构化问卷和少量访谈，考察受访者对身份认证、授权操作、异常提示、凭证保存和投诉处理的认知，并基于50份真实匿名问卷记录进行描述性分析。研究认为，跨境支付调查的可行边界在于把宏观资本流动转换为可询问的交易体验和可检查的证据留痕，同时明确便利样本不能代表全部居民。</w:t>
      </w:r>
    </w:p>
    <w:p w14:paraId="6E1F2792">
      <w:pPr>
        <w:pStyle w:val="44"/>
      </w:pPr>
      <w:r>
        <w:rPr>
          <w:rFonts w:hint="eastAsia"/>
          <w:b/>
          <w:bCs/>
        </w:rPr>
        <w:t>关键词</w:t>
      </w:r>
      <w:r>
        <w:rPr>
          <w:rFonts w:hint="eastAsia"/>
        </w:rPr>
        <w:t>：跨境支付；审计风险；内部控制；审计证据；信息可追溯性</w:t>
      </w:r>
    </w:p>
    <w:p w14:paraId="71FC5166">
      <w:pPr>
        <w:pStyle w:val="2"/>
        <w:numPr>
          <w:ilvl w:val="0"/>
          <w:numId w:val="1"/>
        </w:numPr>
      </w:pPr>
      <w:bookmarkStart w:id="0" w:name="引言"/>
      <w:r>
        <w:rPr>
          <w:rFonts w:hint="eastAsia"/>
        </w:rPr>
        <w:t>引言</w:t>
      </w:r>
    </w:p>
    <w:p w14:paraId="4D89CDE7">
      <w:pPr>
        <w:pStyle w:val="3"/>
        <w:numPr>
          <w:ilvl w:val="1"/>
          <w:numId w:val="1"/>
        </w:numPr>
      </w:pPr>
      <w:bookmarkStart w:id="1" w:name="研究背景"/>
      <w:r>
        <w:rPr>
          <w:rFonts w:hint="eastAsia"/>
        </w:rPr>
        <w:t>研究背景</w:t>
      </w:r>
    </w:p>
    <w:p w14:paraId="76DB619D">
      <w:pPr>
        <w:pStyle w:val="44"/>
      </w:pPr>
      <w:r>
        <w:rPr>
          <w:rFonts w:hint="eastAsia"/>
        </w:rPr>
        <w:t>移动支付让跨境交易进入日常生活，居民在境外电商和境外服务商消费时也会接触币种转换、支付授权和退款退税，实际交易可能经过发卡机构、支付机构、清算网络和境外商户等多个环节。</w:t>
      </w:r>
    </w:p>
    <w:p w14:paraId="29E1063F">
      <w:pPr>
        <w:pStyle w:val="44"/>
      </w:pPr>
      <w:r>
        <w:t>跨境支付的效率提升不等于控制风险自动下降。国际清算银行指出，跨境支付在成本、速度和透明度方面仍有改进空间[1]；金融稳定理事会的路线图也将数据标准和合规流程纳入治理框架[2]。</w:t>
      </w:r>
    </w:p>
    <w:bookmarkEnd w:id="1"/>
    <w:p w14:paraId="01DD5001">
      <w:pPr>
        <w:pStyle w:val="3"/>
        <w:numPr>
          <w:ilvl w:val="1"/>
          <w:numId w:val="1"/>
        </w:numPr>
      </w:pPr>
      <w:bookmarkStart w:id="2" w:name="研究问题"/>
      <w:r>
        <w:rPr>
          <w:rFonts w:hint="eastAsia"/>
        </w:rPr>
        <w:t>研究问题</w:t>
      </w:r>
    </w:p>
    <w:p w14:paraId="3D6B2864">
      <w:pPr>
        <w:pStyle w:val="44"/>
      </w:pPr>
      <w:r>
        <w:rPr>
          <w:rFonts w:hint="eastAsia"/>
        </w:rPr>
        <w:t>本文不测算跨境资本流动总规模，研究问题限定在审计学生可接触的范围内：居民如何理解身份认证和授权控制；交易记录能否形成相互印证的证据链；如何避免把主观感受写成内部控制有效运行的结论。</w:t>
      </w:r>
    </w:p>
    <w:bookmarkEnd w:id="2"/>
    <w:p w14:paraId="2A7B6AC3">
      <w:pPr>
        <w:pStyle w:val="3"/>
        <w:numPr>
          <w:ilvl w:val="1"/>
          <w:numId w:val="1"/>
        </w:numPr>
      </w:pPr>
      <w:bookmarkStart w:id="3" w:name="研究意义"/>
      <w:r>
        <w:rPr>
          <w:rFonts w:hint="eastAsia"/>
        </w:rPr>
        <w:t>研究意义</w:t>
      </w:r>
    </w:p>
    <w:p w14:paraId="5C68E2DF">
      <w:pPr>
        <w:pStyle w:val="44"/>
      </w:pPr>
      <w:r>
        <w:t>跨境支付场景能把审计风险、内部控制和审计证据联系起来：识别关键控制点，判断证据是否由独立来源产生，检查记录能否相互勾稽，并在证据不足时降低结论强度[3][4]。</w:t>
      </w:r>
    </w:p>
    <w:bookmarkEnd w:id="0"/>
    <w:bookmarkEnd w:id="3"/>
    <w:p w14:paraId="15BC4BF2">
      <w:pPr>
        <w:pStyle w:val="2"/>
        <w:numPr>
          <w:ilvl w:val="0"/>
          <w:numId w:val="1"/>
        </w:numPr>
      </w:pPr>
      <w:bookmarkStart w:id="4" w:name="理论基础与文献综述"/>
      <w:r>
        <w:rPr>
          <w:rFonts w:hint="eastAsia"/>
        </w:rPr>
        <w:t>理论基础与文献综述</w:t>
      </w:r>
    </w:p>
    <w:p w14:paraId="62E7CF20">
      <w:pPr>
        <w:pStyle w:val="3"/>
        <w:numPr>
          <w:ilvl w:val="1"/>
          <w:numId w:val="1"/>
        </w:numPr>
      </w:pPr>
      <w:bookmarkStart w:id="5" w:name="跨境支付中的审计风险"/>
      <w:r>
        <w:rPr>
          <w:rFonts w:hint="eastAsia"/>
        </w:rPr>
        <w:t>跨境支付中的审计风险</w:t>
      </w:r>
    </w:p>
    <w:p w14:paraId="41018C8D">
      <w:pPr>
        <w:pStyle w:val="44"/>
      </w:pPr>
      <w:r>
        <w:rPr>
          <w:rFonts w:hint="eastAsia"/>
        </w:rPr>
        <w:t>跨境支付风险可沿交易流程观察：交易前集中在身份冒用和不清晰的收费说明；授权时与密码、设备和二次确认有关；处理时可能来自币种转换和重复扣款；完成后表现为凭证缺失和退款路径不清。</w:t>
      </w:r>
    </w:p>
    <w:bookmarkEnd w:id="5"/>
    <w:p w14:paraId="16A24B95">
      <w:pPr>
        <w:pStyle w:val="3"/>
        <w:numPr>
          <w:ilvl w:val="1"/>
          <w:numId w:val="1"/>
        </w:numPr>
      </w:pPr>
      <w:bookmarkStart w:id="6" w:name="内部控制框架的适用性"/>
      <w:r>
        <w:rPr>
          <w:rFonts w:hint="eastAsia"/>
        </w:rPr>
        <w:t>内部控制框架的适用性</w:t>
      </w:r>
    </w:p>
    <w:p w14:paraId="6424822D">
      <w:pPr>
        <w:pStyle w:val="44"/>
      </w:pPr>
      <w:r>
        <w:t>COSO框架把内部控制理解为控制环境、风险评估、控制活动、信息与沟通和监督活动构成的过程[5]，本调查据此把问卷题目转化为审计分析语言，如收费说明对应信息与沟通，二次授权对应控制活动。</w:t>
      </w:r>
    </w:p>
    <w:bookmarkEnd w:id="6"/>
    <w:p w14:paraId="06EA94B0">
      <w:pPr>
        <w:pStyle w:val="3"/>
        <w:numPr>
          <w:ilvl w:val="1"/>
          <w:numId w:val="1"/>
        </w:numPr>
      </w:pPr>
      <w:bookmarkStart w:id="7" w:name="审计证据与信息可追溯性"/>
      <w:r>
        <w:rPr>
          <w:rFonts w:hint="eastAsia"/>
        </w:rPr>
        <w:t>审计证据与信息可追溯性</w:t>
      </w:r>
    </w:p>
    <w:p w14:paraId="12692729">
      <w:pPr>
        <w:pStyle w:val="44"/>
      </w:pPr>
      <w:r>
        <w:rPr>
          <w:rFonts w:hint="eastAsia"/>
        </w:rPr>
        <w:t>审计证据的价值在于相关性和可靠性。跨境支付证据分散在订单确认、付款授权、机构通知和退款凭证中，若各记录的时间、金额、币种和订单编号一致，就容易形成可追溯链条。</w:t>
      </w:r>
    </w:p>
    <w:bookmarkEnd w:id="7"/>
    <w:p w14:paraId="57F8AB3E">
      <w:pPr>
        <w:pStyle w:val="3"/>
        <w:numPr>
          <w:ilvl w:val="1"/>
          <w:numId w:val="1"/>
        </w:numPr>
      </w:pPr>
      <w:bookmarkStart w:id="8" w:name="相关研究的启示与不足"/>
      <w:r>
        <w:rPr>
          <w:rFonts w:hint="eastAsia"/>
        </w:rPr>
        <w:t>相关研究的启示与不足</w:t>
      </w:r>
    </w:p>
    <w:p w14:paraId="3DBB469D">
      <w:pPr>
        <w:pStyle w:val="44"/>
      </w:pPr>
      <w:r>
        <w:t>跨境支付政策研究关注基础设施与监管协调，审计研究关注错报风险与证据质量，但宏观资料没有回答居民是否理解支付提示、是否保留凭证等微观问题，这正是本次调查的切入点。</w:t>
      </w:r>
    </w:p>
    <w:bookmarkEnd w:id="4"/>
    <w:bookmarkEnd w:id="8"/>
    <w:p w14:paraId="06BCB88A">
      <w:pPr>
        <w:pStyle w:val="2"/>
        <w:numPr>
          <w:ilvl w:val="0"/>
          <w:numId w:val="1"/>
        </w:numPr>
      </w:pPr>
      <w:bookmarkStart w:id="9" w:name="调查设计"/>
      <w:r>
        <w:rPr>
          <w:rFonts w:hint="eastAsia"/>
        </w:rPr>
        <w:t>调查设计</w:t>
      </w:r>
    </w:p>
    <w:p w14:paraId="7EBE56DE">
      <w:pPr>
        <w:pStyle w:val="3"/>
        <w:numPr>
          <w:ilvl w:val="1"/>
          <w:numId w:val="1"/>
        </w:numPr>
      </w:pPr>
      <w:bookmarkStart w:id="10" w:name="调查对象与调查范围"/>
      <w:r>
        <w:rPr>
          <w:rFonts w:hint="eastAsia"/>
        </w:rPr>
        <w:t>调查对象与调查范围</w:t>
      </w:r>
    </w:p>
    <w:p w14:paraId="76580CC2">
      <w:pPr>
        <w:pStyle w:val="44"/>
      </w:pPr>
      <w:r>
        <w:rPr>
          <w:rFonts w:hint="eastAsia"/>
        </w:rPr>
        <w:t>调查对象为年满18周岁、至少使用过一种移动支付工具的居民，重点面向有跨境网购、留学缴费、境外汇款或跨境电商经历的人员；无经历者不与有经历者混合解释。</w:t>
      </w:r>
    </w:p>
    <w:p w14:paraId="0931E8D3">
      <w:pPr>
        <w:pStyle w:val="44"/>
      </w:pPr>
      <w:r>
        <w:rPr>
          <w:rFonts w:hint="eastAsia"/>
        </w:rPr>
        <w:t>调查渠道覆盖高校学生社群、校园公共区域和社区网络，渠道只是样本来源，不应包装为随机抽样；问卷不收集身份证号、银行卡号和可识别个人的订单号码。</w:t>
      </w:r>
    </w:p>
    <w:bookmarkEnd w:id="10"/>
    <w:p w14:paraId="155DBDE7">
      <w:pPr>
        <w:pStyle w:val="3"/>
        <w:numPr>
          <w:ilvl w:val="1"/>
          <w:numId w:val="1"/>
        </w:numPr>
      </w:pPr>
      <w:bookmarkStart w:id="11" w:name="问卷来源与设计依据"/>
      <w:r>
        <w:rPr>
          <w:rFonts w:hint="eastAsia"/>
        </w:rPr>
        <w:t>问卷来源与设计依据</w:t>
      </w:r>
    </w:p>
    <w:p w14:paraId="46BE3E9C">
      <w:pPr>
        <w:pStyle w:val="44"/>
      </w:pPr>
      <w:r>
        <w:rPr>
          <w:rFonts w:hint="eastAsia"/>
        </w:rPr>
        <w:t>问卷由研究者依据COSO框架、国际审计准则第315号和第500号及人民银行支付体系资料自行编制，题项经审计专业师生试读后修改定稿。</w:t>
      </w:r>
    </w:p>
    <w:bookmarkEnd w:id="11"/>
    <w:p w14:paraId="3C1FF7CD">
      <w:pPr>
        <w:pStyle w:val="3"/>
        <w:numPr>
          <w:ilvl w:val="1"/>
          <w:numId w:val="1"/>
        </w:numPr>
      </w:pPr>
      <w:bookmarkStart w:id="12" w:name="调查实施与资料来源"/>
      <w:r>
        <w:rPr>
          <w:rFonts w:hint="eastAsia"/>
        </w:rPr>
        <w:t>调查实施与资料来源</w:t>
      </w:r>
    </w:p>
    <w:p w14:paraId="2FEC83FA">
      <w:pPr>
        <w:pStyle w:val="44"/>
      </w:pPr>
      <w:r>
        <w:rPr>
          <w:rFonts w:hint="eastAsia"/>
        </w:rPr>
        <w:t>本文已整理50份真实匿名问卷记录并按匿名编号保留原始字段；重复填写时只保留能说明依据的记录，并在清洗日志中登记。</w:t>
      </w:r>
    </w:p>
    <w:p w14:paraId="1AA25DA2">
      <w:pPr>
        <w:pStyle w:val="44"/>
      </w:pPr>
      <w:r>
        <w:rPr>
          <w:rFonts w:hint="eastAsia"/>
        </w:rPr>
        <w:t>资料来源分三类：公开制度资料承担背景说明，问卷资料承担认知测量，访谈资料承担情境解释；公开资料信息不能改写成调查样本结论。</w:t>
      </w:r>
    </w:p>
    <w:bookmarkEnd w:id="12"/>
    <w:p w14:paraId="64A3B3E4">
      <w:pPr>
        <w:pStyle w:val="3"/>
        <w:numPr>
          <w:ilvl w:val="1"/>
          <w:numId w:val="1"/>
        </w:numPr>
      </w:pPr>
      <w:bookmarkStart w:id="13" w:name="数据处理方法"/>
      <w:r>
        <w:rPr>
          <w:rFonts w:hint="eastAsia"/>
        </w:rPr>
        <w:t>数据处理方法</w:t>
      </w:r>
    </w:p>
    <w:p w14:paraId="070FCEAC">
      <w:pPr>
        <w:pStyle w:val="44"/>
      </w:pPr>
      <w:r>
        <w:rPr>
          <w:rFonts w:hint="eastAsia"/>
        </w:rPr>
        <w:t>问卷清洗先核对空白、重复、越界和跳题关系，再处理逻辑矛盾；发现矛盾时保留原始值并标记为缺失，不以猜测替换答案。</w:t>
      </w:r>
    </w:p>
    <w:p w14:paraId="3E06256A">
      <w:pPr>
        <w:pStyle w:val="44"/>
      </w:pPr>
      <w:r>
        <w:rPr>
          <w:rFonts w:hint="eastAsia"/>
        </w:rPr>
        <w:t>描述性分析使用50份问卷记录，频数分母写清楚，多选题比例不要求合计100%，交叉分析只用于样本内部比较。</w:t>
      </w:r>
    </w:p>
    <w:bookmarkEnd w:id="13"/>
    <w:p w14:paraId="5A3D6380">
      <w:pPr>
        <w:pStyle w:val="3"/>
        <w:numPr>
          <w:ilvl w:val="1"/>
          <w:numId w:val="1"/>
        </w:numPr>
      </w:pPr>
      <w:bookmarkStart w:id="14" w:name="研究伦理与质量控制"/>
      <w:r>
        <w:rPr>
          <w:rFonts w:hint="eastAsia"/>
        </w:rPr>
        <w:t>研究伦理与质量控制</w:t>
      </w:r>
    </w:p>
    <w:p w14:paraId="56DFB0A3">
      <w:pPr>
        <w:pStyle w:val="44"/>
      </w:pPr>
      <w:r>
        <w:rPr>
          <w:rFonts w:hint="eastAsia"/>
        </w:rPr>
        <w:t>调查涉及个人财务活动，隐私保护置于便利性之前：不询问密码和卡号，不要求上传支付截图，论文不出现可反推身份的组合信息。</w:t>
      </w:r>
    </w:p>
    <w:bookmarkEnd w:id="9"/>
    <w:bookmarkEnd w:id="14"/>
    <w:p w14:paraId="5E68F40F">
      <w:pPr>
        <w:pStyle w:val="2"/>
        <w:numPr>
          <w:ilvl w:val="0"/>
          <w:numId w:val="1"/>
        </w:numPr>
      </w:pPr>
      <w:bookmarkStart w:id="15" w:name="调查内容与审计分析框架"/>
      <w:r>
        <w:rPr>
          <w:rFonts w:hint="eastAsia"/>
        </w:rPr>
        <w:t>调查内容与审计分析框架</w:t>
      </w:r>
    </w:p>
    <w:p w14:paraId="733B8CB9">
      <w:pPr>
        <w:pStyle w:val="3"/>
        <w:numPr>
          <w:ilvl w:val="1"/>
          <w:numId w:val="1"/>
        </w:numPr>
      </w:pPr>
      <w:bookmarkStart w:id="16" w:name="交易前的身份与授权控制"/>
      <w:r>
        <w:rPr>
          <w:rFonts w:hint="eastAsia"/>
        </w:rPr>
        <w:t>交易前的身份与授权控制</w:t>
      </w:r>
    </w:p>
    <w:p w14:paraId="3857D7B1">
      <w:pPr>
        <w:pStyle w:val="44"/>
      </w:pPr>
      <w:r>
        <w:rPr>
          <w:rFonts w:hint="eastAsia"/>
        </w:rPr>
        <w:t>交易前控制的核心是确认“谁在付款、向谁付款、依据什么条件付款”，受访者可观察的线索包括实名提示、收款方名称、订单信息、币种和手续费说明。</w:t>
      </w:r>
    </w:p>
    <w:bookmarkEnd w:id="16"/>
    <w:p w14:paraId="08315BD4">
      <w:pPr>
        <w:pStyle w:val="3"/>
        <w:numPr>
          <w:ilvl w:val="1"/>
          <w:numId w:val="1"/>
        </w:numPr>
      </w:pPr>
      <w:bookmarkStart w:id="17" w:name="交易中的异常识别"/>
      <w:r>
        <w:rPr>
          <w:rFonts w:hint="eastAsia"/>
        </w:rPr>
        <w:t>交易中的异常识别</w:t>
      </w:r>
    </w:p>
    <w:p w14:paraId="5F56A52C">
      <w:pPr>
        <w:pStyle w:val="44"/>
      </w:pPr>
      <w:r>
        <w:rPr>
          <w:rFonts w:hint="eastAsia"/>
        </w:rPr>
        <w:t>异常控制在消费者端表现为异地登录提醒、支付限额、短信或生物识别验证和重复扣款提示，问卷询问最近一次遇到的提示类型及其是否阻止了错误操作。</w:t>
      </w:r>
    </w:p>
    <w:bookmarkEnd w:id="17"/>
    <w:p w14:paraId="33C13188">
      <w:pPr>
        <w:pStyle w:val="3"/>
        <w:numPr>
          <w:ilvl w:val="1"/>
          <w:numId w:val="1"/>
        </w:numPr>
      </w:pPr>
      <w:bookmarkStart w:id="18" w:name="交易后的凭证与退款控制"/>
      <w:r>
        <w:rPr>
          <w:rFonts w:hint="eastAsia"/>
        </w:rPr>
        <w:t>交易后的凭证与退款控制</w:t>
      </w:r>
    </w:p>
    <w:p w14:paraId="51646EE5">
      <w:pPr>
        <w:pStyle w:val="44"/>
      </w:pPr>
      <w:r>
        <w:rPr>
          <w:rFonts w:hint="eastAsia"/>
        </w:rPr>
        <w:t>交易后的证据留存是学生能够真正调查的内容：订单确认、支付通知、银行账单、退款通知和客服工单分别支持不同事实，问卷询问受访者通常保留哪些记录。</w:t>
      </w:r>
    </w:p>
    <w:bookmarkEnd w:id="18"/>
    <w:p w14:paraId="169F85F6">
      <w:pPr>
        <w:pStyle w:val="3"/>
        <w:numPr>
          <w:ilvl w:val="1"/>
          <w:numId w:val="1"/>
        </w:numPr>
      </w:pPr>
      <w:bookmarkStart w:id="19" w:name="平台商户与消费者的责任边界"/>
      <w:r>
        <w:rPr>
          <w:rFonts w:hint="eastAsia"/>
        </w:rPr>
        <w:t>平台、商户与消费者的责任边界</w:t>
      </w:r>
    </w:p>
    <w:p w14:paraId="3A275EB2">
      <w:pPr>
        <w:pStyle w:val="44"/>
      </w:pPr>
      <w:r>
        <w:rPr>
          <w:rFonts w:hint="eastAsia"/>
        </w:rPr>
        <w:t>跨境交易的责任边界比国内消费更复杂：平台负责支付接口和风险提示，商户负责履约，发卡机构负责扣款和争议处理，问卷只询问发生问题时最先联系谁。</w:t>
      </w:r>
    </w:p>
    <w:bookmarkEnd w:id="19"/>
    <w:p w14:paraId="652C816E">
      <w:pPr>
        <w:pStyle w:val="3"/>
        <w:numPr>
          <w:ilvl w:val="1"/>
          <w:numId w:val="1"/>
        </w:numPr>
      </w:pPr>
      <w:bookmarkStart w:id="20" w:name="调查情境的分析"/>
      <w:r>
        <w:rPr>
          <w:rFonts w:hint="eastAsia"/>
        </w:rPr>
        <w:t>调查情境的分析</w:t>
      </w:r>
    </w:p>
    <w:p w14:paraId="7B4451D4">
      <w:pPr>
        <w:pStyle w:val="44"/>
      </w:pPr>
      <w:r>
        <w:rPr>
          <w:rFonts w:hint="eastAsia"/>
        </w:rPr>
        <w:t>调查的情境性来自样本接触和生活环境，分析时比较不同经历群体的差异，但不把便利样本的差异归因于区域整体差距。</w:t>
      </w:r>
    </w:p>
    <w:bookmarkEnd w:id="15"/>
    <w:bookmarkEnd w:id="20"/>
    <w:p w14:paraId="52E70AAC">
      <w:pPr>
        <w:pStyle w:val="2"/>
        <w:numPr>
          <w:ilvl w:val="0"/>
          <w:numId w:val="1"/>
        </w:numPr>
      </w:pPr>
      <w:bookmarkStart w:id="21" w:name="结果呈现与解释边界"/>
      <w:r>
        <w:rPr>
          <w:rFonts w:hint="eastAsia"/>
        </w:rPr>
        <w:t>结果呈现与解释边界</w:t>
      </w:r>
    </w:p>
    <w:p w14:paraId="198FEA2F">
      <w:pPr>
        <w:pStyle w:val="3"/>
        <w:numPr>
          <w:ilvl w:val="1"/>
          <w:numId w:val="1"/>
        </w:numPr>
      </w:pPr>
      <w:bookmarkStart w:id="22" w:name="当前材料能够支持的结果"/>
      <w:r>
        <w:rPr>
          <w:rFonts w:hint="eastAsia"/>
        </w:rPr>
        <w:t>当前材料能够支持的结果</w:t>
      </w:r>
    </w:p>
    <w:p w14:paraId="20E7C3E2">
      <w:pPr>
        <w:pStyle w:val="44"/>
      </w:pPr>
      <w:r>
        <w:rPr>
          <w:rFonts w:hint="eastAsia"/>
        </w:rPr>
        <w:t>本次调查已整理50份真实匿名问卷记录，数据包含基本情况、支付经历、费用说明、身份认证、异常提醒和凭证留存等信息；因样本规模有限，本文只作样本内描述。</w:t>
      </w:r>
    </w:p>
    <w:bookmarkEnd w:id="22"/>
    <w:p w14:paraId="6607FC5A">
      <w:pPr>
        <w:pStyle w:val="3"/>
        <w:numPr>
          <w:ilvl w:val="1"/>
          <w:numId w:val="1"/>
        </w:numPr>
      </w:pPr>
      <w:bookmarkStart w:id="23" w:name="样本特征与支付经历"/>
      <w:r>
        <w:rPr>
          <w:rFonts w:hint="eastAsia"/>
        </w:rPr>
        <w:t>样本特征与支付经历</w:t>
      </w:r>
    </w:p>
    <w:p w14:paraId="580AC858">
      <w:pPr>
        <w:pStyle w:val="44"/>
      </w:pPr>
      <w:r>
        <w:rPr>
          <w:rFonts w:hint="eastAsia"/>
        </w:rPr>
        <w:t>样本身份以在校学生为主（24人，48.0%），其他就业人员11人（22.0%），暂未就业7人（14.0%），主要反映可接触群体的认知与经历。</w:t>
      </w:r>
    </w:p>
    <w:p w14:paraId="7CEC587A">
      <w:pPr>
        <w:pStyle w:val="42"/>
      </w:pPr>
      <w:r>
        <w:drawing>
          <wp:inline distT="0" distB="0" distL="114300" distR="114300">
            <wp:extent cx="5270500" cy="3162300"/>
            <wp:effectExtent l="0" t="0" r="0" b="0"/>
            <wp:docPr id="56" name="Picture" descr="受访者身份构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descr="受访者身份构成"/>
                    <pic:cNvPicPr>
                      <a:picLocks noChangeAspect="1" noChangeArrowheads="1"/>
                    </pic:cNvPicPr>
                  </pic:nvPicPr>
                  <pic:blipFill>
                    <a:blip r:embed="rId11"/>
                    <a:stretch>
                      <a:fillRect/>
                    </a:stretch>
                  </pic:blipFill>
                  <pic:spPr>
                    <a:xfrm>
                      <a:off x="0" y="0"/>
                      <a:ext cx="5270500" cy="3162300"/>
                    </a:xfrm>
                    <a:prstGeom prst="rect">
                      <a:avLst/>
                    </a:prstGeom>
                    <a:noFill/>
                    <a:ln w="9525">
                      <a:noFill/>
                    </a:ln>
                  </pic:spPr>
                </pic:pic>
              </a:graphicData>
            </a:graphic>
          </wp:inline>
        </w:drawing>
      </w:r>
    </w:p>
    <w:p w14:paraId="697EE790">
      <w:pPr>
        <w:pStyle w:val="89"/>
      </w:pPr>
      <w:r>
        <w:rPr>
          <w:rFonts w:hint="eastAsia"/>
        </w:rPr>
        <w:t>图</w:t>
      </w:r>
      <w:r>
        <w:t xml:space="preserve"> 1　</w:t>
      </w:r>
      <w:r>
        <w:rPr>
          <w:rFonts w:hint="eastAsia"/>
        </w:rPr>
        <w:t>受访者身份构成</w:t>
      </w:r>
    </w:p>
    <w:p w14:paraId="190F5CD9">
      <w:pPr>
        <w:pStyle w:val="44"/>
      </w:pPr>
      <w:r>
        <w:rPr>
          <w:rFonts w:hint="eastAsia"/>
        </w:rPr>
        <w:t>年龄结构集中在18-24岁（23人，46.0%）和25-34岁（12人，24.0%），35岁及以上共15人，解读时应避免过度概括。</w:t>
      </w:r>
    </w:p>
    <w:p w14:paraId="57F767A3">
      <w:pPr>
        <w:pStyle w:val="42"/>
      </w:pPr>
      <w:r>
        <w:drawing>
          <wp:inline distT="0" distB="0" distL="114300" distR="114300">
            <wp:extent cx="5270500" cy="3162300"/>
            <wp:effectExtent l="0" t="0" r="0" b="0"/>
            <wp:docPr id="59" name="Picture" descr="受访者年龄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descr="受访者年龄分布"/>
                    <pic:cNvPicPr>
                      <a:picLocks noChangeAspect="1" noChangeArrowheads="1"/>
                    </pic:cNvPicPr>
                  </pic:nvPicPr>
                  <pic:blipFill>
                    <a:blip r:embed="rId12"/>
                    <a:stretch>
                      <a:fillRect/>
                    </a:stretch>
                  </pic:blipFill>
                  <pic:spPr>
                    <a:xfrm>
                      <a:off x="0" y="0"/>
                      <a:ext cx="5270500" cy="3162300"/>
                    </a:xfrm>
                    <a:prstGeom prst="rect">
                      <a:avLst/>
                    </a:prstGeom>
                    <a:noFill/>
                    <a:ln w="9525">
                      <a:noFill/>
                    </a:ln>
                  </pic:spPr>
                </pic:pic>
              </a:graphicData>
            </a:graphic>
          </wp:inline>
        </w:drawing>
      </w:r>
    </w:p>
    <w:p w14:paraId="25128AA8">
      <w:pPr>
        <w:pStyle w:val="89"/>
      </w:pPr>
      <w:r>
        <w:rPr>
          <w:rFonts w:hint="eastAsia"/>
        </w:rPr>
        <w:t>图</w:t>
      </w:r>
      <w:r>
        <w:t xml:space="preserve"> 2　</w:t>
      </w:r>
      <w:r>
        <w:rPr>
          <w:rFonts w:hint="eastAsia"/>
        </w:rPr>
        <w:t>受访者年龄分布</w:t>
      </w:r>
    </w:p>
    <w:p w14:paraId="5265098A">
      <w:pPr>
        <w:pStyle w:val="44"/>
      </w:pPr>
      <w:r>
        <w:rPr>
          <w:rFonts w:hint="eastAsia"/>
        </w:rPr>
        <w:t>常住区域方面，中心城区受访者26人（52.0%），县城15人（30.0%），乡镇或农村9人（18.0%），区域比例仅描述样本构成。</w:t>
      </w:r>
    </w:p>
    <w:p w14:paraId="78BFC729">
      <w:pPr>
        <w:pStyle w:val="42"/>
      </w:pPr>
      <w:r>
        <w:drawing>
          <wp:inline distT="0" distB="0" distL="114300" distR="114300">
            <wp:extent cx="5270500" cy="3162300"/>
            <wp:effectExtent l="0" t="0" r="0" b="0"/>
            <wp:docPr id="62" name="Picture" descr="受访者常住区域类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descr="受访者常住区域类型"/>
                    <pic:cNvPicPr>
                      <a:picLocks noChangeAspect="1" noChangeArrowheads="1"/>
                    </pic:cNvPicPr>
                  </pic:nvPicPr>
                  <pic:blipFill>
                    <a:blip r:embed="rId13"/>
                    <a:stretch>
                      <a:fillRect/>
                    </a:stretch>
                  </pic:blipFill>
                  <pic:spPr>
                    <a:xfrm>
                      <a:off x="0" y="0"/>
                      <a:ext cx="5270500" cy="3162300"/>
                    </a:xfrm>
                    <a:prstGeom prst="rect">
                      <a:avLst/>
                    </a:prstGeom>
                    <a:noFill/>
                    <a:ln w="9525">
                      <a:noFill/>
                    </a:ln>
                  </pic:spPr>
                </pic:pic>
              </a:graphicData>
            </a:graphic>
          </wp:inline>
        </w:drawing>
      </w:r>
    </w:p>
    <w:p w14:paraId="1B2CDC85">
      <w:pPr>
        <w:pStyle w:val="89"/>
      </w:pPr>
      <w:r>
        <w:rPr>
          <w:rFonts w:hint="eastAsia"/>
        </w:rPr>
        <w:t>图</w:t>
      </w:r>
      <w:r>
        <w:t xml:space="preserve"> 3　</w:t>
      </w:r>
      <w:r>
        <w:rPr>
          <w:rFonts w:hint="eastAsia"/>
        </w:rPr>
        <w:t>受访者常住区域类型</w:t>
      </w:r>
    </w:p>
    <w:p w14:paraId="6CEFCC9B">
      <w:pPr>
        <w:pStyle w:val="44"/>
      </w:pPr>
      <w:r>
        <w:rPr>
          <w:rFonts w:hint="eastAsia"/>
        </w:rPr>
        <w:t>50名受访者中32人有跨境支付经历（64.0%），15人无相关经历（30.0%），3人不确定（6.0%），后续控制信息题目以32名有经历者为分析对象。</w:t>
      </w:r>
    </w:p>
    <w:p w14:paraId="7A080158">
      <w:pPr>
        <w:pStyle w:val="42"/>
      </w:pPr>
      <w:r>
        <w:drawing>
          <wp:inline distT="0" distB="0" distL="114300" distR="114300">
            <wp:extent cx="5270500" cy="3162300"/>
            <wp:effectExtent l="0" t="0" r="0" b="0"/>
            <wp:docPr id="65" name="Picture" descr="跨境支付经历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descr="跨境支付经历分布"/>
                    <pic:cNvPicPr>
                      <a:picLocks noChangeAspect="1" noChangeArrowheads="1"/>
                    </pic:cNvPicPr>
                  </pic:nvPicPr>
                  <pic:blipFill>
                    <a:blip r:embed="rId14"/>
                    <a:stretch>
                      <a:fillRect/>
                    </a:stretch>
                  </pic:blipFill>
                  <pic:spPr>
                    <a:xfrm>
                      <a:off x="0" y="0"/>
                      <a:ext cx="5270500" cy="3162300"/>
                    </a:xfrm>
                    <a:prstGeom prst="rect">
                      <a:avLst/>
                    </a:prstGeom>
                    <a:noFill/>
                    <a:ln w="9525">
                      <a:noFill/>
                    </a:ln>
                  </pic:spPr>
                </pic:pic>
              </a:graphicData>
            </a:graphic>
          </wp:inline>
        </w:drawing>
      </w:r>
    </w:p>
    <w:p w14:paraId="72E653F2">
      <w:pPr>
        <w:pStyle w:val="89"/>
      </w:pPr>
      <w:r>
        <w:rPr>
          <w:rFonts w:hint="eastAsia"/>
        </w:rPr>
        <w:t>图</w:t>
      </w:r>
      <w:r>
        <w:t xml:space="preserve"> 4　</w:t>
      </w:r>
      <w:r>
        <w:rPr>
          <w:rFonts w:hint="eastAsia"/>
        </w:rPr>
        <w:t>跨境支付经历分布</w:t>
      </w:r>
    </w:p>
    <w:bookmarkEnd w:id="23"/>
    <w:p w14:paraId="78738774">
      <w:pPr>
        <w:pStyle w:val="3"/>
        <w:numPr>
          <w:ilvl w:val="1"/>
          <w:numId w:val="1"/>
        </w:numPr>
      </w:pPr>
      <w:bookmarkStart w:id="24" w:name="交易情境与控制信息"/>
      <w:r>
        <w:rPr>
          <w:rFonts w:hint="eastAsia"/>
        </w:rPr>
        <w:t>交易情境与控制信息</w:t>
      </w:r>
    </w:p>
    <w:p w14:paraId="5F1E9BE3">
      <w:pPr>
        <w:pStyle w:val="44"/>
      </w:pPr>
      <w:r>
        <w:rPr>
          <w:rFonts w:hint="eastAsia"/>
        </w:rPr>
        <w:t>有经历受访者可多选接触场景：境外汇款或收款14人（43.8%），留学或培训缴费12人（37.5%），其余场景各6人（18.8%）。</w:t>
      </w:r>
    </w:p>
    <w:p w14:paraId="0A789F42">
      <w:pPr>
        <w:pStyle w:val="42"/>
      </w:pPr>
      <w:r>
        <w:drawing>
          <wp:inline distT="0" distB="0" distL="114300" distR="114300">
            <wp:extent cx="5270500" cy="3162300"/>
            <wp:effectExtent l="0" t="0" r="0" b="0"/>
            <wp:docPr id="69" name="Picture" descr="跨境支付场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descr="跨境支付场景"/>
                    <pic:cNvPicPr>
                      <a:picLocks noChangeAspect="1" noChangeArrowheads="1"/>
                    </pic:cNvPicPr>
                  </pic:nvPicPr>
                  <pic:blipFill>
                    <a:blip r:embed="rId15"/>
                    <a:stretch>
                      <a:fillRect/>
                    </a:stretch>
                  </pic:blipFill>
                  <pic:spPr>
                    <a:xfrm>
                      <a:off x="0" y="0"/>
                      <a:ext cx="5270500" cy="3162300"/>
                    </a:xfrm>
                    <a:prstGeom prst="rect">
                      <a:avLst/>
                    </a:prstGeom>
                    <a:noFill/>
                    <a:ln w="9525">
                      <a:noFill/>
                    </a:ln>
                  </pic:spPr>
                </pic:pic>
              </a:graphicData>
            </a:graphic>
          </wp:inline>
        </w:drawing>
      </w:r>
    </w:p>
    <w:p w14:paraId="09F5AC01">
      <w:pPr>
        <w:pStyle w:val="89"/>
      </w:pPr>
      <w:r>
        <w:rPr>
          <w:rFonts w:hint="eastAsia"/>
        </w:rPr>
        <w:t>图</w:t>
      </w:r>
      <w:r>
        <w:t xml:space="preserve"> 5　</w:t>
      </w:r>
      <w:r>
        <w:rPr>
          <w:rFonts w:hint="eastAsia"/>
        </w:rPr>
        <w:t>跨境支付场景</w:t>
      </w:r>
    </w:p>
    <w:p w14:paraId="6BF30587">
      <w:pPr>
        <w:pStyle w:val="44"/>
      </w:pPr>
      <w:r>
        <w:rPr>
          <w:rFonts w:hint="eastAsia"/>
        </w:rPr>
        <w:t>支付前币种、汇率和手续费说明方面，18人表示每次都能看到（56.3%），7人有时看到，5人记不清，2人没有看到。</w:t>
      </w:r>
    </w:p>
    <w:p w14:paraId="4BC3CB51">
      <w:pPr>
        <w:pStyle w:val="42"/>
      </w:pPr>
      <w:r>
        <w:drawing>
          <wp:inline distT="0" distB="0" distL="114300" distR="114300">
            <wp:extent cx="5270500" cy="3162300"/>
            <wp:effectExtent l="0" t="0" r="0" b="0"/>
            <wp:docPr id="72" name="Picture" descr="支付前费用说明可见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descr="支付前费用说明可见性"/>
                    <pic:cNvPicPr>
                      <a:picLocks noChangeAspect="1" noChangeArrowheads="1"/>
                    </pic:cNvPicPr>
                  </pic:nvPicPr>
                  <pic:blipFill>
                    <a:blip r:embed="rId16"/>
                    <a:stretch>
                      <a:fillRect/>
                    </a:stretch>
                  </pic:blipFill>
                  <pic:spPr>
                    <a:xfrm>
                      <a:off x="0" y="0"/>
                      <a:ext cx="5270500" cy="3162300"/>
                    </a:xfrm>
                    <a:prstGeom prst="rect">
                      <a:avLst/>
                    </a:prstGeom>
                    <a:noFill/>
                    <a:ln w="9525">
                      <a:noFill/>
                    </a:ln>
                  </pic:spPr>
                </pic:pic>
              </a:graphicData>
            </a:graphic>
          </wp:inline>
        </w:drawing>
      </w:r>
    </w:p>
    <w:p w14:paraId="6623819F">
      <w:pPr>
        <w:pStyle w:val="89"/>
      </w:pPr>
      <w:r>
        <w:rPr>
          <w:rFonts w:hint="eastAsia"/>
        </w:rPr>
        <w:t>图</w:t>
      </w:r>
      <w:r>
        <w:t xml:space="preserve"> 6　</w:t>
      </w:r>
      <w:r>
        <w:rPr>
          <w:rFonts w:hint="eastAsia"/>
        </w:rPr>
        <w:t>支付前费用说明可见性</w:t>
      </w:r>
    </w:p>
    <w:p w14:paraId="731B0F84">
      <w:pPr>
        <w:pStyle w:val="44"/>
      </w:pPr>
      <w:r>
        <w:rPr>
          <w:rFonts w:hint="eastAsia"/>
        </w:rPr>
        <w:t>付款前核对收款方、订单和金额的频率分化：每次核对和多数时候核对各12人（37.5%），很少核对5人，从不核对3人。</w:t>
      </w:r>
    </w:p>
    <w:p w14:paraId="33899F0C">
      <w:pPr>
        <w:pStyle w:val="42"/>
      </w:pPr>
      <w:r>
        <w:drawing>
          <wp:inline distT="0" distB="0" distL="114300" distR="114300">
            <wp:extent cx="5270500" cy="3162300"/>
            <wp:effectExtent l="0" t="0" r="0" b="0"/>
            <wp:docPr id="75" name="Picture" descr="付款前核对收款方、订单与金额的频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descr="付款前核对收款方、订单与金额的频率"/>
                    <pic:cNvPicPr>
                      <a:picLocks noChangeAspect="1" noChangeArrowheads="1"/>
                    </pic:cNvPicPr>
                  </pic:nvPicPr>
                  <pic:blipFill>
                    <a:blip r:embed="rId17"/>
                    <a:stretch>
                      <a:fillRect/>
                    </a:stretch>
                  </pic:blipFill>
                  <pic:spPr>
                    <a:xfrm>
                      <a:off x="0" y="0"/>
                      <a:ext cx="5270500" cy="3162300"/>
                    </a:xfrm>
                    <a:prstGeom prst="rect">
                      <a:avLst/>
                    </a:prstGeom>
                    <a:noFill/>
                    <a:ln w="9525">
                      <a:noFill/>
                    </a:ln>
                  </pic:spPr>
                </pic:pic>
              </a:graphicData>
            </a:graphic>
          </wp:inline>
        </w:drawing>
      </w:r>
    </w:p>
    <w:p w14:paraId="3D568710">
      <w:pPr>
        <w:pStyle w:val="89"/>
      </w:pPr>
      <w:r>
        <w:rPr>
          <w:rFonts w:hint="eastAsia"/>
        </w:rPr>
        <w:t>图</w:t>
      </w:r>
      <w:r>
        <w:t xml:space="preserve"> 7　</w:t>
      </w:r>
      <w:r>
        <w:rPr>
          <w:rFonts w:hint="eastAsia"/>
        </w:rPr>
        <w:t>付款前核对收款方、订单与金额的频率</w:t>
      </w:r>
    </w:p>
    <w:p w14:paraId="05EDA4DC">
      <w:pPr>
        <w:pStyle w:val="44"/>
      </w:pPr>
      <w:r>
        <w:rPr>
          <w:rFonts w:hint="eastAsia"/>
        </w:rPr>
        <w:t>支付凭证查找方面，17人能找到主要凭证（53.1%），8人未尝试查找，6人只能找到部分，1人无法找到，提示平台应改善记录入口。</w:t>
      </w:r>
    </w:p>
    <w:p w14:paraId="71333E65">
      <w:pPr>
        <w:pStyle w:val="42"/>
      </w:pPr>
      <w:r>
        <w:drawing>
          <wp:inline distT="0" distB="0" distL="114300" distR="114300">
            <wp:extent cx="5270500" cy="3162300"/>
            <wp:effectExtent l="0" t="0" r="0" b="0"/>
            <wp:docPr id="78" name="Picture" descr="主要支付凭证查找情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descr="主要支付凭证查找情况"/>
                    <pic:cNvPicPr>
                      <a:picLocks noChangeAspect="1" noChangeArrowheads="1"/>
                    </pic:cNvPicPr>
                  </pic:nvPicPr>
                  <pic:blipFill>
                    <a:blip r:embed="rId18"/>
                    <a:stretch>
                      <a:fillRect/>
                    </a:stretch>
                  </pic:blipFill>
                  <pic:spPr>
                    <a:xfrm>
                      <a:off x="0" y="0"/>
                      <a:ext cx="5270500" cy="3162300"/>
                    </a:xfrm>
                    <a:prstGeom prst="rect">
                      <a:avLst/>
                    </a:prstGeom>
                    <a:noFill/>
                    <a:ln w="9525">
                      <a:noFill/>
                    </a:ln>
                  </pic:spPr>
                </pic:pic>
              </a:graphicData>
            </a:graphic>
          </wp:inline>
        </w:drawing>
      </w:r>
    </w:p>
    <w:p w14:paraId="0688CDA0">
      <w:pPr>
        <w:pStyle w:val="89"/>
      </w:pPr>
      <w:r>
        <w:rPr>
          <w:rFonts w:hint="eastAsia"/>
        </w:rPr>
        <w:t>图</w:t>
      </w:r>
      <w:r>
        <w:t xml:space="preserve"> 8　</w:t>
      </w:r>
      <w:r>
        <w:rPr>
          <w:rFonts w:hint="eastAsia"/>
        </w:rPr>
        <w:t>主要支付凭证查找情况</w:t>
      </w:r>
    </w:p>
    <w:bookmarkEnd w:id="24"/>
    <w:p w14:paraId="7B1549F4">
      <w:pPr>
        <w:pStyle w:val="3"/>
        <w:numPr>
          <w:ilvl w:val="1"/>
          <w:numId w:val="1"/>
        </w:numPr>
      </w:pPr>
      <w:bookmarkStart w:id="25" w:name="调查指标与结果结构"/>
      <w:r>
        <w:rPr>
          <w:rFonts w:hint="eastAsia"/>
        </w:rPr>
        <w:t>调查指标与结果结构</w:t>
      </w:r>
    </w:p>
    <w:p w14:paraId="46C25F24">
      <w:pPr>
        <w:pStyle w:val="44"/>
      </w:pPr>
      <w:r>
        <w:rPr>
          <w:rFonts w:hint="eastAsia"/>
        </w:rPr>
        <w:t>下表列出本次调查使用的指标、审计含义与统计口径。</w:t>
      </w:r>
    </w:p>
    <w:p w14:paraId="5A541E58">
      <w:pPr>
        <w:pStyle w:val="44"/>
      </w:pPr>
      <w:r>
        <w:rPr>
          <w:rFonts w:hint="eastAsia"/>
        </w:rPr>
        <w:t>调查指标与审计含义</w:t>
      </w:r>
    </w:p>
    <w:tbl>
      <w:tblPr>
        <w:tblStyle w:val="24"/>
        <w:tblW w:w="5000" w:type="pct"/>
        <w:jc w:val="center"/>
        <w:tblBorders>
          <w:top w:val="single" w:color="auto" w:sz="6" w:space="0"/>
          <w:left w:val="none" w:color="auto" w:sz="0" w:space="0"/>
          <w:bottom w:val="single" w:color="auto" w:sz="6"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31"/>
        <w:gridCol w:w="2131"/>
        <w:gridCol w:w="2131"/>
        <w:gridCol w:w="2131"/>
      </w:tblGrid>
      <w:tr w14:paraId="423ADC0E">
        <w:trPr>
          <w:tblHeader/>
          <w:jc w:val="center"/>
        </w:trPr>
        <w:tc>
          <w:tcPr>
            <w:tcBorders>
              <w:bottom w:val="single" w:color="auto" w:sz="6" w:space="0"/>
            </w:tcBorders>
          </w:tcPr>
          <w:p w14:paraId="6398CABA">
            <w:pPr>
              <w:jc w:val="center"/>
            </w:pPr>
            <w:r>
              <w:rPr>
                <w:rFonts w:hint="eastAsia"/>
              </w:rPr>
              <w:t>调查模块</w:t>
            </w:r>
          </w:p>
        </w:tc>
        <w:tc>
          <w:tcPr>
            <w:tcBorders>
              <w:bottom w:val="single" w:color="auto" w:sz="6" w:space="0"/>
            </w:tcBorders>
          </w:tcPr>
          <w:p w14:paraId="7796B0AC">
            <w:pPr>
              <w:jc w:val="center"/>
            </w:pPr>
            <w:r>
              <w:rPr>
                <w:rFonts w:hint="eastAsia"/>
              </w:rPr>
              <w:t>可观察指标</w:t>
            </w:r>
          </w:p>
        </w:tc>
        <w:tc>
          <w:tcPr>
            <w:tcBorders>
              <w:bottom w:val="single" w:color="auto" w:sz="6" w:space="0"/>
            </w:tcBorders>
          </w:tcPr>
          <w:p w14:paraId="530149B3">
            <w:pPr>
              <w:jc w:val="center"/>
            </w:pPr>
            <w:r>
              <w:rPr>
                <w:rFonts w:hint="eastAsia"/>
              </w:rPr>
              <w:t>对应控制目标</w:t>
            </w:r>
          </w:p>
        </w:tc>
        <w:tc>
          <w:tcPr>
            <w:tcBorders>
              <w:bottom w:val="single" w:color="auto" w:sz="6" w:space="0"/>
            </w:tcBorders>
          </w:tcPr>
          <w:p w14:paraId="5B6FC0F0">
            <w:pPr>
              <w:jc w:val="center"/>
            </w:pPr>
            <w:r>
              <w:rPr>
                <w:rFonts w:hint="eastAsia"/>
              </w:rPr>
              <w:t>结果填写要求</w:t>
            </w:r>
          </w:p>
        </w:tc>
      </w:tr>
      <w:tr w14:paraId="7ABFCCB0">
        <w:trPr>
          <w:jc w:val="center"/>
        </w:trPr>
        <w:tc>
          <w:p w14:paraId="605B4D11">
            <w:pPr>
              <w:jc w:val="center"/>
            </w:pPr>
            <w:r>
              <w:rPr>
                <w:rFonts w:hint="eastAsia"/>
              </w:rPr>
              <w:t>使用经历</w:t>
            </w:r>
          </w:p>
        </w:tc>
        <w:tc>
          <w:p w14:paraId="7DA1B9A3">
            <w:pPr>
              <w:jc w:val="center"/>
            </w:pPr>
            <w:r>
              <w:rPr>
                <w:rFonts w:hint="eastAsia"/>
              </w:rPr>
              <w:t>是否有跨境支付经历、最近使用场景</w:t>
            </w:r>
          </w:p>
        </w:tc>
        <w:tc>
          <w:p w14:paraId="1FF18352">
            <w:pPr>
              <w:jc w:val="center"/>
            </w:pPr>
            <w:r>
              <w:rPr>
                <w:rFonts w:hint="eastAsia"/>
              </w:rPr>
              <w:t>了解业务流程与风险暴露</w:t>
            </w:r>
          </w:p>
        </w:tc>
        <w:tc>
          <w:p w14:paraId="79C77101">
            <w:pPr>
              <w:jc w:val="center"/>
            </w:pPr>
            <w:r>
              <w:rPr>
                <w:rFonts w:hint="eastAsia"/>
              </w:rPr>
              <w:t>以实际有效回答数为分母</w:t>
            </w:r>
          </w:p>
        </w:tc>
      </w:tr>
      <w:tr w14:paraId="18DCBC8D">
        <w:trPr>
          <w:jc w:val="center"/>
        </w:trPr>
        <w:tc>
          <w:p w14:paraId="11200943">
            <w:pPr>
              <w:jc w:val="center"/>
            </w:pPr>
            <w:r>
              <w:rPr>
                <w:rFonts w:hint="eastAsia"/>
              </w:rPr>
              <w:t>身份授权</w:t>
            </w:r>
          </w:p>
        </w:tc>
        <w:tc>
          <w:p w14:paraId="64EF2F50">
            <w:pPr>
              <w:jc w:val="center"/>
            </w:pPr>
            <w:r>
              <w:rPr>
                <w:rFonts w:hint="eastAsia"/>
              </w:rPr>
              <w:t>登录保护、二次验证、收款方核对</w:t>
            </w:r>
          </w:p>
        </w:tc>
        <w:tc>
          <w:p w14:paraId="02881F73">
            <w:pPr>
              <w:jc w:val="center"/>
            </w:pPr>
            <w:r>
              <w:rPr>
                <w:rFonts w:hint="eastAsia"/>
              </w:rPr>
              <w:t>交易真实性与授权控制</w:t>
            </w:r>
          </w:p>
        </w:tc>
        <w:tc>
          <w:p w14:paraId="29AC54C2">
            <w:pPr>
              <w:jc w:val="center"/>
            </w:pPr>
            <w:r>
              <w:rPr>
                <w:rFonts w:hint="eastAsia"/>
              </w:rPr>
              <w:t>区分未遇到和未使用</w:t>
            </w:r>
          </w:p>
        </w:tc>
      </w:tr>
      <w:tr w14:paraId="58B3D52E">
        <w:trPr>
          <w:jc w:val="center"/>
        </w:trPr>
        <w:tc>
          <w:p w14:paraId="5A4ED602">
            <w:pPr>
              <w:jc w:val="center"/>
            </w:pPr>
            <w:r>
              <w:rPr>
                <w:rFonts w:hint="eastAsia"/>
              </w:rPr>
              <w:t>费用说明</w:t>
            </w:r>
          </w:p>
        </w:tc>
        <w:tc>
          <w:p w14:paraId="6F07F7BA">
            <w:pPr>
              <w:jc w:val="center"/>
            </w:pPr>
            <w:r>
              <w:rPr>
                <w:rFonts w:hint="eastAsia"/>
              </w:rPr>
              <w:t>汇率、手续费、币种提示是否易懂</w:t>
            </w:r>
          </w:p>
        </w:tc>
        <w:tc>
          <w:p w14:paraId="370A04CE">
            <w:pPr>
              <w:jc w:val="center"/>
            </w:pPr>
            <w:r>
              <w:rPr>
                <w:rFonts w:hint="eastAsia"/>
              </w:rPr>
              <w:t>信息沟通与完整性</w:t>
            </w:r>
          </w:p>
        </w:tc>
        <w:tc>
          <w:p w14:paraId="276823CE">
            <w:pPr>
              <w:jc w:val="center"/>
            </w:pPr>
            <w:r>
              <w:rPr>
                <w:rFonts w:hint="eastAsia"/>
              </w:rPr>
              <w:t>不能用满意度替代理解度</w:t>
            </w:r>
          </w:p>
        </w:tc>
      </w:tr>
      <w:tr w14:paraId="5B7927CB">
        <w:trPr>
          <w:jc w:val="center"/>
        </w:trPr>
        <w:tc>
          <w:p w14:paraId="0FDF08D0">
            <w:pPr>
              <w:jc w:val="center"/>
            </w:pPr>
            <w:r>
              <w:rPr>
                <w:rFonts w:hint="eastAsia"/>
              </w:rPr>
              <w:t>异常处理</w:t>
            </w:r>
          </w:p>
        </w:tc>
        <w:tc>
          <w:p w14:paraId="199948C2">
            <w:pPr>
              <w:jc w:val="center"/>
            </w:pPr>
            <w:r>
              <w:rPr>
                <w:rFonts w:hint="eastAsia"/>
              </w:rPr>
              <w:t>风险提示、重复扣款、客服入口</w:t>
            </w:r>
          </w:p>
        </w:tc>
        <w:tc>
          <w:p w14:paraId="2B3FFA5C">
            <w:pPr>
              <w:jc w:val="center"/>
            </w:pPr>
            <w:r>
              <w:rPr>
                <w:rFonts w:hint="eastAsia"/>
              </w:rPr>
              <w:t>异常识别与纠正控制</w:t>
            </w:r>
          </w:p>
        </w:tc>
        <w:tc>
          <w:p w14:paraId="4BB4693D">
            <w:pPr>
              <w:jc w:val="center"/>
            </w:pPr>
            <w:r>
              <w:rPr>
                <w:rFonts w:hint="eastAsia"/>
              </w:rPr>
              <w:t>记录实际经历和未经历</w:t>
            </w:r>
          </w:p>
        </w:tc>
      </w:tr>
      <w:tr w14:paraId="65E58FAC">
        <w:trPr>
          <w:jc w:val="center"/>
        </w:trPr>
        <w:tc>
          <w:p w14:paraId="53E7F5ED">
            <w:pPr>
              <w:jc w:val="center"/>
            </w:pPr>
            <w:r>
              <w:rPr>
                <w:rFonts w:hint="eastAsia"/>
              </w:rPr>
              <w:t>凭证留存</w:t>
            </w:r>
          </w:p>
        </w:tc>
        <w:tc>
          <w:p w14:paraId="74E0EF67">
            <w:pPr>
              <w:jc w:val="center"/>
            </w:pPr>
            <w:r>
              <w:rPr>
                <w:rFonts w:hint="eastAsia"/>
              </w:rPr>
              <w:t>订单、账单、退款通知和沟通记录</w:t>
            </w:r>
          </w:p>
        </w:tc>
        <w:tc>
          <w:p w14:paraId="59C2B92E">
            <w:pPr>
              <w:jc w:val="center"/>
            </w:pPr>
            <w:r>
              <w:rPr>
                <w:rFonts w:hint="eastAsia"/>
              </w:rPr>
              <w:t>审计轨迹与可追溯性</w:t>
            </w:r>
          </w:p>
        </w:tc>
        <w:tc>
          <w:p w14:paraId="76862ACE">
            <w:pPr>
              <w:jc w:val="center"/>
            </w:pPr>
            <w:r>
              <w:rPr>
                <w:rFonts w:hint="eastAsia"/>
              </w:rPr>
              <w:t>只统计凭证类型，不收集敏感内容</w:t>
            </w:r>
          </w:p>
        </w:tc>
      </w:tr>
      <w:tr w14:paraId="267021DA">
        <w:trPr>
          <w:jc w:val="center"/>
        </w:trPr>
        <w:tc>
          <w:p w14:paraId="154BED1D">
            <w:pPr>
              <w:jc w:val="center"/>
            </w:pPr>
            <w:r>
              <w:rPr>
                <w:rFonts w:hint="eastAsia"/>
              </w:rPr>
              <w:t>争议处理</w:t>
            </w:r>
          </w:p>
        </w:tc>
        <w:tc>
          <w:p w14:paraId="1366CA40">
            <w:pPr>
              <w:jc w:val="center"/>
            </w:pPr>
            <w:r>
              <w:rPr>
                <w:rFonts w:hint="eastAsia"/>
              </w:rPr>
              <w:t>联系对象、材料要求、处理结果感受</w:t>
            </w:r>
          </w:p>
        </w:tc>
        <w:tc>
          <w:p w14:paraId="1F4A35DF">
            <w:pPr>
              <w:jc w:val="center"/>
            </w:pPr>
            <w:r>
              <w:rPr>
                <w:rFonts w:hint="eastAsia"/>
              </w:rPr>
              <w:t>责任边界与监督活动</w:t>
            </w:r>
          </w:p>
        </w:tc>
        <w:tc>
          <w:p w14:paraId="72BD2E91">
            <w:pPr>
              <w:jc w:val="center"/>
            </w:pPr>
            <w:r>
              <w:rPr>
                <w:rFonts w:hint="eastAsia"/>
              </w:rPr>
              <w:t>说明回答属于主观体验</w:t>
            </w:r>
          </w:p>
        </w:tc>
      </w:tr>
    </w:tbl>
    <w:bookmarkEnd w:id="25"/>
    <w:p w14:paraId="47A4EDA8">
      <w:pPr>
        <w:pStyle w:val="3"/>
        <w:numPr>
          <w:ilvl w:val="1"/>
          <w:numId w:val="1"/>
        </w:numPr>
      </w:pPr>
      <w:bookmarkStart w:id="26" w:name="结果解释的审计化表达"/>
      <w:r>
        <w:rPr>
          <w:rFonts w:hint="eastAsia"/>
        </w:rPr>
        <w:t>结果解释的审计化表达</w:t>
      </w:r>
    </w:p>
    <w:p w14:paraId="1C75BA44">
      <w:pPr>
        <w:pStyle w:val="44"/>
      </w:pPr>
      <w:r>
        <w:rPr>
          <w:rFonts w:hint="eastAsia"/>
        </w:rPr>
        <w:t>问卷结果采用“在本次有效回答中，选择某项的受访者占比为……”的句式并给出有效回答数；回答人数少的题目应提示样本基础较弱。</w:t>
      </w:r>
    </w:p>
    <w:bookmarkEnd w:id="21"/>
    <w:bookmarkEnd w:id="26"/>
    <w:p w14:paraId="699A206E">
      <w:pPr>
        <w:pStyle w:val="2"/>
        <w:numPr>
          <w:ilvl w:val="0"/>
          <w:numId w:val="1"/>
        </w:numPr>
      </w:pPr>
      <w:bookmarkStart w:id="27" w:name="审计视角下的改进建议"/>
      <w:r>
        <w:rPr>
          <w:rFonts w:hint="eastAsia"/>
        </w:rPr>
        <w:t>审计视角下的改进建议</w:t>
      </w:r>
    </w:p>
    <w:p w14:paraId="556AE6F8">
      <w:pPr>
        <w:pStyle w:val="3"/>
        <w:numPr>
          <w:ilvl w:val="1"/>
          <w:numId w:val="1"/>
        </w:numPr>
      </w:pPr>
      <w:bookmarkStart w:id="28" w:name="改善支付前信息沟通"/>
      <w:r>
        <w:rPr>
          <w:rFonts w:hint="eastAsia"/>
        </w:rPr>
        <w:t>改善支付前信息沟通</w:t>
      </w:r>
    </w:p>
    <w:p w14:paraId="33B65BF1">
      <w:pPr>
        <w:pStyle w:val="44"/>
      </w:pPr>
      <w:r>
        <w:rPr>
          <w:rFonts w:hint="eastAsia"/>
        </w:rPr>
        <w:t>支付页面应把收款方、币种、汇率来源、手续费、退款条件和争议入口放在用户能够连续阅读的位置，关键规则在订单确认和支付成功后继续可查。</w:t>
      </w:r>
    </w:p>
    <w:bookmarkEnd w:id="28"/>
    <w:p w14:paraId="731D77A8">
      <w:pPr>
        <w:pStyle w:val="3"/>
        <w:numPr>
          <w:ilvl w:val="1"/>
          <w:numId w:val="1"/>
        </w:numPr>
      </w:pPr>
      <w:bookmarkStart w:id="29" w:name="强化身份认证和异常提醒"/>
      <w:r>
        <w:rPr>
          <w:rFonts w:hint="eastAsia"/>
        </w:rPr>
        <w:t>强化身份认证和异常提醒</w:t>
      </w:r>
    </w:p>
    <w:p w14:paraId="15AF18CA">
      <w:pPr>
        <w:pStyle w:val="44"/>
      </w:pPr>
      <w:r>
        <w:rPr>
          <w:rFonts w:hint="eastAsia"/>
        </w:rPr>
        <w:t>支付机构应根据交易对象、设备、地点和金额变化等风险信号设置适度验证；异常提醒应说明发生了什么、可采取的措施和官方联系入口。</w:t>
      </w:r>
    </w:p>
    <w:bookmarkEnd w:id="29"/>
    <w:p w14:paraId="16521256">
      <w:pPr>
        <w:pStyle w:val="3"/>
        <w:numPr>
          <w:ilvl w:val="1"/>
          <w:numId w:val="1"/>
        </w:numPr>
      </w:pPr>
      <w:bookmarkStart w:id="30" w:name="完善交易记录和审计轨迹"/>
      <w:r>
        <w:rPr>
          <w:rFonts w:hint="eastAsia"/>
        </w:rPr>
        <w:t>完善交易记录和审计轨迹</w:t>
      </w:r>
    </w:p>
    <w:p w14:paraId="7BE840CD">
      <w:pPr>
        <w:pStyle w:val="44"/>
      </w:pPr>
      <w:r>
        <w:rPr>
          <w:rFonts w:hint="eastAsia"/>
        </w:rPr>
        <w:t>跨境交易记录应保持订单编号、付款时间、币种、汇率、退款状态和客服工单之间的关联；企业用户还需把订单、物流、发票等材料按交易链条归档。</w:t>
      </w:r>
    </w:p>
    <w:bookmarkEnd w:id="30"/>
    <w:p w14:paraId="0F21B6B6">
      <w:pPr>
        <w:pStyle w:val="3"/>
        <w:numPr>
          <w:ilvl w:val="1"/>
          <w:numId w:val="1"/>
        </w:numPr>
      </w:pPr>
      <w:bookmarkStart w:id="31" w:name="明确平台与商户的处理边界"/>
      <w:r>
        <w:rPr>
          <w:rFonts w:hint="eastAsia"/>
        </w:rPr>
        <w:t>明确平台与商户的处理边界</w:t>
      </w:r>
    </w:p>
    <w:p w14:paraId="45A22548">
      <w:pPr>
        <w:pStyle w:val="44"/>
      </w:pPr>
      <w:r>
        <w:rPr>
          <w:rFonts w:hint="eastAsia"/>
        </w:rPr>
        <w:t>支付失败、商品未履约、重复扣款和退款延迟不属于同一种问题，平台与商户应明确各自负责的事项和查询反馈方式，跨机构转介时保留统一工单编号。</w:t>
      </w:r>
    </w:p>
    <w:bookmarkEnd w:id="31"/>
    <w:p w14:paraId="5800652E">
      <w:pPr>
        <w:pStyle w:val="3"/>
        <w:numPr>
          <w:ilvl w:val="1"/>
          <w:numId w:val="1"/>
        </w:numPr>
      </w:pPr>
      <w:bookmarkStart w:id="32" w:name="建立适合学生调查的证据链"/>
      <w:r>
        <w:rPr>
          <w:rFonts w:hint="eastAsia"/>
        </w:rPr>
        <w:t>建立适合学生调查的证据链</w:t>
      </w:r>
    </w:p>
    <w:p w14:paraId="6389E510">
      <w:pPr>
        <w:pStyle w:val="44"/>
      </w:pPr>
      <w:r>
        <w:rPr>
          <w:rFonts w:hint="eastAsia"/>
        </w:rPr>
        <w:t>学生研究的证据链可由问卷导出文件、编码表、清洗日志、访谈匿名笔记和分析脚本组成，每个表格数字都能回到某一字段和清洗规则。</w:t>
      </w:r>
    </w:p>
    <w:bookmarkEnd w:id="27"/>
    <w:bookmarkEnd w:id="32"/>
    <w:p w14:paraId="73F1826C">
      <w:pPr>
        <w:pStyle w:val="2"/>
        <w:numPr>
          <w:ilvl w:val="0"/>
          <w:numId w:val="1"/>
        </w:numPr>
      </w:pPr>
      <w:bookmarkStart w:id="33" w:name="结论与研究局限"/>
      <w:r>
        <w:rPr>
          <w:rFonts w:hint="eastAsia"/>
        </w:rPr>
        <w:t>结论与研究局限</w:t>
      </w:r>
    </w:p>
    <w:p w14:paraId="0AAD7B6D">
      <w:pPr>
        <w:pStyle w:val="3"/>
        <w:numPr>
          <w:ilvl w:val="1"/>
          <w:numId w:val="1"/>
        </w:numPr>
      </w:pPr>
      <w:bookmarkStart w:id="34" w:name="研究结论"/>
      <w:r>
        <w:rPr>
          <w:rFonts w:hint="eastAsia"/>
        </w:rPr>
        <w:t>研究结论</w:t>
      </w:r>
    </w:p>
    <w:p w14:paraId="4D9474AD">
      <w:pPr>
        <w:pStyle w:val="44"/>
      </w:pPr>
      <w:r>
        <w:rPr>
          <w:rFonts w:hint="eastAsia"/>
        </w:rPr>
        <w:t>移动互联网使跨境支付从专业金融活动转化为普通居民可接触的数字服务，审计学生应把宏观资本流动转换为可观察的业务流程和证据留痕，用内部控制框架解释风险点。</w:t>
      </w:r>
    </w:p>
    <w:p w14:paraId="6BA67938">
      <w:pPr>
        <w:pStyle w:val="44"/>
      </w:pPr>
      <w:r>
        <w:rPr>
          <w:rFonts w:hint="eastAsia"/>
        </w:rPr>
        <w:t>本文的样本数量、各项比例和图表均以50份匿名问卷记录为依据，结论限定于本次样本，并对无法由问卷验证的后台控制保持谨慎。</w:t>
      </w:r>
    </w:p>
    <w:bookmarkEnd w:id="34"/>
    <w:p w14:paraId="6E9A1D8D">
      <w:pPr>
        <w:pStyle w:val="3"/>
        <w:numPr>
          <w:ilvl w:val="1"/>
          <w:numId w:val="1"/>
        </w:numPr>
      </w:pPr>
      <w:bookmarkStart w:id="35" w:name="研究局限"/>
      <w:r>
        <w:rPr>
          <w:rFonts w:hint="eastAsia"/>
        </w:rPr>
        <w:t>研究局限</w:t>
      </w:r>
    </w:p>
    <w:p w14:paraId="3A0885B7">
      <w:pPr>
        <w:pStyle w:val="44"/>
      </w:pPr>
      <w:r>
        <w:rPr>
          <w:rFonts w:hint="eastAsia"/>
        </w:rPr>
        <w:t>样本依赖可接触渠道，跨境支付低频且有记忆偏差；问卷测量的是自我报告行为，不能检验平台后台控制是否真实运行。</w:t>
      </w:r>
    </w:p>
    <w:bookmarkEnd w:id="35"/>
    <w:p w14:paraId="19E315E8">
      <w:pPr>
        <w:pStyle w:val="3"/>
        <w:numPr>
          <w:ilvl w:val="1"/>
          <w:numId w:val="1"/>
        </w:numPr>
      </w:pPr>
      <w:bookmarkStart w:id="36" w:name="调查资料说明"/>
      <w:r>
        <w:rPr>
          <w:rFonts w:hint="eastAsia"/>
        </w:rPr>
        <w:t>调查资料说明</w:t>
      </w:r>
    </w:p>
    <w:p w14:paraId="41B59080">
      <w:pPr>
        <w:pStyle w:val="44"/>
      </w:pPr>
      <w:r>
        <w:rPr>
          <w:rFonts w:hint="eastAsia"/>
        </w:rPr>
        <w:t>论文应把问卷来源、调查群体、有效样本标准和研究局限写清楚，正文、表格和附录按同一数据口径编制。</w:t>
      </w:r>
    </w:p>
    <w:bookmarkEnd w:id="33"/>
    <w:bookmarkEnd w:id="36"/>
    <w:p w14:paraId="08DAC440">
      <w:pPr>
        <w:pStyle w:val="2"/>
        <w:numPr>
          <w:ilvl w:val="0"/>
          <w:numId w:val="1"/>
        </w:numPr>
      </w:pPr>
      <w:bookmarkStart w:id="37" w:name="参考文献"/>
      <w:r>
        <w:rPr>
          <w:rFonts w:hint="eastAsia"/>
        </w:rPr>
        <w:t>参考文献</w:t>
      </w:r>
    </w:p>
    <w:p w14:paraId="54DE5125">
      <w:pPr>
        <w:pStyle w:val="88"/>
      </w:pPr>
      <w:bookmarkStart w:id="38" w:name="Ref1"/>
      <w:bookmarkEnd w:id="38"/>
      <w:r>
        <w:t>[1] Committee on Payments and Market Infrastructures. Enhancing Cross-border Payments: Building Blocks of a Global Roadmap[R]. Basel: Bank for International Settlements, 2020. https://www.bis.org/cpmi/publ/d193.htm.</w:t>
      </w:r>
    </w:p>
    <w:p w14:paraId="52CEC473">
      <w:pPr>
        <w:pStyle w:val="88"/>
      </w:pPr>
      <w:bookmarkStart w:id="39" w:name="Ref2"/>
      <w:bookmarkEnd w:id="39"/>
      <w:r>
        <w:t>[2] Financial Stability Board. Enhancing Cross-border Payments: Stage 3 Roadmap[R]. Basel: Financial Stability Board, 2020. https://www.fsb.org/2020/10/enhancing-cross-border-payments-stage-3-roadmap/.</w:t>
      </w:r>
    </w:p>
    <w:p w14:paraId="7076939B">
      <w:pPr>
        <w:pStyle w:val="88"/>
      </w:pPr>
      <w:bookmarkStart w:id="40" w:name="Ref3"/>
      <w:bookmarkEnd w:id="40"/>
      <w:r>
        <w:t>[3] International Auditing and Assurance Standards Board. International Standard on Auditing 315 (Revised 2019): Identifying and Assessing the Risks of Material Misstatement[R]. New York: International Federation of Accountants, 2019. https://www.iaasb.org/publications/isa-315-revised-2019-identifying-and-assessing-risks-material-misstatement.</w:t>
      </w:r>
    </w:p>
    <w:p w14:paraId="2FE0F1D3">
      <w:pPr>
        <w:pStyle w:val="88"/>
      </w:pPr>
      <w:bookmarkStart w:id="41" w:name="Ref4"/>
      <w:bookmarkEnd w:id="41"/>
      <w:r>
        <w:t>[4] International Auditing and Assurance Standards Board. International Standard on Auditing 500: Audit Evidence[R]. New York: International Federation of Accountants, 2009. https://www.iaasb.org/standards-pronouncements.</w:t>
      </w:r>
    </w:p>
    <w:p w14:paraId="1A2AC31A">
      <w:pPr>
        <w:pStyle w:val="88"/>
      </w:pPr>
      <w:bookmarkStart w:id="42" w:name="Ref5"/>
      <w:bookmarkEnd w:id="42"/>
      <w:r>
        <w:t>[5] Committee of Sponsoring Organizations of the Treadway Commission. Internal Control—Integrated Framework: Executive Summary[R]. Durham: COSO, 2013. https://www.coso.org/guidance-on-ic.</w:t>
      </w:r>
    </w:p>
    <w:p w14:paraId="38D44431">
      <w:pPr>
        <w:pStyle w:val="88"/>
      </w:pPr>
      <w:bookmarkStart w:id="43" w:name="Ref6"/>
      <w:bookmarkEnd w:id="43"/>
      <w:r>
        <w:t xml:space="preserve">[6] </w:t>
      </w:r>
      <w:r>
        <w:rPr>
          <w:rFonts w:hint="eastAsia"/>
        </w:rPr>
        <w:t>中国人民银行.</w:t>
      </w:r>
      <w:r>
        <w:t xml:space="preserve"> </w:t>
      </w:r>
      <w:r>
        <w:rPr>
          <w:rFonts w:hint="eastAsia"/>
        </w:rPr>
        <w:t>2024年支付体系运行总体情况[R].</w:t>
      </w:r>
      <w:r>
        <w:t xml:space="preserve"> </w:t>
      </w:r>
      <w:r>
        <w:rPr>
          <w:rFonts w:hint="eastAsia"/>
        </w:rPr>
        <w:t>北京:中国人民银行,2025.</w:t>
      </w:r>
      <w:r>
        <w:t xml:space="preserve"> https://www.pbc.gov.cn/.</w:t>
      </w:r>
    </w:p>
    <w:bookmarkEnd w:id="37"/>
    <w:p w14:paraId="7043DD7E">
      <w:pPr>
        <w:pStyle w:val="2"/>
        <w:numPr>
          <w:ilvl w:val="0"/>
          <w:numId w:val="1"/>
        </w:numPr>
      </w:pPr>
      <w:bookmarkStart w:id="44" w:name="附录"/>
      <w:r>
        <w:rPr>
          <w:rFonts w:hint="eastAsia"/>
        </w:rPr>
        <w:t>附录</w:t>
      </w:r>
    </w:p>
    <w:p w14:paraId="34C9E343">
      <w:pPr>
        <w:pStyle w:val="3"/>
        <w:numPr>
          <w:ilvl w:val="1"/>
          <w:numId w:val="1"/>
        </w:numPr>
      </w:pPr>
      <w:bookmarkStart w:id="45" w:name="附录a调查问卷"/>
      <w:r>
        <w:rPr>
          <w:rFonts w:hint="eastAsia"/>
        </w:rPr>
        <w:t>附录A调查问卷</w:t>
      </w:r>
    </w:p>
    <w:p w14:paraId="24AE3F7C">
      <w:pPr>
        <w:pStyle w:val="44"/>
      </w:pPr>
      <w:r>
        <w:rPr>
          <w:rFonts w:hint="eastAsia"/>
        </w:rPr>
        <w:t>本问卷用于了解居民对移动互联网跨境支付风险和信息留痕的认识。问卷匿名填写，答案仅用于课程论文和社会调查分析，不收集姓名、身份证号、银行卡号、支付密码、验证码、精确住址或订单识别码。填写者可随时退出。</w:t>
      </w:r>
    </w:p>
    <w:p w14:paraId="1DD56ED1">
      <w:pPr>
        <w:pStyle w:val="4"/>
        <w:numPr>
          <w:ilvl w:val="2"/>
          <w:numId w:val="1"/>
        </w:numPr>
      </w:pPr>
      <w:bookmarkStart w:id="46" w:name="筛选题"/>
      <w:r>
        <w:rPr>
          <w:rFonts w:hint="eastAsia"/>
        </w:rPr>
        <w:t>筛选题</w:t>
      </w:r>
    </w:p>
    <w:tbl>
      <w:tblPr>
        <w:tblStyle w:val="24"/>
        <w:tblW w:w="0" w:type="auto"/>
        <w:jc w:val="center"/>
        <w:tblBorders>
          <w:top w:val="single" w:color="auto" w:sz="6" w:space="0"/>
          <w:left w:val="none" w:color="auto" w:sz="0" w:space="0"/>
          <w:bottom w:val="single" w:color="auto" w:sz="6"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36"/>
        <w:gridCol w:w="4206"/>
        <w:gridCol w:w="2106"/>
      </w:tblGrid>
      <w:tr w14:paraId="4079F50F">
        <w:trPr>
          <w:tblHeader/>
          <w:jc w:val="center"/>
        </w:trPr>
        <w:tc>
          <w:tcPr>
            <w:tcBorders>
              <w:bottom w:val="single" w:color="auto" w:sz="6" w:space="0"/>
            </w:tcBorders>
          </w:tcPr>
          <w:p w14:paraId="34EF0806">
            <w:pPr>
              <w:jc w:val="center"/>
            </w:pPr>
            <w:r>
              <w:rPr>
                <w:rFonts w:hint="eastAsia"/>
              </w:rPr>
              <w:t>题号</w:t>
            </w:r>
          </w:p>
        </w:tc>
        <w:tc>
          <w:tcPr>
            <w:tcBorders>
              <w:bottom w:val="single" w:color="auto" w:sz="6" w:space="0"/>
            </w:tcBorders>
          </w:tcPr>
          <w:p w14:paraId="0E663F40">
            <w:pPr>
              <w:jc w:val="center"/>
            </w:pPr>
            <w:r>
              <w:rPr>
                <w:rFonts w:hint="eastAsia"/>
              </w:rPr>
              <w:t>问题</w:t>
            </w:r>
          </w:p>
        </w:tc>
        <w:tc>
          <w:tcPr>
            <w:tcBorders>
              <w:bottom w:val="single" w:color="auto" w:sz="6" w:space="0"/>
            </w:tcBorders>
          </w:tcPr>
          <w:p w14:paraId="1BCCDD7B">
            <w:pPr>
              <w:jc w:val="center"/>
            </w:pPr>
            <w:r>
              <w:rPr>
                <w:rFonts w:hint="eastAsia"/>
              </w:rPr>
              <w:t>选项</w:t>
            </w:r>
          </w:p>
        </w:tc>
      </w:tr>
      <w:tr w14:paraId="12E82EE3">
        <w:trPr>
          <w:jc w:val="center"/>
        </w:trPr>
        <w:tc>
          <w:p w14:paraId="183A0373">
            <w:pPr>
              <w:jc w:val="center"/>
            </w:pPr>
            <w:r>
              <w:t>S1</w:t>
            </w:r>
          </w:p>
        </w:tc>
        <w:tc>
          <w:p w14:paraId="04BDE7A6">
            <w:pPr>
              <w:jc w:val="center"/>
            </w:pPr>
            <w:r>
              <w:rPr>
                <w:rFonts w:hint="eastAsia"/>
              </w:rPr>
              <w:t>您是否年满18周岁？</w:t>
            </w:r>
          </w:p>
        </w:tc>
        <w:tc>
          <w:p w14:paraId="0CBB3EF8">
            <w:pPr>
              <w:jc w:val="center"/>
            </w:pPr>
            <w:r>
              <w:rPr>
                <w:rFonts w:hint="eastAsia"/>
              </w:rPr>
              <w:t>是；否</w:t>
            </w:r>
          </w:p>
        </w:tc>
      </w:tr>
      <w:tr w14:paraId="402608C9">
        <w:trPr>
          <w:jc w:val="center"/>
        </w:trPr>
        <w:tc>
          <w:p w14:paraId="7BAF5AF6">
            <w:pPr>
              <w:jc w:val="center"/>
            </w:pPr>
            <w:r>
              <w:t>S2</w:t>
            </w:r>
          </w:p>
        </w:tc>
        <w:tc>
          <w:p w14:paraId="4B4A177E">
            <w:pPr>
              <w:jc w:val="center"/>
            </w:pPr>
            <w:r>
              <w:rPr>
                <w:rFonts w:hint="eastAsia"/>
              </w:rPr>
              <w:t>您目前是否在调查区域学习、生活或工作？</w:t>
            </w:r>
          </w:p>
        </w:tc>
        <w:tc>
          <w:p w14:paraId="07C4864D">
            <w:pPr>
              <w:jc w:val="center"/>
            </w:pPr>
            <w:r>
              <w:rPr>
                <w:rFonts w:hint="eastAsia"/>
              </w:rPr>
              <w:t>是；否</w:t>
            </w:r>
          </w:p>
        </w:tc>
      </w:tr>
      <w:tr w14:paraId="3CA5F6BA">
        <w:trPr>
          <w:jc w:val="center"/>
        </w:trPr>
        <w:tc>
          <w:p w14:paraId="5F58E4CE">
            <w:pPr>
              <w:jc w:val="center"/>
            </w:pPr>
            <w:r>
              <w:t>S3</w:t>
            </w:r>
          </w:p>
        </w:tc>
        <w:tc>
          <w:p w14:paraId="5FC10A64">
            <w:pPr>
              <w:jc w:val="center"/>
            </w:pPr>
            <w:r>
              <w:rPr>
                <w:rFonts w:hint="eastAsia"/>
              </w:rPr>
              <w:t>您是否使用过移动支付工具？</w:t>
            </w:r>
          </w:p>
        </w:tc>
        <w:tc>
          <w:p w14:paraId="79E19451">
            <w:pPr>
              <w:jc w:val="center"/>
            </w:pPr>
            <w:r>
              <w:rPr>
                <w:rFonts w:hint="eastAsia"/>
              </w:rPr>
              <w:t>使用过；没有使用过</w:t>
            </w:r>
          </w:p>
        </w:tc>
      </w:tr>
      <w:bookmarkEnd w:id="46"/>
    </w:tbl>
    <w:p w14:paraId="6381F979">
      <w:pPr>
        <w:pStyle w:val="4"/>
        <w:numPr>
          <w:ilvl w:val="2"/>
          <w:numId w:val="1"/>
        </w:numPr>
      </w:pPr>
      <w:bookmarkStart w:id="47" w:name="基本情况"/>
      <w:r>
        <w:rPr>
          <w:rFonts w:hint="eastAsia"/>
        </w:rPr>
        <w:t>基本情况</w:t>
      </w:r>
    </w:p>
    <w:tbl>
      <w:tblPr>
        <w:tblStyle w:val="24"/>
        <w:tblW w:w="4950" w:type="pct"/>
        <w:jc w:val="center"/>
        <w:tblBorders>
          <w:top w:val="single" w:color="auto" w:sz="6" w:space="0"/>
          <w:left w:val="none" w:color="auto" w:sz="0" w:space="0"/>
          <w:bottom w:val="single" w:color="auto" w:sz="6"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12"/>
        <w:gridCol w:w="2812"/>
        <w:gridCol w:w="2812"/>
      </w:tblGrid>
      <w:tr w14:paraId="3E330B10">
        <w:trPr>
          <w:tblHeader/>
          <w:jc w:val="center"/>
        </w:trPr>
        <w:tc>
          <w:tcPr>
            <w:tcBorders>
              <w:bottom w:val="single" w:color="auto" w:sz="6" w:space="0"/>
            </w:tcBorders>
          </w:tcPr>
          <w:p w14:paraId="7BAF5E64">
            <w:pPr>
              <w:jc w:val="center"/>
            </w:pPr>
            <w:r>
              <w:rPr>
                <w:rFonts w:hint="eastAsia"/>
              </w:rPr>
              <w:t>题号</w:t>
            </w:r>
          </w:p>
        </w:tc>
        <w:tc>
          <w:tcPr>
            <w:tcBorders>
              <w:bottom w:val="single" w:color="auto" w:sz="6" w:space="0"/>
            </w:tcBorders>
          </w:tcPr>
          <w:p w14:paraId="31C6FE4D">
            <w:pPr>
              <w:jc w:val="center"/>
            </w:pPr>
            <w:r>
              <w:rPr>
                <w:rFonts w:hint="eastAsia"/>
              </w:rPr>
              <w:t>问题</w:t>
            </w:r>
          </w:p>
        </w:tc>
        <w:tc>
          <w:tcPr>
            <w:tcBorders>
              <w:bottom w:val="single" w:color="auto" w:sz="6" w:space="0"/>
            </w:tcBorders>
          </w:tcPr>
          <w:p w14:paraId="3E4B3779">
            <w:pPr>
              <w:jc w:val="center"/>
            </w:pPr>
            <w:r>
              <w:rPr>
                <w:rFonts w:hint="eastAsia"/>
              </w:rPr>
              <w:t>选项</w:t>
            </w:r>
          </w:p>
        </w:tc>
      </w:tr>
      <w:tr w14:paraId="18EB7171">
        <w:trPr>
          <w:jc w:val="center"/>
        </w:trPr>
        <w:tc>
          <w:p w14:paraId="5A665E19">
            <w:pPr>
              <w:jc w:val="center"/>
            </w:pPr>
            <w:r>
              <w:t>B1</w:t>
            </w:r>
          </w:p>
        </w:tc>
        <w:tc>
          <w:p w14:paraId="79731D13">
            <w:pPr>
              <w:jc w:val="center"/>
            </w:pPr>
            <w:r>
              <w:rPr>
                <w:rFonts w:hint="eastAsia"/>
              </w:rPr>
              <w:t>您的身份是？</w:t>
            </w:r>
          </w:p>
        </w:tc>
        <w:tc>
          <w:p w14:paraId="29D0E4CF">
            <w:pPr>
              <w:jc w:val="center"/>
            </w:pPr>
            <w:r>
              <w:rPr>
                <w:rFonts w:hint="eastAsia"/>
              </w:rPr>
              <w:t>在校学生；企业或个体经营者；机关事业单位人员；其他就业人员；暂未就业；其他</w:t>
            </w:r>
          </w:p>
        </w:tc>
      </w:tr>
      <w:tr w14:paraId="51F1AD27">
        <w:trPr>
          <w:jc w:val="center"/>
        </w:trPr>
        <w:tc>
          <w:p w14:paraId="0451D092">
            <w:pPr>
              <w:jc w:val="center"/>
            </w:pPr>
            <w:r>
              <w:t>B2</w:t>
            </w:r>
          </w:p>
        </w:tc>
        <w:tc>
          <w:p w14:paraId="31D918D4">
            <w:pPr>
              <w:jc w:val="center"/>
            </w:pPr>
            <w:r>
              <w:rPr>
                <w:rFonts w:hint="eastAsia"/>
              </w:rPr>
              <w:t>您的年龄段是？</w:t>
            </w:r>
          </w:p>
        </w:tc>
        <w:tc>
          <w:p w14:paraId="7F733F07">
            <w:pPr>
              <w:jc w:val="center"/>
            </w:pPr>
            <w:r>
              <w:rPr>
                <w:rFonts w:hint="eastAsia"/>
              </w:rPr>
              <w:t>18—24岁；25—34岁；35—44岁；45—54岁；55岁及以上</w:t>
            </w:r>
          </w:p>
        </w:tc>
      </w:tr>
      <w:tr w14:paraId="13D0D201">
        <w:trPr>
          <w:jc w:val="center"/>
        </w:trPr>
        <w:tc>
          <w:p w14:paraId="17465045">
            <w:pPr>
              <w:jc w:val="center"/>
            </w:pPr>
            <w:r>
              <w:t>B3</w:t>
            </w:r>
          </w:p>
        </w:tc>
        <w:tc>
          <w:p w14:paraId="6F04EB41">
            <w:pPr>
              <w:jc w:val="center"/>
            </w:pPr>
            <w:r>
              <w:rPr>
                <w:rFonts w:hint="eastAsia"/>
              </w:rPr>
              <w:t>您的常住区域类型是？</w:t>
            </w:r>
          </w:p>
        </w:tc>
        <w:tc>
          <w:p w14:paraId="325FAA0D">
            <w:pPr>
              <w:jc w:val="center"/>
            </w:pPr>
            <w:r>
              <w:rPr>
                <w:rFonts w:hint="eastAsia"/>
              </w:rPr>
              <w:t>中心城区；县城；乡镇或农村</w:t>
            </w:r>
          </w:p>
        </w:tc>
      </w:tr>
      <w:tr w14:paraId="40C48978">
        <w:trPr>
          <w:jc w:val="center"/>
        </w:trPr>
        <w:tc>
          <w:p w14:paraId="2AB716E9">
            <w:pPr>
              <w:jc w:val="center"/>
            </w:pPr>
            <w:r>
              <w:t>B4</w:t>
            </w:r>
          </w:p>
        </w:tc>
        <w:tc>
          <w:p w14:paraId="08781D33">
            <w:pPr>
              <w:jc w:val="center"/>
            </w:pPr>
            <w:r>
              <w:rPr>
                <w:rFonts w:hint="eastAsia"/>
              </w:rPr>
              <w:t>您是否有跨境支付经历？</w:t>
            </w:r>
          </w:p>
        </w:tc>
        <w:tc>
          <w:p w14:paraId="462030C0">
            <w:pPr>
              <w:jc w:val="center"/>
            </w:pPr>
            <w:r>
              <w:rPr>
                <w:rFonts w:hint="eastAsia"/>
              </w:rPr>
              <w:t>有；没有；不确定是否属于跨境支付</w:t>
            </w:r>
          </w:p>
        </w:tc>
      </w:tr>
      <w:bookmarkEnd w:id="47"/>
    </w:tbl>
    <w:p w14:paraId="65CEF852">
      <w:pPr>
        <w:pStyle w:val="4"/>
        <w:numPr>
          <w:ilvl w:val="2"/>
          <w:numId w:val="1"/>
        </w:numPr>
      </w:pPr>
      <w:bookmarkStart w:id="48" w:name="跨境支付经历"/>
      <w:r>
        <w:rPr>
          <w:rFonts w:hint="eastAsia"/>
        </w:rPr>
        <w:t>跨境支付经历</w:t>
      </w:r>
    </w:p>
    <w:tbl>
      <w:tblPr>
        <w:tblStyle w:val="24"/>
        <w:tblW w:w="4950" w:type="pct"/>
        <w:jc w:val="center"/>
        <w:tblBorders>
          <w:top w:val="single" w:color="auto" w:sz="6" w:space="0"/>
          <w:left w:val="none" w:color="auto" w:sz="0" w:space="0"/>
          <w:bottom w:val="single" w:color="auto" w:sz="6"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12"/>
        <w:gridCol w:w="2812"/>
        <w:gridCol w:w="2812"/>
      </w:tblGrid>
      <w:tr w14:paraId="48BF0E4C">
        <w:trPr>
          <w:tblHeader/>
          <w:jc w:val="center"/>
        </w:trPr>
        <w:tc>
          <w:tcPr>
            <w:tcBorders>
              <w:bottom w:val="single" w:color="auto" w:sz="6" w:space="0"/>
            </w:tcBorders>
          </w:tcPr>
          <w:p w14:paraId="7DE92CD3">
            <w:pPr>
              <w:jc w:val="center"/>
            </w:pPr>
            <w:r>
              <w:rPr>
                <w:rFonts w:hint="eastAsia"/>
              </w:rPr>
              <w:t>题号</w:t>
            </w:r>
          </w:p>
        </w:tc>
        <w:tc>
          <w:tcPr>
            <w:tcBorders>
              <w:bottom w:val="single" w:color="auto" w:sz="6" w:space="0"/>
            </w:tcBorders>
          </w:tcPr>
          <w:p w14:paraId="34D4DB7B">
            <w:pPr>
              <w:jc w:val="center"/>
            </w:pPr>
            <w:r>
              <w:rPr>
                <w:rFonts w:hint="eastAsia"/>
              </w:rPr>
              <w:t>问题</w:t>
            </w:r>
          </w:p>
        </w:tc>
        <w:tc>
          <w:tcPr>
            <w:tcBorders>
              <w:bottom w:val="single" w:color="auto" w:sz="6" w:space="0"/>
            </w:tcBorders>
          </w:tcPr>
          <w:p w14:paraId="26DF1193">
            <w:pPr>
              <w:jc w:val="center"/>
            </w:pPr>
            <w:r>
              <w:rPr>
                <w:rFonts w:hint="eastAsia"/>
              </w:rPr>
              <w:t>选项</w:t>
            </w:r>
          </w:p>
        </w:tc>
      </w:tr>
      <w:tr w14:paraId="62F56BC4">
        <w:trPr>
          <w:jc w:val="center"/>
        </w:trPr>
        <w:tc>
          <w:p w14:paraId="2BA0A46D">
            <w:pPr>
              <w:jc w:val="center"/>
            </w:pPr>
            <w:r>
              <w:t>C1</w:t>
            </w:r>
          </w:p>
        </w:tc>
        <w:tc>
          <w:p w14:paraId="0E1C5549">
            <w:pPr>
              <w:jc w:val="center"/>
            </w:pPr>
            <w:r>
              <w:rPr>
                <w:rFonts w:hint="eastAsia"/>
              </w:rPr>
              <w:t>您接触过哪些跨境支付场景？</w:t>
            </w:r>
          </w:p>
        </w:tc>
        <w:tc>
          <w:p w14:paraId="6313FAAB">
            <w:pPr>
              <w:jc w:val="center"/>
            </w:pPr>
            <w:r>
              <w:rPr>
                <w:rFonts w:hint="eastAsia"/>
              </w:rPr>
              <w:t>跨境网购；出境旅行消费；境外软件或数字内容订阅；留学或培训缴费；境外汇款或收款；跨境电商经营收付款；其他；没有接触过</w:t>
            </w:r>
          </w:p>
        </w:tc>
      </w:tr>
      <w:tr w14:paraId="7F3BDB28">
        <w:trPr>
          <w:jc w:val="center"/>
        </w:trPr>
        <w:tc>
          <w:p w14:paraId="38975F31">
            <w:pPr>
              <w:jc w:val="center"/>
            </w:pPr>
            <w:r>
              <w:t>C2</w:t>
            </w:r>
          </w:p>
        </w:tc>
        <w:tc>
          <w:p w14:paraId="24FDD25F">
            <w:pPr>
              <w:jc w:val="center"/>
            </w:pPr>
            <w:r>
              <w:rPr>
                <w:rFonts w:hint="eastAsia"/>
              </w:rPr>
              <w:t>您通常通过什么设备完成相关操作？</w:t>
            </w:r>
          </w:p>
        </w:tc>
        <w:tc>
          <w:p w14:paraId="18DC4FC3">
            <w:pPr>
              <w:jc w:val="center"/>
            </w:pPr>
            <w:r>
              <w:rPr>
                <w:rFonts w:hint="eastAsia"/>
              </w:rPr>
              <w:t>手机；平板电脑；电脑；他人协助操作；不适用</w:t>
            </w:r>
          </w:p>
        </w:tc>
      </w:tr>
      <w:tr w14:paraId="60E6B576">
        <w:trPr>
          <w:jc w:val="center"/>
        </w:trPr>
        <w:tc>
          <w:p w14:paraId="2F482E0F">
            <w:pPr>
              <w:jc w:val="center"/>
            </w:pPr>
            <w:r>
              <w:t>C3</w:t>
            </w:r>
          </w:p>
        </w:tc>
        <w:tc>
          <w:p w14:paraId="13A74AE8">
            <w:pPr>
              <w:jc w:val="center"/>
            </w:pPr>
            <w:r>
              <w:rPr>
                <w:rFonts w:hint="eastAsia"/>
              </w:rPr>
              <w:t>您是否在支付前看到币种、汇率和手续费说明？</w:t>
            </w:r>
          </w:p>
        </w:tc>
        <w:tc>
          <w:p w14:paraId="019C483B">
            <w:pPr>
              <w:jc w:val="center"/>
            </w:pPr>
            <w:r>
              <w:rPr>
                <w:rFonts w:hint="eastAsia"/>
              </w:rPr>
              <w:t>每次都看到；有时看到；没有看到；记不清；不适用</w:t>
            </w:r>
          </w:p>
        </w:tc>
      </w:tr>
      <w:tr w14:paraId="7DCB1C11">
        <w:trPr>
          <w:jc w:val="center"/>
        </w:trPr>
        <w:tc>
          <w:p w14:paraId="19264E80">
            <w:pPr>
              <w:jc w:val="center"/>
            </w:pPr>
            <w:r>
              <w:t>C4</w:t>
            </w:r>
          </w:p>
        </w:tc>
        <w:tc>
          <w:p w14:paraId="7DA048E9">
            <w:pPr>
              <w:jc w:val="center"/>
            </w:pPr>
            <w:r>
              <w:rPr>
                <w:rFonts w:hint="eastAsia"/>
              </w:rPr>
              <w:t>您是否会核对收款方名称、订单信息和支付金额？</w:t>
            </w:r>
          </w:p>
        </w:tc>
        <w:tc>
          <w:p w14:paraId="75B942C2">
            <w:pPr>
              <w:jc w:val="center"/>
            </w:pPr>
            <w:r>
              <w:rPr>
                <w:rFonts w:hint="eastAsia"/>
              </w:rPr>
              <w:t>每次核对；多数时候核对；很少核对；从不核对；不适用</w:t>
            </w:r>
          </w:p>
        </w:tc>
      </w:tr>
      <w:bookmarkEnd w:id="48"/>
    </w:tbl>
    <w:p w14:paraId="70D7EB7B">
      <w:pPr>
        <w:pStyle w:val="4"/>
        <w:numPr>
          <w:ilvl w:val="2"/>
          <w:numId w:val="1"/>
        </w:numPr>
      </w:pPr>
      <w:bookmarkStart w:id="49" w:name="身份认证与异常处理"/>
      <w:r>
        <w:rPr>
          <w:rFonts w:hint="eastAsia"/>
        </w:rPr>
        <w:t>身份认证与异常处理</w:t>
      </w:r>
    </w:p>
    <w:tbl>
      <w:tblPr>
        <w:tblStyle w:val="24"/>
        <w:tblW w:w="4950" w:type="pct"/>
        <w:jc w:val="center"/>
        <w:tblBorders>
          <w:top w:val="single" w:color="auto" w:sz="6" w:space="0"/>
          <w:left w:val="none" w:color="auto" w:sz="0" w:space="0"/>
          <w:bottom w:val="single" w:color="auto" w:sz="6"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12"/>
        <w:gridCol w:w="2812"/>
        <w:gridCol w:w="2812"/>
      </w:tblGrid>
      <w:tr w14:paraId="30D83EFD">
        <w:trPr>
          <w:tblHeader/>
          <w:jc w:val="center"/>
        </w:trPr>
        <w:tc>
          <w:tcPr>
            <w:tcBorders>
              <w:bottom w:val="single" w:color="auto" w:sz="6" w:space="0"/>
            </w:tcBorders>
          </w:tcPr>
          <w:p w14:paraId="1E35C72E">
            <w:pPr>
              <w:jc w:val="center"/>
            </w:pPr>
            <w:r>
              <w:rPr>
                <w:rFonts w:hint="eastAsia"/>
              </w:rPr>
              <w:t>题号</w:t>
            </w:r>
          </w:p>
        </w:tc>
        <w:tc>
          <w:tcPr>
            <w:tcBorders>
              <w:bottom w:val="single" w:color="auto" w:sz="6" w:space="0"/>
            </w:tcBorders>
          </w:tcPr>
          <w:p w14:paraId="7A48F34C">
            <w:pPr>
              <w:jc w:val="center"/>
            </w:pPr>
            <w:r>
              <w:rPr>
                <w:rFonts w:hint="eastAsia"/>
              </w:rPr>
              <w:t>问题</w:t>
            </w:r>
          </w:p>
        </w:tc>
        <w:tc>
          <w:tcPr>
            <w:tcBorders>
              <w:bottom w:val="single" w:color="auto" w:sz="6" w:space="0"/>
            </w:tcBorders>
          </w:tcPr>
          <w:p w14:paraId="43CC10F1">
            <w:pPr>
              <w:jc w:val="center"/>
            </w:pPr>
            <w:r>
              <w:rPr>
                <w:rFonts w:hint="eastAsia"/>
              </w:rPr>
              <w:t>选项</w:t>
            </w:r>
          </w:p>
        </w:tc>
      </w:tr>
      <w:tr w14:paraId="1623413E">
        <w:trPr>
          <w:jc w:val="center"/>
        </w:trPr>
        <w:tc>
          <w:p w14:paraId="35B611B4">
            <w:pPr>
              <w:jc w:val="center"/>
            </w:pPr>
            <w:r>
              <w:t>D1</w:t>
            </w:r>
          </w:p>
        </w:tc>
        <w:tc>
          <w:p w14:paraId="79498E59">
            <w:pPr>
              <w:jc w:val="center"/>
            </w:pPr>
            <w:r>
              <w:rPr>
                <w:rFonts w:hint="eastAsia"/>
              </w:rPr>
              <w:t>您使用过哪些支付前验证方式？</w:t>
            </w:r>
          </w:p>
        </w:tc>
        <w:tc>
          <w:p w14:paraId="394629F6">
            <w:pPr>
              <w:jc w:val="center"/>
            </w:pPr>
            <w:r>
              <w:rPr>
                <w:rFonts w:hint="eastAsia"/>
              </w:rPr>
              <w:t>密码；短信验证；生物识别；设备确认；人工客服确认；不清楚；不适用</w:t>
            </w:r>
          </w:p>
        </w:tc>
      </w:tr>
      <w:tr w14:paraId="5601B819">
        <w:trPr>
          <w:jc w:val="center"/>
        </w:trPr>
        <w:tc>
          <w:p w14:paraId="2312A8E3">
            <w:pPr>
              <w:jc w:val="center"/>
            </w:pPr>
            <w:r>
              <w:t>D2</w:t>
            </w:r>
          </w:p>
        </w:tc>
        <w:tc>
          <w:p w14:paraId="5564BD3D">
            <w:pPr>
              <w:jc w:val="center"/>
            </w:pPr>
            <w:r>
              <w:rPr>
                <w:rFonts w:hint="eastAsia"/>
              </w:rPr>
              <w:t>您是否遇到过异地登录、设备变化或异常支付提醒？</w:t>
            </w:r>
          </w:p>
        </w:tc>
        <w:tc>
          <w:p w14:paraId="3A1F1760">
            <w:pPr>
              <w:jc w:val="center"/>
            </w:pPr>
            <w:r>
              <w:rPr>
                <w:rFonts w:hint="eastAsia"/>
              </w:rPr>
              <w:t>遇到过并处理；遇到过但不清楚如何处理；没有遇到过；记不清；不适用</w:t>
            </w:r>
          </w:p>
        </w:tc>
      </w:tr>
      <w:tr w14:paraId="1C6C50CF">
        <w:trPr>
          <w:jc w:val="center"/>
        </w:trPr>
        <w:tc>
          <w:p w14:paraId="7E4E32FA">
            <w:pPr>
              <w:jc w:val="center"/>
            </w:pPr>
            <w:r>
              <w:t>D3</w:t>
            </w:r>
          </w:p>
        </w:tc>
        <w:tc>
          <w:p w14:paraId="5F82FDDD">
            <w:pPr>
              <w:jc w:val="center"/>
            </w:pPr>
            <w:r>
              <w:rPr>
                <w:rFonts w:hint="eastAsia"/>
              </w:rPr>
              <w:t>遇到陌生链接或可疑客服时，您通常怎么做？</w:t>
            </w:r>
          </w:p>
        </w:tc>
        <w:tc>
          <w:p w14:paraId="33A33C24">
            <w:pPr>
              <w:jc w:val="center"/>
            </w:pPr>
            <w:r>
              <w:rPr>
                <w:rFonts w:hint="eastAsia"/>
              </w:rPr>
              <w:t>停止操作并通过官方渠道核实；继续操作但不输入敏感信息；询问他人；无法判断；不适用</w:t>
            </w:r>
          </w:p>
        </w:tc>
      </w:tr>
      <w:tr w14:paraId="234527CA">
        <w:trPr>
          <w:jc w:val="center"/>
        </w:trPr>
        <w:tc>
          <w:p w14:paraId="4BFF031F">
            <w:pPr>
              <w:jc w:val="center"/>
            </w:pPr>
            <w:r>
              <w:t>D4</w:t>
            </w:r>
          </w:p>
        </w:tc>
        <w:tc>
          <w:p w14:paraId="079DD415">
            <w:pPr>
              <w:jc w:val="center"/>
            </w:pPr>
            <w:r>
              <w:rPr>
                <w:rFonts w:hint="eastAsia"/>
              </w:rPr>
              <w:t>您是否遇到过重复扣款、支付失败或金额显示不一致？</w:t>
            </w:r>
          </w:p>
        </w:tc>
        <w:tc>
          <w:p w14:paraId="4DFDF887">
            <w:pPr>
              <w:jc w:val="center"/>
            </w:pPr>
            <w:r>
              <w:rPr>
                <w:rFonts w:hint="eastAsia"/>
              </w:rPr>
              <w:t>遇到过；没有遇到过；记不清；不适用</w:t>
            </w:r>
          </w:p>
        </w:tc>
      </w:tr>
      <w:bookmarkEnd w:id="49"/>
    </w:tbl>
    <w:p w14:paraId="5B6D120E">
      <w:pPr>
        <w:pStyle w:val="4"/>
        <w:numPr>
          <w:ilvl w:val="2"/>
          <w:numId w:val="1"/>
        </w:numPr>
      </w:pPr>
      <w:bookmarkStart w:id="50" w:name="凭证留存与退款"/>
      <w:r>
        <w:rPr>
          <w:rFonts w:hint="eastAsia"/>
        </w:rPr>
        <w:t>凭证留存与退款</w:t>
      </w:r>
    </w:p>
    <w:tbl>
      <w:tblPr>
        <w:tblStyle w:val="24"/>
        <w:tblW w:w="4950" w:type="pct"/>
        <w:jc w:val="center"/>
        <w:tblBorders>
          <w:top w:val="single" w:color="auto" w:sz="6" w:space="0"/>
          <w:left w:val="none" w:color="auto" w:sz="0" w:space="0"/>
          <w:bottom w:val="single" w:color="auto" w:sz="6"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12"/>
        <w:gridCol w:w="2812"/>
        <w:gridCol w:w="2812"/>
      </w:tblGrid>
      <w:tr w14:paraId="19BD0B03">
        <w:trPr>
          <w:tblHeader/>
          <w:jc w:val="center"/>
        </w:trPr>
        <w:tc>
          <w:tcPr>
            <w:tcBorders>
              <w:bottom w:val="single" w:color="auto" w:sz="6" w:space="0"/>
            </w:tcBorders>
          </w:tcPr>
          <w:p w14:paraId="4C424DF9">
            <w:pPr>
              <w:jc w:val="center"/>
            </w:pPr>
            <w:r>
              <w:rPr>
                <w:rFonts w:hint="eastAsia"/>
              </w:rPr>
              <w:t>题号</w:t>
            </w:r>
          </w:p>
        </w:tc>
        <w:tc>
          <w:tcPr>
            <w:tcBorders>
              <w:bottom w:val="single" w:color="auto" w:sz="6" w:space="0"/>
            </w:tcBorders>
          </w:tcPr>
          <w:p w14:paraId="68032679">
            <w:pPr>
              <w:jc w:val="center"/>
            </w:pPr>
            <w:r>
              <w:rPr>
                <w:rFonts w:hint="eastAsia"/>
              </w:rPr>
              <w:t>问题</w:t>
            </w:r>
          </w:p>
        </w:tc>
        <w:tc>
          <w:tcPr>
            <w:tcBorders>
              <w:bottom w:val="single" w:color="auto" w:sz="6" w:space="0"/>
            </w:tcBorders>
          </w:tcPr>
          <w:p w14:paraId="0DA4F2A8">
            <w:pPr>
              <w:jc w:val="center"/>
            </w:pPr>
            <w:r>
              <w:rPr>
                <w:rFonts w:hint="eastAsia"/>
              </w:rPr>
              <w:t>选项</w:t>
            </w:r>
          </w:p>
        </w:tc>
      </w:tr>
      <w:tr w14:paraId="390D40D2">
        <w:trPr>
          <w:jc w:val="center"/>
        </w:trPr>
        <w:tc>
          <w:p w14:paraId="155DB784">
            <w:pPr>
              <w:jc w:val="center"/>
            </w:pPr>
            <w:r>
              <w:t>E1</w:t>
            </w:r>
          </w:p>
        </w:tc>
        <w:tc>
          <w:p w14:paraId="167BD051">
            <w:pPr>
              <w:jc w:val="center"/>
            </w:pPr>
            <w:r>
              <w:rPr>
                <w:rFonts w:hint="eastAsia"/>
              </w:rPr>
              <w:t>您通常会保留哪些交易记录？</w:t>
            </w:r>
          </w:p>
        </w:tc>
        <w:tc>
          <w:p w14:paraId="553C6C05">
            <w:pPr>
              <w:jc w:val="center"/>
            </w:pPr>
            <w:r>
              <w:rPr>
                <w:rFonts w:hint="eastAsia"/>
              </w:rPr>
              <w:t>订单确认；支付成功通知；银行或支付账单；汇率和手续费说明；发票或收据；退款通知；客服沟通记录；通常不保留；不适用</w:t>
            </w:r>
          </w:p>
        </w:tc>
      </w:tr>
      <w:tr w14:paraId="25654B72">
        <w:trPr>
          <w:jc w:val="center"/>
        </w:trPr>
        <w:tc>
          <w:p w14:paraId="3BE2E782">
            <w:pPr>
              <w:jc w:val="center"/>
            </w:pPr>
            <w:r>
              <w:t>E2</w:t>
            </w:r>
          </w:p>
        </w:tc>
        <w:tc>
          <w:p w14:paraId="3FA4BB62">
            <w:pPr>
              <w:jc w:val="center"/>
            </w:pPr>
            <w:r>
              <w:rPr>
                <w:rFonts w:hint="eastAsia"/>
              </w:rPr>
              <w:t>交易完成一段时间后，您能否找到主要支付凭证？</w:t>
            </w:r>
          </w:p>
        </w:tc>
        <w:tc>
          <w:p w14:paraId="4684A9A6">
            <w:pPr>
              <w:jc w:val="center"/>
            </w:pPr>
            <w:r>
              <w:rPr>
                <w:rFonts w:hint="eastAsia"/>
              </w:rPr>
              <w:t>能够找到；只能找到部分；无法找到；没有尝试查找；不适用</w:t>
            </w:r>
          </w:p>
        </w:tc>
      </w:tr>
      <w:tr w14:paraId="402F4BD5">
        <w:trPr>
          <w:jc w:val="center"/>
        </w:trPr>
        <w:tc>
          <w:p w14:paraId="233C50D4">
            <w:pPr>
              <w:jc w:val="center"/>
            </w:pPr>
            <w:r>
              <w:t>E3</w:t>
            </w:r>
          </w:p>
        </w:tc>
        <w:tc>
          <w:p w14:paraId="5DE2DC41">
            <w:pPr>
              <w:jc w:val="center"/>
            </w:pPr>
            <w:r>
              <w:rPr>
                <w:rFonts w:hint="eastAsia"/>
              </w:rPr>
              <w:t>您是否经历过退款或支付争议？</w:t>
            </w:r>
          </w:p>
        </w:tc>
        <w:tc>
          <w:p w14:paraId="50269E44">
            <w:pPr>
              <w:jc w:val="center"/>
            </w:pPr>
            <w:r>
              <w:rPr>
                <w:rFonts w:hint="eastAsia"/>
              </w:rPr>
              <w:t>经历过并已解决；经历过但未完全解决；没有经历过；记不清；不适用</w:t>
            </w:r>
          </w:p>
        </w:tc>
      </w:tr>
      <w:tr w14:paraId="68E36B46">
        <w:trPr>
          <w:jc w:val="center"/>
        </w:trPr>
        <w:tc>
          <w:p w14:paraId="63992F0F">
            <w:pPr>
              <w:jc w:val="center"/>
            </w:pPr>
            <w:r>
              <w:t>E4</w:t>
            </w:r>
          </w:p>
        </w:tc>
        <w:tc>
          <w:p w14:paraId="0C652807">
            <w:pPr>
              <w:jc w:val="center"/>
            </w:pPr>
            <w:r>
              <w:rPr>
                <w:rFonts w:hint="eastAsia"/>
              </w:rPr>
              <w:t>发生问题时，您最先联系谁？</w:t>
            </w:r>
          </w:p>
        </w:tc>
        <w:tc>
          <w:p w14:paraId="7EFF0936">
            <w:pPr>
              <w:jc w:val="center"/>
            </w:pPr>
            <w:r>
              <w:rPr>
                <w:rFonts w:hint="eastAsia"/>
              </w:rPr>
              <w:t>商户；支付平台；银行或发卡机构；平台客服；亲友或其他人；不清楚；不适用</w:t>
            </w:r>
          </w:p>
        </w:tc>
      </w:tr>
      <w:bookmarkEnd w:id="50"/>
    </w:tbl>
    <w:p w14:paraId="44C6A192">
      <w:pPr>
        <w:pStyle w:val="4"/>
        <w:numPr>
          <w:ilvl w:val="2"/>
          <w:numId w:val="1"/>
        </w:numPr>
      </w:pPr>
      <w:bookmarkStart w:id="51" w:name="认知与建议"/>
      <w:r>
        <w:rPr>
          <w:rFonts w:hint="eastAsia"/>
        </w:rPr>
        <w:t>认知与建议</w:t>
      </w:r>
    </w:p>
    <w:tbl>
      <w:tblPr>
        <w:tblStyle w:val="24"/>
        <w:tblW w:w="4950" w:type="pct"/>
        <w:jc w:val="center"/>
        <w:tblBorders>
          <w:top w:val="single" w:color="auto" w:sz="6" w:space="0"/>
          <w:left w:val="none" w:color="auto" w:sz="0" w:space="0"/>
          <w:bottom w:val="single" w:color="auto" w:sz="6"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12"/>
        <w:gridCol w:w="2812"/>
        <w:gridCol w:w="2812"/>
      </w:tblGrid>
      <w:tr w14:paraId="47A8A8A4">
        <w:trPr>
          <w:tblHeader/>
          <w:jc w:val="center"/>
        </w:trPr>
        <w:tc>
          <w:tcPr>
            <w:tcBorders>
              <w:bottom w:val="single" w:color="auto" w:sz="6" w:space="0"/>
            </w:tcBorders>
          </w:tcPr>
          <w:p w14:paraId="7FA37839">
            <w:pPr>
              <w:jc w:val="center"/>
            </w:pPr>
            <w:r>
              <w:rPr>
                <w:rFonts w:hint="eastAsia"/>
              </w:rPr>
              <w:t>题号</w:t>
            </w:r>
          </w:p>
        </w:tc>
        <w:tc>
          <w:tcPr>
            <w:tcBorders>
              <w:bottom w:val="single" w:color="auto" w:sz="6" w:space="0"/>
            </w:tcBorders>
          </w:tcPr>
          <w:p w14:paraId="4E848E6F">
            <w:pPr>
              <w:jc w:val="center"/>
            </w:pPr>
            <w:r>
              <w:rPr>
                <w:rFonts w:hint="eastAsia"/>
              </w:rPr>
              <w:t>问题</w:t>
            </w:r>
          </w:p>
        </w:tc>
        <w:tc>
          <w:tcPr>
            <w:tcBorders>
              <w:bottom w:val="single" w:color="auto" w:sz="6" w:space="0"/>
            </w:tcBorders>
          </w:tcPr>
          <w:p w14:paraId="7DCB0F0B">
            <w:pPr>
              <w:jc w:val="center"/>
            </w:pPr>
            <w:r>
              <w:rPr>
                <w:rFonts w:hint="eastAsia"/>
              </w:rPr>
              <w:t>选项</w:t>
            </w:r>
          </w:p>
        </w:tc>
      </w:tr>
      <w:tr w14:paraId="11B37FBA">
        <w:trPr>
          <w:jc w:val="center"/>
        </w:trPr>
        <w:tc>
          <w:p w14:paraId="064C4651">
            <w:pPr>
              <w:jc w:val="center"/>
            </w:pPr>
            <w:r>
              <w:t>F1</w:t>
            </w:r>
          </w:p>
        </w:tc>
        <w:tc>
          <w:p w14:paraId="5940B0D7">
            <w:pPr>
              <w:jc w:val="center"/>
            </w:pPr>
            <w:r>
              <w:rPr>
                <w:rFonts w:hint="eastAsia"/>
              </w:rPr>
              <w:t>您认为跨境支付中最需要改进的环节是什么？</w:t>
            </w:r>
          </w:p>
        </w:tc>
        <w:tc>
          <w:p w14:paraId="0999265D">
            <w:pPr>
              <w:jc w:val="center"/>
            </w:pPr>
            <w:r>
              <w:rPr>
                <w:rFonts w:hint="eastAsia"/>
              </w:rPr>
              <w:t>收费和汇率说明；身份验证；异常提醒；退款查询；客服转接；凭证下载；个人信息保护；其他</w:t>
            </w:r>
          </w:p>
        </w:tc>
      </w:tr>
      <w:tr w14:paraId="6056A4FD">
        <w:trPr>
          <w:jc w:val="center"/>
        </w:trPr>
        <w:tc>
          <w:p w14:paraId="736CACCA">
            <w:pPr>
              <w:jc w:val="center"/>
            </w:pPr>
            <w:r>
              <w:t>F2</w:t>
            </w:r>
          </w:p>
        </w:tc>
        <w:tc>
          <w:p w14:paraId="7D64438E">
            <w:pPr>
              <w:jc w:val="center"/>
            </w:pPr>
            <w:r>
              <w:rPr>
                <w:rFonts w:hint="eastAsia"/>
              </w:rPr>
              <w:t>您是否愿意参加不记录姓名的简短访谈？</w:t>
            </w:r>
          </w:p>
        </w:tc>
        <w:tc>
          <w:p w14:paraId="079CC89D">
            <w:pPr>
              <w:jc w:val="center"/>
            </w:pPr>
            <w:r>
              <w:rPr>
                <w:rFonts w:hint="eastAsia"/>
              </w:rPr>
              <w:t>愿意；不愿意</w:t>
            </w:r>
          </w:p>
        </w:tc>
      </w:tr>
      <w:tr w14:paraId="29D32200">
        <w:trPr>
          <w:jc w:val="center"/>
        </w:trPr>
        <w:tc>
          <w:p w14:paraId="68D2779D">
            <w:pPr>
              <w:jc w:val="center"/>
            </w:pPr>
            <w:r>
              <w:t>F3</w:t>
            </w:r>
          </w:p>
        </w:tc>
        <w:tc>
          <w:p w14:paraId="67FFC740">
            <w:pPr>
              <w:jc w:val="center"/>
            </w:pPr>
            <w:r>
              <w:rPr>
                <w:rFonts w:hint="eastAsia"/>
              </w:rPr>
              <w:t>对跨境支付记录保存、风险提示或投诉处理，您还有什么建议？</w:t>
            </w:r>
          </w:p>
        </w:tc>
        <w:tc>
          <w:p w14:paraId="2A3663F0">
            <w:pPr>
              <w:jc w:val="center"/>
            </w:pPr>
            <w:r>
              <w:rPr>
                <w:rFonts w:hint="eastAsia"/>
              </w:rPr>
              <w:t>开放填写</w:t>
            </w:r>
          </w:p>
        </w:tc>
      </w:tr>
      <w:bookmarkEnd w:id="45"/>
      <w:bookmarkEnd w:id="51"/>
    </w:tbl>
    <w:p w14:paraId="7F2582B7">
      <w:pPr>
        <w:pStyle w:val="3"/>
        <w:numPr>
          <w:ilvl w:val="1"/>
          <w:numId w:val="1"/>
        </w:numPr>
      </w:pPr>
      <w:bookmarkStart w:id="52" w:name="附录b访谈提纲"/>
      <w:r>
        <w:rPr>
          <w:rFonts w:hint="eastAsia"/>
        </w:rPr>
        <w:t>附录B访谈提纲</w:t>
      </w:r>
    </w:p>
    <w:p w14:paraId="71780A10">
      <w:pPr>
        <w:pStyle w:val="44"/>
        <w:rPr>
          <w:rFonts w:hint="eastAsia"/>
        </w:rPr>
      </w:pPr>
      <w:r>
        <w:rPr>
          <w:rFonts w:hint="eastAsia"/>
        </w:rPr>
        <w:t>访谈围绕受访者能够回忆的具体支付经历展开，内容包括交易场景、支付前看到的信息、授权方式、是否出现异常提示、交易后保留的凭证、退款或投诉过程以及对页面说明的改进建议。访谈开始前说明匿名记录和退出权利，不要求出示截图、账单或任何账户信息。研究者只记录与研究问题有关的事实，不记录姓名、单位全称、联系方式和订单编号</w:t>
      </w:r>
    </w:p>
    <w:p w14:paraId="549C396A">
      <w:pPr>
        <w:rPr>
          <w:rFonts w:hint="eastAsia"/>
        </w:rPr>
      </w:pPr>
      <w:r>
        <w:rPr>
          <w:rFonts w:hint="eastAsia"/>
        </w:rPr>
        <w:br w:type="page"/>
      </w:r>
    </w:p>
    <w:p w14:paraId="5649BC2B">
      <w:pPr>
        <w:spacing w:line="360" w:lineRule="auto"/>
        <w:jc w:val="center"/>
        <w:rPr>
          <w:rFonts w:hint="eastAsia" w:ascii="宋体"/>
          <w:b/>
          <w:bCs/>
          <w:sz w:val="32"/>
          <w:szCs w:val="32"/>
        </w:rPr>
      </w:pPr>
      <w:r>
        <w:rPr>
          <w:rFonts w:hint="eastAsia" w:ascii="宋体"/>
          <w:b/>
          <w:bCs/>
          <w:sz w:val="32"/>
          <w:szCs w:val="32"/>
        </w:rPr>
        <w:t>湖南工商大学暑假社会调查报告评审表</w:t>
      </w:r>
    </w:p>
    <w:tbl>
      <w:tblPr>
        <w:tblStyle w:val="24"/>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0"/>
        <w:gridCol w:w="946"/>
        <w:gridCol w:w="720"/>
        <w:gridCol w:w="540"/>
        <w:gridCol w:w="180"/>
        <w:gridCol w:w="1440"/>
        <w:gridCol w:w="180"/>
        <w:gridCol w:w="1404"/>
        <w:gridCol w:w="771"/>
        <w:gridCol w:w="1389"/>
      </w:tblGrid>
      <w:tr w14:paraId="4AFCE463">
        <w:trPr>
          <w:trHeight w:val="466" w:hRule="atLeast"/>
        </w:trPr>
        <w:tc>
          <w:tcPr>
            <w:tcW w:w="890" w:type="dxa"/>
            <w:vMerge w:val="restart"/>
            <w:noWrap w:val="0"/>
            <w:vAlign w:val="center"/>
          </w:tcPr>
          <w:p w14:paraId="0FAB51A4">
            <w:pPr>
              <w:jc w:val="center"/>
              <w:rPr>
                <w:rFonts w:hint="eastAsia" w:ascii="宋体" w:hAnsi="宋体"/>
                <w:sz w:val="24"/>
              </w:rPr>
            </w:pPr>
            <w:r>
              <w:rPr>
                <w:rFonts w:hint="eastAsia" w:ascii="宋体" w:hAnsi="宋体"/>
                <w:sz w:val="24"/>
              </w:rPr>
              <w:t>姓 名</w:t>
            </w:r>
          </w:p>
        </w:tc>
        <w:tc>
          <w:tcPr>
            <w:tcW w:w="1666" w:type="dxa"/>
            <w:gridSpan w:val="2"/>
            <w:vMerge w:val="restart"/>
            <w:noWrap w:val="0"/>
            <w:vAlign w:val="center"/>
          </w:tcPr>
          <w:p w14:paraId="01DBE69D">
            <w:pPr>
              <w:jc w:val="center"/>
              <w:rPr>
                <w:rFonts w:hint="eastAsia" w:ascii="宋体" w:hAnsi="宋体"/>
                <w:sz w:val="24"/>
              </w:rPr>
            </w:pPr>
          </w:p>
        </w:tc>
        <w:tc>
          <w:tcPr>
            <w:tcW w:w="720" w:type="dxa"/>
            <w:gridSpan w:val="2"/>
            <w:vMerge w:val="restart"/>
            <w:noWrap w:val="0"/>
            <w:vAlign w:val="center"/>
          </w:tcPr>
          <w:p w14:paraId="607BA2C5">
            <w:pPr>
              <w:jc w:val="center"/>
              <w:rPr>
                <w:rFonts w:hint="eastAsia" w:ascii="宋体" w:hAnsi="宋体"/>
                <w:sz w:val="24"/>
              </w:rPr>
            </w:pPr>
            <w:r>
              <w:rPr>
                <w:rFonts w:hint="eastAsia" w:ascii="宋体" w:hAnsi="宋体"/>
                <w:sz w:val="24"/>
              </w:rPr>
              <w:t>学院</w:t>
            </w:r>
          </w:p>
        </w:tc>
        <w:tc>
          <w:tcPr>
            <w:tcW w:w="1440" w:type="dxa"/>
            <w:vMerge w:val="restart"/>
            <w:noWrap w:val="0"/>
            <w:vAlign w:val="center"/>
          </w:tcPr>
          <w:p w14:paraId="0B8E1F02">
            <w:pPr>
              <w:jc w:val="center"/>
              <w:rPr>
                <w:rFonts w:hint="eastAsia" w:ascii="宋体" w:hAnsi="宋体"/>
                <w:sz w:val="24"/>
              </w:rPr>
            </w:pPr>
          </w:p>
        </w:tc>
        <w:tc>
          <w:tcPr>
            <w:tcW w:w="1584" w:type="dxa"/>
            <w:gridSpan w:val="2"/>
            <w:noWrap w:val="0"/>
            <w:vAlign w:val="center"/>
          </w:tcPr>
          <w:p w14:paraId="313B1D5F">
            <w:pPr>
              <w:jc w:val="center"/>
              <w:rPr>
                <w:rFonts w:hint="eastAsia" w:ascii="宋体" w:hAnsi="宋体"/>
                <w:sz w:val="24"/>
              </w:rPr>
            </w:pPr>
            <w:r>
              <w:rPr>
                <w:rFonts w:hint="eastAsia" w:ascii="宋体" w:hAnsi="宋体"/>
                <w:sz w:val="24"/>
              </w:rPr>
              <w:t>专业、班级</w:t>
            </w:r>
          </w:p>
        </w:tc>
        <w:tc>
          <w:tcPr>
            <w:tcW w:w="2160" w:type="dxa"/>
            <w:gridSpan w:val="2"/>
            <w:noWrap w:val="0"/>
            <w:vAlign w:val="center"/>
          </w:tcPr>
          <w:p w14:paraId="005F0EC6">
            <w:pPr>
              <w:jc w:val="center"/>
              <w:rPr>
                <w:rFonts w:hint="eastAsia" w:ascii="宋体" w:hAnsi="宋体"/>
                <w:sz w:val="24"/>
              </w:rPr>
            </w:pPr>
          </w:p>
        </w:tc>
      </w:tr>
      <w:tr w14:paraId="264BE5CC">
        <w:trPr>
          <w:trHeight w:val="444" w:hRule="atLeast"/>
        </w:trPr>
        <w:tc>
          <w:tcPr>
            <w:tcW w:w="890" w:type="dxa"/>
            <w:vMerge w:val="continue"/>
            <w:noWrap w:val="0"/>
            <w:vAlign w:val="center"/>
          </w:tcPr>
          <w:p w14:paraId="79927DC2">
            <w:pPr>
              <w:jc w:val="center"/>
              <w:rPr>
                <w:rFonts w:hint="eastAsia" w:ascii="宋体" w:hAnsi="宋体"/>
                <w:sz w:val="24"/>
              </w:rPr>
            </w:pPr>
          </w:p>
        </w:tc>
        <w:tc>
          <w:tcPr>
            <w:tcW w:w="1666" w:type="dxa"/>
            <w:gridSpan w:val="2"/>
            <w:vMerge w:val="continue"/>
            <w:noWrap w:val="0"/>
            <w:vAlign w:val="center"/>
          </w:tcPr>
          <w:p w14:paraId="68D9BC6A">
            <w:pPr>
              <w:jc w:val="center"/>
              <w:rPr>
                <w:rFonts w:hint="eastAsia" w:ascii="宋体" w:hAnsi="宋体"/>
                <w:sz w:val="24"/>
              </w:rPr>
            </w:pPr>
          </w:p>
        </w:tc>
        <w:tc>
          <w:tcPr>
            <w:tcW w:w="720" w:type="dxa"/>
            <w:gridSpan w:val="2"/>
            <w:vMerge w:val="continue"/>
            <w:noWrap w:val="0"/>
            <w:vAlign w:val="center"/>
          </w:tcPr>
          <w:p w14:paraId="77BB8019">
            <w:pPr>
              <w:jc w:val="center"/>
              <w:rPr>
                <w:rFonts w:hint="eastAsia" w:ascii="宋体" w:hAnsi="宋体"/>
                <w:sz w:val="24"/>
              </w:rPr>
            </w:pPr>
          </w:p>
        </w:tc>
        <w:tc>
          <w:tcPr>
            <w:tcW w:w="1440" w:type="dxa"/>
            <w:vMerge w:val="continue"/>
            <w:noWrap w:val="0"/>
            <w:vAlign w:val="center"/>
          </w:tcPr>
          <w:p w14:paraId="23B41734">
            <w:pPr>
              <w:jc w:val="center"/>
              <w:rPr>
                <w:rFonts w:hint="eastAsia" w:ascii="宋体" w:hAnsi="宋体"/>
                <w:sz w:val="24"/>
              </w:rPr>
            </w:pPr>
          </w:p>
        </w:tc>
        <w:tc>
          <w:tcPr>
            <w:tcW w:w="1584" w:type="dxa"/>
            <w:gridSpan w:val="2"/>
            <w:noWrap w:val="0"/>
            <w:vAlign w:val="center"/>
          </w:tcPr>
          <w:p w14:paraId="49A31E36">
            <w:pPr>
              <w:jc w:val="center"/>
              <w:rPr>
                <w:rFonts w:hint="eastAsia" w:ascii="宋体" w:hAnsi="宋体"/>
                <w:sz w:val="24"/>
              </w:rPr>
            </w:pPr>
            <w:r>
              <w:rPr>
                <w:rFonts w:hint="eastAsia" w:ascii="宋体" w:hAnsi="宋体"/>
                <w:sz w:val="24"/>
              </w:rPr>
              <w:t>学号</w:t>
            </w:r>
          </w:p>
        </w:tc>
        <w:tc>
          <w:tcPr>
            <w:tcW w:w="2160" w:type="dxa"/>
            <w:gridSpan w:val="2"/>
            <w:noWrap w:val="0"/>
            <w:vAlign w:val="center"/>
          </w:tcPr>
          <w:p w14:paraId="181015A2">
            <w:pPr>
              <w:jc w:val="center"/>
              <w:rPr>
                <w:rFonts w:hint="eastAsia" w:ascii="宋体" w:hAnsi="宋体"/>
                <w:sz w:val="24"/>
              </w:rPr>
            </w:pPr>
          </w:p>
        </w:tc>
      </w:tr>
      <w:tr w14:paraId="5CA767B8">
        <w:trPr>
          <w:trHeight w:val="1047" w:hRule="atLeast"/>
        </w:trPr>
        <w:tc>
          <w:tcPr>
            <w:tcW w:w="8460" w:type="dxa"/>
            <w:gridSpan w:val="10"/>
            <w:noWrap w:val="0"/>
            <w:vAlign w:val="top"/>
          </w:tcPr>
          <w:p w14:paraId="72A53FDF">
            <w:pPr>
              <w:spacing w:line="360" w:lineRule="auto"/>
              <w:rPr>
                <w:rFonts w:hint="eastAsia" w:ascii="宋体" w:hAnsi="宋体"/>
                <w:sz w:val="24"/>
              </w:rPr>
            </w:pPr>
            <w:r>
              <w:rPr>
                <w:rFonts w:hint="eastAsia" w:ascii="宋体" w:hAnsi="宋体"/>
                <w:sz w:val="24"/>
              </w:rPr>
              <w:t>题 目：</w:t>
            </w:r>
          </w:p>
          <w:p w14:paraId="581C9744">
            <w:pPr>
              <w:spacing w:line="360" w:lineRule="auto"/>
              <w:rPr>
                <w:rFonts w:hint="eastAsia" w:ascii="宋体" w:hAnsi="宋体"/>
                <w:sz w:val="24"/>
              </w:rPr>
            </w:pPr>
          </w:p>
        </w:tc>
      </w:tr>
      <w:tr w14:paraId="2B1AC3B6">
        <w:trPr>
          <w:trHeight w:val="6680" w:hRule="atLeast"/>
        </w:trPr>
        <w:tc>
          <w:tcPr>
            <w:tcW w:w="890" w:type="dxa"/>
            <w:noWrap w:val="0"/>
            <w:vAlign w:val="center"/>
          </w:tcPr>
          <w:p w14:paraId="0E9636AE">
            <w:pPr>
              <w:jc w:val="center"/>
              <w:rPr>
                <w:rFonts w:hint="eastAsia" w:ascii="宋体" w:hAnsi="宋体"/>
                <w:sz w:val="24"/>
              </w:rPr>
            </w:pPr>
            <w:r>
              <w:rPr>
                <w:rFonts w:hint="eastAsia" w:ascii="宋体" w:hAnsi="宋体"/>
                <w:sz w:val="24"/>
              </w:rPr>
              <w:t>评</w:t>
            </w:r>
          </w:p>
          <w:p w14:paraId="5F576489">
            <w:pPr>
              <w:jc w:val="center"/>
              <w:rPr>
                <w:rFonts w:hint="eastAsia" w:ascii="宋体" w:hAnsi="宋体"/>
                <w:sz w:val="24"/>
              </w:rPr>
            </w:pPr>
          </w:p>
          <w:p w14:paraId="69601E0D">
            <w:pPr>
              <w:jc w:val="center"/>
              <w:rPr>
                <w:rFonts w:hint="eastAsia" w:ascii="宋体" w:hAnsi="宋体"/>
                <w:sz w:val="24"/>
              </w:rPr>
            </w:pPr>
          </w:p>
          <w:p w14:paraId="5F1DAF4A">
            <w:pPr>
              <w:jc w:val="center"/>
              <w:rPr>
                <w:rFonts w:hint="eastAsia" w:ascii="宋体" w:hAnsi="宋体"/>
                <w:sz w:val="24"/>
              </w:rPr>
            </w:pPr>
            <w:r>
              <w:rPr>
                <w:rFonts w:hint="eastAsia" w:ascii="宋体" w:hAnsi="宋体"/>
                <w:sz w:val="24"/>
              </w:rPr>
              <w:t>审</w:t>
            </w:r>
          </w:p>
          <w:p w14:paraId="0D3727CC">
            <w:pPr>
              <w:jc w:val="center"/>
              <w:rPr>
                <w:rFonts w:hint="eastAsia" w:ascii="宋体" w:hAnsi="宋体"/>
                <w:sz w:val="24"/>
              </w:rPr>
            </w:pPr>
          </w:p>
          <w:p w14:paraId="06A805A2">
            <w:pPr>
              <w:jc w:val="center"/>
              <w:rPr>
                <w:rFonts w:hint="eastAsia" w:ascii="宋体" w:hAnsi="宋体"/>
                <w:sz w:val="24"/>
              </w:rPr>
            </w:pPr>
          </w:p>
          <w:p w14:paraId="6DEC10C3">
            <w:pPr>
              <w:jc w:val="center"/>
              <w:rPr>
                <w:rFonts w:hint="eastAsia" w:ascii="宋体" w:hAnsi="宋体"/>
                <w:sz w:val="24"/>
              </w:rPr>
            </w:pPr>
            <w:r>
              <w:rPr>
                <w:rFonts w:hint="eastAsia" w:ascii="宋体" w:hAnsi="宋体"/>
                <w:sz w:val="24"/>
              </w:rPr>
              <w:t>意</w:t>
            </w:r>
          </w:p>
          <w:p w14:paraId="38FE1D5C">
            <w:pPr>
              <w:jc w:val="center"/>
              <w:rPr>
                <w:rFonts w:hint="eastAsia" w:ascii="宋体" w:hAnsi="宋体"/>
                <w:sz w:val="24"/>
              </w:rPr>
            </w:pPr>
          </w:p>
          <w:p w14:paraId="34C8D8EE">
            <w:pPr>
              <w:jc w:val="center"/>
              <w:rPr>
                <w:rFonts w:hint="eastAsia" w:ascii="宋体" w:hAnsi="宋体"/>
                <w:sz w:val="24"/>
              </w:rPr>
            </w:pPr>
          </w:p>
          <w:p w14:paraId="410593AF">
            <w:pPr>
              <w:jc w:val="center"/>
              <w:rPr>
                <w:rFonts w:hint="eastAsia" w:ascii="黑体" w:eastAsia="黑体"/>
                <w:sz w:val="24"/>
              </w:rPr>
            </w:pPr>
            <w:r>
              <w:rPr>
                <w:rFonts w:hint="eastAsia" w:ascii="宋体" w:hAnsi="宋体"/>
                <w:sz w:val="24"/>
              </w:rPr>
              <w:t>见</w:t>
            </w:r>
          </w:p>
        </w:tc>
        <w:tc>
          <w:tcPr>
            <w:tcW w:w="7570" w:type="dxa"/>
            <w:gridSpan w:val="9"/>
            <w:noWrap w:val="0"/>
            <w:vAlign w:val="center"/>
          </w:tcPr>
          <w:p w14:paraId="31A2CCD4">
            <w:pPr>
              <w:jc w:val="center"/>
              <w:rPr>
                <w:rFonts w:hint="eastAsia" w:ascii="黑体" w:eastAsia="黑体"/>
                <w:sz w:val="24"/>
              </w:rPr>
            </w:pPr>
          </w:p>
          <w:p w14:paraId="368E0547">
            <w:pPr>
              <w:jc w:val="center"/>
              <w:rPr>
                <w:rFonts w:hint="eastAsia" w:ascii="黑体" w:eastAsia="黑体"/>
                <w:sz w:val="24"/>
              </w:rPr>
            </w:pPr>
          </w:p>
          <w:p w14:paraId="3E09E809">
            <w:pPr>
              <w:jc w:val="center"/>
              <w:rPr>
                <w:rFonts w:hint="eastAsia" w:ascii="黑体" w:eastAsia="黑体"/>
                <w:sz w:val="24"/>
              </w:rPr>
            </w:pPr>
          </w:p>
          <w:p w14:paraId="4135AC88">
            <w:pPr>
              <w:jc w:val="center"/>
              <w:rPr>
                <w:rFonts w:hint="eastAsia" w:ascii="黑体" w:eastAsia="黑体"/>
                <w:sz w:val="24"/>
              </w:rPr>
            </w:pPr>
          </w:p>
          <w:p w14:paraId="7D2C0617">
            <w:pPr>
              <w:jc w:val="center"/>
              <w:rPr>
                <w:rFonts w:hint="eastAsia" w:ascii="黑体" w:eastAsia="黑体"/>
                <w:sz w:val="24"/>
              </w:rPr>
            </w:pPr>
          </w:p>
          <w:p w14:paraId="020C6C6D">
            <w:pPr>
              <w:jc w:val="center"/>
              <w:rPr>
                <w:rFonts w:hint="eastAsia" w:ascii="黑体" w:eastAsia="黑体"/>
                <w:sz w:val="24"/>
              </w:rPr>
            </w:pPr>
          </w:p>
          <w:p w14:paraId="2B8F4260">
            <w:pPr>
              <w:jc w:val="center"/>
              <w:rPr>
                <w:rFonts w:hint="eastAsia" w:ascii="黑体" w:eastAsia="黑体"/>
                <w:sz w:val="24"/>
              </w:rPr>
            </w:pPr>
          </w:p>
          <w:p w14:paraId="0643A1A4">
            <w:pPr>
              <w:jc w:val="center"/>
              <w:rPr>
                <w:rFonts w:hint="eastAsia" w:ascii="黑体" w:eastAsia="黑体"/>
                <w:sz w:val="24"/>
              </w:rPr>
            </w:pPr>
          </w:p>
          <w:p w14:paraId="41F07A40">
            <w:pPr>
              <w:jc w:val="center"/>
              <w:rPr>
                <w:rFonts w:hint="eastAsia" w:ascii="黑体" w:eastAsia="黑体"/>
                <w:sz w:val="24"/>
              </w:rPr>
            </w:pPr>
          </w:p>
          <w:p w14:paraId="5998BCD1">
            <w:pPr>
              <w:jc w:val="center"/>
              <w:rPr>
                <w:rFonts w:hint="eastAsia" w:ascii="黑体" w:eastAsia="黑体"/>
                <w:sz w:val="24"/>
              </w:rPr>
            </w:pPr>
          </w:p>
          <w:p w14:paraId="19CB2AFF">
            <w:pPr>
              <w:jc w:val="center"/>
              <w:rPr>
                <w:rFonts w:hint="eastAsia" w:ascii="黑体" w:eastAsia="黑体"/>
                <w:sz w:val="24"/>
              </w:rPr>
            </w:pPr>
          </w:p>
          <w:p w14:paraId="2184F01E">
            <w:pPr>
              <w:jc w:val="center"/>
              <w:rPr>
                <w:rFonts w:hint="eastAsia" w:ascii="黑体" w:eastAsia="黑体"/>
                <w:sz w:val="24"/>
              </w:rPr>
            </w:pPr>
          </w:p>
          <w:p w14:paraId="30127511">
            <w:pPr>
              <w:jc w:val="center"/>
              <w:rPr>
                <w:rFonts w:hint="eastAsia" w:ascii="黑体" w:eastAsia="黑体"/>
                <w:sz w:val="24"/>
              </w:rPr>
            </w:pPr>
          </w:p>
          <w:p w14:paraId="5861B599">
            <w:pPr>
              <w:jc w:val="center"/>
              <w:rPr>
                <w:rFonts w:hint="eastAsia" w:ascii="黑体" w:eastAsia="黑体"/>
                <w:sz w:val="24"/>
              </w:rPr>
            </w:pPr>
          </w:p>
          <w:p w14:paraId="4AA541F2">
            <w:pPr>
              <w:jc w:val="center"/>
              <w:rPr>
                <w:rFonts w:hint="eastAsia" w:ascii="黑体" w:eastAsia="黑体"/>
                <w:sz w:val="24"/>
              </w:rPr>
            </w:pPr>
          </w:p>
          <w:p w14:paraId="026EF8A9">
            <w:pPr>
              <w:jc w:val="center"/>
              <w:rPr>
                <w:rFonts w:hint="eastAsia" w:ascii="黑体" w:eastAsia="黑体"/>
                <w:sz w:val="24"/>
              </w:rPr>
            </w:pPr>
          </w:p>
          <w:p w14:paraId="51B7B655">
            <w:pPr>
              <w:jc w:val="center"/>
              <w:rPr>
                <w:rFonts w:hint="eastAsia" w:ascii="黑体" w:eastAsia="黑体"/>
                <w:sz w:val="24"/>
              </w:rPr>
            </w:pPr>
          </w:p>
          <w:p w14:paraId="6038B815">
            <w:pPr>
              <w:jc w:val="center"/>
              <w:rPr>
                <w:rFonts w:hint="eastAsia" w:ascii="黑体" w:eastAsia="黑体"/>
                <w:sz w:val="24"/>
              </w:rPr>
            </w:pPr>
          </w:p>
          <w:p w14:paraId="61D3E4CE">
            <w:pPr>
              <w:jc w:val="center"/>
              <w:rPr>
                <w:rFonts w:hint="eastAsia" w:ascii="黑体" w:eastAsia="黑体"/>
                <w:sz w:val="24"/>
              </w:rPr>
            </w:pPr>
          </w:p>
          <w:p w14:paraId="76F464A4">
            <w:pPr>
              <w:jc w:val="center"/>
              <w:rPr>
                <w:rFonts w:hint="eastAsia" w:ascii="黑体" w:eastAsia="黑体"/>
                <w:sz w:val="24"/>
              </w:rPr>
            </w:pPr>
          </w:p>
          <w:p w14:paraId="1670936E">
            <w:pPr>
              <w:jc w:val="center"/>
              <w:rPr>
                <w:rFonts w:hint="eastAsia" w:ascii="黑体" w:eastAsia="黑体"/>
                <w:sz w:val="24"/>
              </w:rPr>
            </w:pPr>
          </w:p>
          <w:p w14:paraId="3A1DFC64">
            <w:pPr>
              <w:jc w:val="center"/>
              <w:rPr>
                <w:rFonts w:hint="eastAsia" w:ascii="黑体" w:eastAsia="黑体"/>
                <w:sz w:val="24"/>
              </w:rPr>
            </w:pPr>
          </w:p>
          <w:p w14:paraId="1F025EF7">
            <w:pPr>
              <w:jc w:val="center"/>
              <w:rPr>
                <w:rFonts w:hint="eastAsia" w:ascii="黑体" w:eastAsia="黑体"/>
                <w:sz w:val="24"/>
              </w:rPr>
            </w:pPr>
          </w:p>
          <w:p w14:paraId="23258BE3">
            <w:pPr>
              <w:jc w:val="center"/>
              <w:rPr>
                <w:rFonts w:hint="eastAsia" w:ascii="黑体" w:eastAsia="黑体"/>
                <w:sz w:val="24"/>
              </w:rPr>
            </w:pPr>
          </w:p>
          <w:p w14:paraId="7BDBC607">
            <w:pPr>
              <w:jc w:val="center"/>
              <w:rPr>
                <w:rFonts w:hint="eastAsia" w:ascii="黑体" w:eastAsia="黑体"/>
                <w:sz w:val="24"/>
              </w:rPr>
            </w:pPr>
          </w:p>
          <w:p w14:paraId="6C723A09">
            <w:pPr>
              <w:jc w:val="center"/>
              <w:rPr>
                <w:rFonts w:hint="eastAsia" w:ascii="黑体" w:eastAsia="黑体"/>
                <w:sz w:val="24"/>
              </w:rPr>
            </w:pPr>
          </w:p>
          <w:p w14:paraId="470ED287">
            <w:pPr>
              <w:jc w:val="center"/>
              <w:rPr>
                <w:rFonts w:hint="eastAsia" w:ascii="黑体" w:eastAsia="黑体"/>
                <w:sz w:val="24"/>
              </w:rPr>
            </w:pPr>
          </w:p>
          <w:p w14:paraId="25F894C7">
            <w:pPr>
              <w:jc w:val="center"/>
              <w:rPr>
                <w:rFonts w:hint="eastAsia" w:ascii="黑体" w:eastAsia="黑体"/>
                <w:sz w:val="24"/>
              </w:rPr>
            </w:pPr>
          </w:p>
          <w:p w14:paraId="4978211A">
            <w:pPr>
              <w:jc w:val="center"/>
              <w:rPr>
                <w:rFonts w:hint="eastAsia" w:ascii="黑体" w:eastAsia="黑体"/>
                <w:sz w:val="24"/>
              </w:rPr>
            </w:pPr>
          </w:p>
          <w:p w14:paraId="44510742">
            <w:pPr>
              <w:jc w:val="center"/>
              <w:rPr>
                <w:rFonts w:hint="eastAsia" w:ascii="黑体" w:eastAsia="黑体"/>
                <w:sz w:val="24"/>
              </w:rPr>
            </w:pPr>
          </w:p>
          <w:p w14:paraId="0AB5A4AE">
            <w:pPr>
              <w:jc w:val="center"/>
              <w:rPr>
                <w:rFonts w:hint="eastAsia" w:ascii="黑体" w:eastAsia="黑体"/>
                <w:sz w:val="24"/>
              </w:rPr>
            </w:pPr>
          </w:p>
        </w:tc>
      </w:tr>
      <w:tr w14:paraId="1387844A">
        <w:trPr>
          <w:trHeight w:val="615" w:hRule="atLeast"/>
        </w:trPr>
        <w:tc>
          <w:tcPr>
            <w:tcW w:w="1836" w:type="dxa"/>
            <w:gridSpan w:val="2"/>
            <w:noWrap w:val="0"/>
            <w:vAlign w:val="center"/>
          </w:tcPr>
          <w:p w14:paraId="5016A440">
            <w:pPr>
              <w:jc w:val="center"/>
              <w:rPr>
                <w:rFonts w:hint="eastAsia" w:ascii="宋体" w:hAnsi="宋体"/>
                <w:sz w:val="24"/>
              </w:rPr>
            </w:pPr>
            <w:r>
              <w:rPr>
                <w:rFonts w:hint="eastAsia" w:ascii="宋体" w:hAnsi="宋体"/>
                <w:sz w:val="24"/>
              </w:rPr>
              <w:t>成  绩</w:t>
            </w:r>
          </w:p>
        </w:tc>
        <w:tc>
          <w:tcPr>
            <w:tcW w:w="1260" w:type="dxa"/>
            <w:gridSpan w:val="2"/>
            <w:noWrap w:val="0"/>
            <w:vAlign w:val="center"/>
          </w:tcPr>
          <w:p w14:paraId="0D4D3BCC">
            <w:pPr>
              <w:jc w:val="center"/>
              <w:rPr>
                <w:rFonts w:hint="eastAsia" w:ascii="宋体" w:hAnsi="宋体"/>
                <w:sz w:val="24"/>
              </w:rPr>
            </w:pPr>
          </w:p>
        </w:tc>
        <w:tc>
          <w:tcPr>
            <w:tcW w:w="1800" w:type="dxa"/>
            <w:gridSpan w:val="3"/>
            <w:noWrap w:val="0"/>
            <w:vAlign w:val="center"/>
          </w:tcPr>
          <w:p w14:paraId="40540692">
            <w:pPr>
              <w:jc w:val="center"/>
              <w:rPr>
                <w:rFonts w:hint="eastAsia" w:ascii="宋体" w:hAnsi="宋体"/>
                <w:sz w:val="24"/>
              </w:rPr>
            </w:pPr>
            <w:r>
              <w:rPr>
                <w:rFonts w:hint="eastAsia" w:ascii="宋体" w:hAnsi="宋体"/>
                <w:sz w:val="24"/>
              </w:rPr>
              <w:t>指导教师职称</w:t>
            </w:r>
          </w:p>
        </w:tc>
        <w:tc>
          <w:tcPr>
            <w:tcW w:w="1404" w:type="dxa"/>
            <w:noWrap w:val="0"/>
            <w:vAlign w:val="center"/>
          </w:tcPr>
          <w:p w14:paraId="5C9B2F93">
            <w:pPr>
              <w:jc w:val="center"/>
              <w:rPr>
                <w:rFonts w:hint="eastAsia" w:ascii="宋体" w:hAnsi="宋体"/>
                <w:sz w:val="24"/>
              </w:rPr>
            </w:pPr>
          </w:p>
        </w:tc>
        <w:tc>
          <w:tcPr>
            <w:tcW w:w="771" w:type="dxa"/>
            <w:noWrap w:val="0"/>
            <w:vAlign w:val="center"/>
          </w:tcPr>
          <w:p w14:paraId="23855F80">
            <w:pPr>
              <w:jc w:val="center"/>
              <w:rPr>
                <w:rFonts w:hint="eastAsia" w:ascii="宋体" w:hAnsi="宋体"/>
                <w:sz w:val="24"/>
              </w:rPr>
            </w:pPr>
            <w:r>
              <w:rPr>
                <w:rFonts w:hint="eastAsia" w:ascii="宋体" w:hAnsi="宋体"/>
                <w:sz w:val="24"/>
              </w:rPr>
              <w:t>签名</w:t>
            </w:r>
          </w:p>
        </w:tc>
        <w:tc>
          <w:tcPr>
            <w:tcW w:w="1389" w:type="dxa"/>
            <w:noWrap w:val="0"/>
            <w:vAlign w:val="center"/>
          </w:tcPr>
          <w:p w14:paraId="3AC62529">
            <w:pPr>
              <w:jc w:val="center"/>
              <w:rPr>
                <w:rFonts w:hint="eastAsia" w:ascii="宋体" w:hAnsi="宋体"/>
                <w:sz w:val="24"/>
              </w:rPr>
            </w:pPr>
          </w:p>
        </w:tc>
      </w:tr>
      <w:tr w14:paraId="30048822">
        <w:trPr>
          <w:trHeight w:val="508" w:hRule="atLeast"/>
        </w:trPr>
        <w:tc>
          <w:tcPr>
            <w:tcW w:w="8460" w:type="dxa"/>
            <w:gridSpan w:val="10"/>
            <w:noWrap w:val="0"/>
            <w:vAlign w:val="center"/>
          </w:tcPr>
          <w:p w14:paraId="42061299">
            <w:pPr>
              <w:jc w:val="center"/>
              <w:rPr>
                <w:rFonts w:hint="eastAsia" w:ascii="宋体" w:hAnsi="宋体"/>
                <w:sz w:val="24"/>
              </w:rPr>
            </w:pPr>
            <w:r>
              <w:rPr>
                <w:rFonts w:hint="eastAsia" w:ascii="宋体" w:hAnsi="宋体"/>
                <w:sz w:val="24"/>
              </w:rPr>
              <w:t>评审时间：                                            年    月    日</w:t>
            </w:r>
          </w:p>
        </w:tc>
      </w:tr>
    </w:tbl>
    <w:p w14:paraId="21E5E5DA">
      <w:pPr>
        <w:pStyle w:val="44"/>
        <w:ind w:left="0" w:leftChars="0" w:firstLine="0" w:firstLineChars="0"/>
      </w:pPr>
    </w:p>
    <w:bookmarkEnd w:id="44"/>
    <w:bookmarkEnd w:id="52"/>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709" w:footer="709" w:gutter="0"/>
      <w:cols w:space="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swiss"/>
    <w:pitch w:val="default"/>
    <w:sig w:usb0="E0000AFF" w:usb1="00007843" w:usb2="00000001" w:usb3="00000000" w:csb0="400001BF" w:csb1="DFF70000"/>
  </w:font>
  <w:font w:name="等线">
    <w:altName w:val="汉仪中等线KW"/>
    <w:panose1 w:val="02010600030101010101"/>
    <w:charset w:val="86"/>
    <w:family w:val="auto"/>
    <w:pitch w:val="default"/>
    <w:sig w:usb0="00000000" w:usb1="00000000" w:usb2="00000016" w:usb3="00000000" w:csb0="0004000F" w:csb1="00000000"/>
  </w:font>
  <w:font w:name="DengXian">
    <w:altName w:val="汉仪中等线KW"/>
    <w:panose1 w:val="00000000000000000000"/>
    <w:charset w:val="00"/>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黑体">
    <w:altName w:val="汉仪中黑KW"/>
    <w:panose1 w:val="00000000000000000000"/>
    <w:charset w:val="00"/>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等线 Light">
    <w:altName w:val="汉仪中等线KW"/>
    <w:panose1 w:val="02010600030101010101"/>
    <w:charset w:val="86"/>
    <w:family w:val="auto"/>
    <w:pitch w:val="default"/>
    <w:sig w:usb0="00000000" w:usb1="00000000" w:usb2="00000016" w:usb3="00000000" w:csb0="0004000F" w:csb1="00000000"/>
  </w:font>
  <w:font w:name="微软雅黑">
    <w:altName w:val="方正雅意黑 GB18030L2"/>
    <w:panose1 w:val="020B0503020204020204"/>
    <w:charset w:val="86"/>
    <w:family w:val="swiss"/>
    <w:pitch w:val="default"/>
    <w:sig w:usb0="00000000" w:usb1="00000000" w:usb2="00000016" w:usb3="00000000" w:csb0="0004001F"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等线 Light">
    <w:altName w:val="汉仪中等线KW"/>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方正雅意黑 GB18030L2">
    <w:panose1 w:val="02000500000000000000"/>
    <w:charset w:val="86"/>
    <w:family w:val="auto"/>
    <w:pitch w:val="default"/>
    <w:sig w:usb0="E00002FF" w:usb1="38CFFCFB" w:usb2="00000016" w:usb3="00000000" w:csb0="6004019F" w:csb1="DFD7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Hiragino Sans GB W3">
    <w:panose1 w:val="020B0300000000000000"/>
    <w:charset w:val="86"/>
    <w:family w:val="auto"/>
    <w:pitch w:val="default"/>
    <w:sig w:usb0="A00002BF" w:usb1="1ACF7CFA" w:usb2="00000016" w:usb3="00000000" w:csb0="00060007" w:csb1="00000000"/>
  </w:font>
  <w:font w:name="HYJunHei 55J">
    <w:panose1 w:val="020B0604020202020204"/>
    <w:charset w:val="86"/>
    <w:family w:val="auto"/>
    <w:pitch w:val="default"/>
    <w:sig w:usb0="A00002BF" w:usb1="0ACF7CFA" w:usb2="00000016" w:usb3="00000000" w:csb0="2004000F" w:csb1="00000000"/>
  </w:font>
  <w:font w:name="HYQiHeiKW 55S">
    <w:panose1 w:val="00020600040101010101"/>
    <w:charset w:val="86"/>
    <w:family w:val="auto"/>
    <w:pitch w:val="default"/>
    <w:sig w:usb0="A00002BF" w:usb1="3ACF7CFA" w:usb2="00000016" w:usb3="00000000" w:csb0="0004009F" w:csb1="DFD70000"/>
  </w:font>
  <w:font w:name="SimSong">
    <w:panose1 w:val="02020300000000000000"/>
    <w:charset w:val="86"/>
    <w:family w:val="auto"/>
    <w:pitch w:val="default"/>
    <w:sig w:usb0="800002BF" w:usb1="38CF7CFA" w:usb2="00000016" w:usb3="00000000" w:csb0="0004000D" w:csb1="00000000"/>
  </w:font>
  <w:font w:name="STHeiti Light">
    <w:panose1 w:val="02010600040101010101"/>
    <w:charset w:val="86"/>
    <w:family w:val="auto"/>
    <w:pitch w:val="default"/>
    <w:sig w:usb0="00000287" w:usb1="080F0000" w:usb2="00000000" w:usb3="00000000" w:csb0="00040001" w:csb1="00000000"/>
  </w:font>
  <w:font w:name="Heiti SC Light">
    <w:panose1 w:val="02000000000000000000"/>
    <w:charset w:val="86"/>
    <w:family w:val="auto"/>
    <w:pitch w:val="default"/>
    <w:sig w:usb0="8000002F" w:usb1="0800004A" w:usb2="00000000" w:usb3="00000000" w:csb0="203E0000" w:csb1="00000000"/>
  </w:font>
  <w:font w:name="Kaiti TC">
    <w:panose1 w:val="02010600040101010101"/>
    <w:charset w:val="86"/>
    <w:family w:val="auto"/>
    <w:pitch w:val="default"/>
    <w:sig w:usb0="80000287" w:usb1="280F3C52" w:usb2="00000016" w:usb3="00000000" w:csb0="0004001F" w:csb1="00000000"/>
  </w:font>
  <w:font w:name="Songti TC">
    <w:panose1 w:val="02010600040101010101"/>
    <w:charset w:val="86"/>
    <w:family w:val="auto"/>
    <w:pitch w:val="default"/>
    <w:sig w:usb0="00000287" w:usb1="080F0000" w:usb2="00000000" w:usb3="00000000" w:csb0="0004009F" w:csb1="DFD70000"/>
  </w:font>
  <w:font w:name="Songti SC">
    <w:panose1 w:val="02010800040101010101"/>
    <w:charset w:val="86"/>
    <w:family w:val="auto"/>
    <w:pitch w:val="default"/>
    <w:sig w:usb0="00000001" w:usb1="080F0000" w:usb2="00000000" w:usb3="00000000" w:csb0="00040000" w:csb1="00000000"/>
  </w:font>
  <w:font w:name="华文中宋">
    <w:altName w:val="汉仪书宋二KW"/>
    <w:panose1 w:val="02010600040101010101"/>
    <w:charset w:val="00"/>
    <w:family w:val="auto"/>
    <w:pitch w:val="default"/>
    <w:sig w:usb0="00000000" w:usb1="00000000" w:usb2="00000010" w:usb3="00000000" w:csb0="0004009F" w:csb1="00000000"/>
  </w:font>
  <w:font w:name="楷体_GB2312">
    <w:altName w:val="汉仪楷体简"/>
    <w:panose1 w:val="02010609030101010101"/>
    <w:charset w:val="00"/>
    <w:family w:val="modern"/>
    <w:pitch w:val="default"/>
    <w:sig w:usb0="00000000" w:usb1="0000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冬青黑体简体中文">
    <w:panose1 w:val="020B0300000000000000"/>
    <w:charset w:val="86"/>
    <w:family w:val="auto"/>
    <w:pitch w:val="default"/>
    <w:sig w:usb0="A00002BF" w:usb1="1ACF7CFA" w:usb2="00000016"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5B09D4">
    <w:pPr>
      <w:pStyle w:val="13"/>
      <w:jc w:val="center"/>
      <w:textAlignment w:val="center"/>
    </w:pPr>
    <w:r>
      <w:rPr>
        <w:rFonts w:hint="eastAsia" w:ascii="宋体" w:hAnsi="宋体" w:eastAsia="宋体"/>
      </w:rPr>
      <w:t xml:space="preserve">第 </w:t>
    </w:r>
    <w:r>
      <w:rPr>
        <w:rFonts w:hint="eastAsia" w:ascii="宋体" w:hAnsi="宋体" w:eastAsia="宋体"/>
      </w:rPr>
      <w:fldChar w:fldCharType="begin"/>
    </w:r>
    <w:r>
      <w:rPr>
        <w:rFonts w:hint="eastAsia" w:ascii="宋体" w:hAnsi="宋体" w:eastAsia="宋体"/>
      </w:rPr>
      <w:instrText xml:space="preserve"> PAGE </w:instrText>
    </w:r>
    <w:r>
      <w:rPr>
        <w:rFonts w:hint="eastAsia" w:ascii="宋体" w:hAnsi="宋体" w:eastAsia="宋体"/>
      </w:rPr>
      <w:fldChar w:fldCharType="separate"/>
    </w:r>
    <w:r>
      <w:rPr>
        <w:rFonts w:hint="eastAsia" w:ascii="宋体" w:hAnsi="宋体" w:eastAsia="宋体"/>
      </w:rPr>
      <w:t>1</w:t>
    </w:r>
    <w:r>
      <w:rPr>
        <w:rFonts w:hint="eastAsia" w:ascii="宋体" w:hAnsi="宋体" w:eastAsia="宋体"/>
      </w:rPr>
      <w:fldChar w:fldCharType="end"/>
    </w:r>
    <w:r>
      <w:rPr>
        <w:rFonts w:hint="eastAsia" w:ascii="宋体" w:hAnsi="宋体" w:eastAsia="宋体"/>
      </w:rPr>
      <w:t xml:space="preserve"> 页 / 共 </w:t>
    </w:r>
    <w:r>
      <w:rPr>
        <w:rFonts w:hint="eastAsia" w:ascii="宋体" w:hAnsi="宋体" w:eastAsia="宋体"/>
      </w:rPr>
      <w:fldChar w:fldCharType="begin"/>
    </w:r>
    <w:r>
      <w:rPr>
        <w:rFonts w:hint="eastAsia" w:ascii="宋体" w:hAnsi="宋体" w:eastAsia="宋体"/>
      </w:rPr>
      <w:instrText xml:space="preserve"> NUMPAGES </w:instrText>
    </w:r>
    <w:r>
      <w:rPr>
        <w:rFonts w:hint="eastAsia" w:ascii="宋体" w:hAnsi="宋体" w:eastAsia="宋体"/>
      </w:rPr>
      <w:fldChar w:fldCharType="separate"/>
    </w:r>
    <w:r>
      <w:rPr>
        <w:rFonts w:hint="eastAsia" w:ascii="宋体" w:hAnsi="宋体" w:eastAsia="宋体"/>
      </w:rPr>
      <w:t>1</w:t>
    </w:r>
    <w:r>
      <w:rPr>
        <w:rFonts w:hint="eastAsia" w:ascii="宋体" w:hAnsi="宋体" w:eastAsia="宋体"/>
      </w:rPr>
      <w:fldChar w:fldCharType="end"/>
    </w:r>
    <w:r>
      <w:rPr>
        <w:rFonts w:hint="eastAsia" w:ascii="宋体" w:hAnsi="宋体" w:eastAsia="宋体"/>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6BBFCA">
    <w:pPr>
      <w:pStyle w:val="13"/>
      <w:jc w:val="center"/>
      <w:textAlignment w:val="center"/>
    </w:pPr>
    <w:r>
      <w:rPr>
        <w:rFonts w:hint="eastAsia" w:ascii="宋体" w:hAnsi="宋体" w:eastAsia="宋体"/>
      </w:rPr>
      <w:t xml:space="preserve">第 </w:t>
    </w:r>
    <w:r>
      <w:rPr>
        <w:rFonts w:hint="eastAsia" w:ascii="宋体" w:hAnsi="宋体" w:eastAsia="宋体"/>
      </w:rPr>
      <w:fldChar w:fldCharType="begin"/>
    </w:r>
    <w:r>
      <w:rPr>
        <w:rFonts w:hint="eastAsia" w:ascii="宋体" w:hAnsi="宋体" w:eastAsia="宋体"/>
      </w:rPr>
      <w:instrText xml:space="preserve"> PAGE </w:instrText>
    </w:r>
    <w:r>
      <w:rPr>
        <w:rFonts w:hint="eastAsia" w:ascii="宋体" w:hAnsi="宋体" w:eastAsia="宋体"/>
      </w:rPr>
      <w:fldChar w:fldCharType="separate"/>
    </w:r>
    <w:r>
      <w:rPr>
        <w:rFonts w:hint="eastAsia" w:ascii="宋体" w:hAnsi="宋体" w:eastAsia="宋体"/>
      </w:rPr>
      <w:t>1</w:t>
    </w:r>
    <w:r>
      <w:rPr>
        <w:rFonts w:hint="eastAsia" w:ascii="宋体" w:hAnsi="宋体" w:eastAsia="宋体"/>
      </w:rPr>
      <w:fldChar w:fldCharType="end"/>
    </w:r>
    <w:r>
      <w:rPr>
        <w:rFonts w:hint="eastAsia" w:ascii="宋体" w:hAnsi="宋体" w:eastAsia="宋体"/>
      </w:rPr>
      <w:t xml:space="preserve"> 页 / 共 </w:t>
    </w:r>
    <w:r>
      <w:rPr>
        <w:rFonts w:hint="eastAsia" w:ascii="宋体" w:hAnsi="宋体" w:eastAsia="宋体"/>
      </w:rPr>
      <w:fldChar w:fldCharType="begin"/>
    </w:r>
    <w:r>
      <w:rPr>
        <w:rFonts w:hint="eastAsia" w:ascii="宋体" w:hAnsi="宋体" w:eastAsia="宋体"/>
      </w:rPr>
      <w:instrText xml:space="preserve"> NUMPAGES </w:instrText>
    </w:r>
    <w:r>
      <w:rPr>
        <w:rFonts w:hint="eastAsia" w:ascii="宋体" w:hAnsi="宋体" w:eastAsia="宋体"/>
      </w:rPr>
      <w:fldChar w:fldCharType="separate"/>
    </w:r>
    <w:r>
      <w:rPr>
        <w:rFonts w:hint="eastAsia" w:ascii="宋体" w:hAnsi="宋体" w:eastAsia="宋体"/>
      </w:rPr>
      <w:t>1</w:t>
    </w:r>
    <w:r>
      <w:rPr>
        <w:rFonts w:hint="eastAsia" w:ascii="宋体" w:hAnsi="宋体" w:eastAsia="宋体"/>
      </w:rPr>
      <w:fldChar w:fldCharType="end"/>
    </w:r>
    <w:r>
      <w:rPr>
        <w:rFonts w:hint="eastAsia" w:ascii="宋体" w:hAnsi="宋体" w:eastAsia="宋体"/>
      </w:rPr>
      <w:t xml:space="preserve"> 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C8B950">
    <w:pPr>
      <w:pStyle w:val="13"/>
      <w:jc w:val="center"/>
      <w:textAlignment w:val="center"/>
    </w:pPr>
    <w:r>
      <w:rPr>
        <w:rFonts w:hint="eastAsia" w:ascii="宋体" w:hAnsi="宋体" w:eastAsia="宋体"/>
      </w:rPr>
      <w:t xml:space="preserve">第 </w:t>
    </w:r>
    <w:r>
      <w:rPr>
        <w:rFonts w:hint="eastAsia" w:ascii="宋体" w:hAnsi="宋体" w:eastAsia="宋体"/>
      </w:rPr>
      <w:fldChar w:fldCharType="begin"/>
    </w:r>
    <w:r>
      <w:rPr>
        <w:rFonts w:hint="eastAsia" w:ascii="宋体" w:hAnsi="宋体" w:eastAsia="宋体"/>
      </w:rPr>
      <w:instrText xml:space="preserve"> PAGE </w:instrText>
    </w:r>
    <w:r>
      <w:rPr>
        <w:rFonts w:hint="eastAsia" w:ascii="宋体" w:hAnsi="宋体" w:eastAsia="宋体"/>
      </w:rPr>
      <w:fldChar w:fldCharType="separate"/>
    </w:r>
    <w:r>
      <w:rPr>
        <w:rFonts w:hint="eastAsia" w:ascii="宋体" w:hAnsi="宋体" w:eastAsia="宋体"/>
      </w:rPr>
      <w:t>1</w:t>
    </w:r>
    <w:r>
      <w:rPr>
        <w:rFonts w:hint="eastAsia" w:ascii="宋体" w:hAnsi="宋体" w:eastAsia="宋体"/>
      </w:rPr>
      <w:fldChar w:fldCharType="end"/>
    </w:r>
    <w:r>
      <w:rPr>
        <w:rFonts w:hint="eastAsia" w:ascii="宋体" w:hAnsi="宋体" w:eastAsia="宋体"/>
      </w:rPr>
      <w:t xml:space="preserve"> 页 / 共 </w:t>
    </w:r>
    <w:r>
      <w:rPr>
        <w:rFonts w:hint="eastAsia" w:ascii="宋体" w:hAnsi="宋体" w:eastAsia="宋体"/>
      </w:rPr>
      <w:fldChar w:fldCharType="begin"/>
    </w:r>
    <w:r>
      <w:rPr>
        <w:rFonts w:hint="eastAsia" w:ascii="宋体" w:hAnsi="宋体" w:eastAsia="宋体"/>
      </w:rPr>
      <w:instrText xml:space="preserve"> NUMPAGES </w:instrText>
    </w:r>
    <w:r>
      <w:rPr>
        <w:rFonts w:hint="eastAsia" w:ascii="宋体" w:hAnsi="宋体" w:eastAsia="宋体"/>
      </w:rPr>
      <w:fldChar w:fldCharType="separate"/>
    </w:r>
    <w:r>
      <w:rPr>
        <w:rFonts w:hint="eastAsia" w:ascii="宋体" w:hAnsi="宋体" w:eastAsia="宋体"/>
      </w:rPr>
      <w:t>1</w:t>
    </w:r>
    <w:r>
      <w:rPr>
        <w:rFonts w:hint="eastAsia" w:ascii="宋体" w:hAnsi="宋体" w:eastAsia="宋体"/>
      </w:rPr>
      <w:fldChar w:fldCharType="end"/>
    </w:r>
    <w:r>
      <w:rPr>
        <w:rFonts w:hint="eastAsia" w:ascii="宋体" w:hAnsi="宋体" w:eastAsia="宋体"/>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A45979">
    <w:pPr>
      <w:pStyle w:val="1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77C3B0">
    <w:pPr>
      <w:pStyle w:val="1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BECA1">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BF88DB"/>
    <w:multiLevelType w:val="singleLevel"/>
    <w:tmpl w:val="DCBF88DB"/>
    <w:lvl w:ilvl="0" w:tentative="0">
      <w:start w:val="1"/>
      <w:numFmt w:val="decimal"/>
      <w:pStyle w:val="99"/>
      <w:suff w:val="space"/>
      <w:lvlText w:val="%1."/>
      <w:lvlJc w:val="left"/>
    </w:lvl>
  </w:abstractNum>
  <w:abstractNum w:abstractNumId="1">
    <w:nsid w:val="FBF5CF91"/>
    <w:multiLevelType w:val="singleLevel"/>
    <w:tmpl w:val="FBF5CF91"/>
    <w:lvl w:ilvl="0" w:tentative="0">
      <w:start w:val="1"/>
      <w:numFmt w:val="decimal"/>
      <w:pStyle w:val="101"/>
      <w:suff w:val="space"/>
      <w:lvlText w:val="(%1)"/>
      <w:lvlJc w:val="left"/>
    </w:lvl>
  </w:abstractNum>
  <w:abstractNum w:abstractNumId="2">
    <w:nsid w:val="FEC69D25"/>
    <w:multiLevelType w:val="singleLevel"/>
    <w:tmpl w:val="FEC69D25"/>
    <w:lvl w:ilvl="0" w:tentative="0">
      <w:start w:val="1"/>
      <w:numFmt w:val="decimalEnclosedCircle"/>
      <w:pStyle w:val="102"/>
      <w:suff w:val="space"/>
      <w:lvlText w:val="%1"/>
      <w:lvlJc w:val="left"/>
    </w:lvl>
  </w:abstractNum>
  <w:abstractNum w:abstractNumId="3">
    <w:nsid w:val="FEFF065D"/>
    <w:multiLevelType w:val="singleLevel"/>
    <w:tmpl w:val="FEFF065D"/>
    <w:lvl w:ilvl="0" w:tentative="0">
      <w:start w:val="1"/>
      <w:numFmt w:val="chineseCounting"/>
      <w:pStyle w:val="103"/>
      <w:suff w:val="nothing"/>
      <w:lvlText w:val="%1、"/>
      <w:lvlJc w:val="left"/>
    </w:lvl>
  </w:abstractNum>
  <w:abstractNum w:abstractNumId="4">
    <w:nsid w:val="45A20ED7"/>
    <w:multiLevelType w:val="multilevel"/>
    <w:tmpl w:val="45A20ED7"/>
    <w:lvl w:ilvl="0" w:tentative="0">
      <w:start w:val="1"/>
      <w:numFmt w:val="decimal"/>
      <w:pStyle w:val="2"/>
      <w:suff w:val="space"/>
      <w:lvlText w:val="%1"/>
      <w:lvlJc w:val="left"/>
      <w:pPr>
        <w:spacing w:before="0" w:after="0" w:line="240" w:lineRule="auto"/>
        <w:ind w:firstLine="0" w:firstLineChars="0"/>
        <w:jc w:val="left"/>
      </w:pPr>
      <w:rPr>
        <w:rFonts w:hint="eastAsia" w:eastAsia="黑体"/>
        <w:b/>
        <w:sz w:val="28"/>
        <w:szCs w:val="28"/>
      </w:rPr>
    </w:lvl>
    <w:lvl w:ilvl="1" w:tentative="0">
      <w:start w:val="1"/>
      <w:numFmt w:val="decimal"/>
      <w:pStyle w:val="3"/>
      <w:isLgl/>
      <w:suff w:val="space"/>
      <w:lvlText w:val="%1.%2"/>
      <w:lvlJc w:val="left"/>
      <w:pPr>
        <w:spacing w:before="0" w:after="0" w:line="240" w:lineRule="auto"/>
        <w:ind w:firstLine="200" w:firstLineChars="200"/>
        <w:jc w:val="left"/>
      </w:pPr>
      <w:rPr>
        <w:rFonts w:hint="eastAsia" w:eastAsia="宋体"/>
        <w:b w:val="0"/>
        <w:bCs w:val="0"/>
        <w:sz w:val="24"/>
        <w:szCs w:val="24"/>
      </w:rPr>
    </w:lvl>
    <w:lvl w:ilvl="2" w:tentative="0">
      <w:start w:val="1"/>
      <w:numFmt w:val="decimal"/>
      <w:pStyle w:val="4"/>
      <w:isLgl/>
      <w:suff w:val="space"/>
      <w:lvlText w:val="%1.%2.%3"/>
      <w:lvlJc w:val="left"/>
      <w:pPr>
        <w:spacing w:before="0" w:after="0" w:line="240" w:lineRule="auto"/>
        <w:ind w:firstLine="200" w:firstLineChars="200"/>
        <w:jc w:val="left"/>
      </w:pPr>
      <w:rPr>
        <w:rFonts w:hint="eastAsia" w:eastAsia="宋体"/>
        <w:b/>
        <w:sz w:val="24"/>
        <w:szCs w:val="24"/>
      </w:rPr>
    </w:lvl>
    <w:lvl w:ilvl="3" w:tentative="0">
      <w:start w:val="1"/>
      <w:numFmt w:val="decimal"/>
      <w:pStyle w:val="6"/>
      <w:isLgl/>
      <w:suff w:val="space"/>
      <w:lvlText w:val="%1.%2.%3.%4"/>
      <w:lvlJc w:val="left"/>
      <w:pPr>
        <w:spacing w:before="0" w:after="0" w:line="240" w:lineRule="auto"/>
        <w:ind w:firstLine="200" w:firstLineChars="200"/>
        <w:jc w:val="left"/>
      </w:pPr>
      <w:rPr>
        <w:rFonts w:hint="eastAsia" w:eastAsia="宋体"/>
        <w:b/>
        <w:sz w:val="24"/>
        <w:szCs w:val="24"/>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5">
    <w:nsid w:val="4ADFA8D0"/>
    <w:multiLevelType w:val="singleLevel"/>
    <w:tmpl w:val="4ADFA8D0"/>
    <w:lvl w:ilvl="0" w:tentative="0">
      <w:start w:val="1"/>
      <w:numFmt w:val="bullet"/>
      <w:pStyle w:val="100"/>
      <w:suff w:val="space"/>
      <w:lvlText w:val="•"/>
      <w:lvlJc w:val="left"/>
    </w:lvl>
  </w:abstractNum>
  <w:num w:numId="1">
    <w:abstractNumId w:val="4"/>
  </w:num>
  <w:num w:numId="2">
    <w:abstractNumId w:val="0"/>
  </w:num>
  <w:num w:numId="3">
    <w:abstractNumId w:val="5"/>
  </w:num>
  <w:num w:numId="4">
    <w:abstractNumId w:val="1"/>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embedSystemFonts/>
  <w:bordersDoNotSurroundHeader w:val="1"/>
  <w:bordersDoNotSurroundFooter w:val="1"/>
  <w:doNotTrackMoves/>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53E0"/>
    <w:rsid w:val="00001AD8"/>
    <w:rsid w:val="0000253D"/>
    <w:rsid w:val="00002818"/>
    <w:rsid w:val="00002B06"/>
    <w:rsid w:val="0000371C"/>
    <w:rsid w:val="00003C13"/>
    <w:rsid w:val="0000524B"/>
    <w:rsid w:val="00005F83"/>
    <w:rsid w:val="0000648A"/>
    <w:rsid w:val="000079C0"/>
    <w:rsid w:val="000113C9"/>
    <w:rsid w:val="00011EC9"/>
    <w:rsid w:val="000121C7"/>
    <w:rsid w:val="0001283D"/>
    <w:rsid w:val="00012CDC"/>
    <w:rsid w:val="00013609"/>
    <w:rsid w:val="00014929"/>
    <w:rsid w:val="00014B0F"/>
    <w:rsid w:val="00014E55"/>
    <w:rsid w:val="00015890"/>
    <w:rsid w:val="0001698A"/>
    <w:rsid w:val="00016D49"/>
    <w:rsid w:val="00017735"/>
    <w:rsid w:val="00023D1D"/>
    <w:rsid w:val="0002472F"/>
    <w:rsid w:val="00024B07"/>
    <w:rsid w:val="00024EB8"/>
    <w:rsid w:val="00025D41"/>
    <w:rsid w:val="00026262"/>
    <w:rsid w:val="00027108"/>
    <w:rsid w:val="0002732C"/>
    <w:rsid w:val="000300FB"/>
    <w:rsid w:val="0003163B"/>
    <w:rsid w:val="000321A8"/>
    <w:rsid w:val="00032B8B"/>
    <w:rsid w:val="000338E9"/>
    <w:rsid w:val="000344A3"/>
    <w:rsid w:val="00035CBD"/>
    <w:rsid w:val="000371FA"/>
    <w:rsid w:val="00040B02"/>
    <w:rsid w:val="00041257"/>
    <w:rsid w:val="00043115"/>
    <w:rsid w:val="00043CA6"/>
    <w:rsid w:val="00043E63"/>
    <w:rsid w:val="0004446C"/>
    <w:rsid w:val="00044C92"/>
    <w:rsid w:val="00045414"/>
    <w:rsid w:val="000457E6"/>
    <w:rsid w:val="0004789E"/>
    <w:rsid w:val="00047CD3"/>
    <w:rsid w:val="000500C1"/>
    <w:rsid w:val="000507C5"/>
    <w:rsid w:val="00051C9C"/>
    <w:rsid w:val="00052F8C"/>
    <w:rsid w:val="00053B59"/>
    <w:rsid w:val="00054FCC"/>
    <w:rsid w:val="00055B5D"/>
    <w:rsid w:val="0005650E"/>
    <w:rsid w:val="0005773F"/>
    <w:rsid w:val="00057919"/>
    <w:rsid w:val="0006073B"/>
    <w:rsid w:val="00060F0C"/>
    <w:rsid w:val="000611E9"/>
    <w:rsid w:val="0006191D"/>
    <w:rsid w:val="00061C78"/>
    <w:rsid w:val="00061E5D"/>
    <w:rsid w:val="00062916"/>
    <w:rsid w:val="00063E72"/>
    <w:rsid w:val="00064A39"/>
    <w:rsid w:val="0006642B"/>
    <w:rsid w:val="00066992"/>
    <w:rsid w:val="000671E7"/>
    <w:rsid w:val="000707E3"/>
    <w:rsid w:val="00070D19"/>
    <w:rsid w:val="0007111C"/>
    <w:rsid w:val="00072709"/>
    <w:rsid w:val="000729CC"/>
    <w:rsid w:val="0007343D"/>
    <w:rsid w:val="00074D5B"/>
    <w:rsid w:val="0007585D"/>
    <w:rsid w:val="00075A3D"/>
    <w:rsid w:val="00076243"/>
    <w:rsid w:val="00076A88"/>
    <w:rsid w:val="00076E32"/>
    <w:rsid w:val="00077710"/>
    <w:rsid w:val="000803AB"/>
    <w:rsid w:val="0008061F"/>
    <w:rsid w:val="00080700"/>
    <w:rsid w:val="000807CF"/>
    <w:rsid w:val="00080935"/>
    <w:rsid w:val="000811A3"/>
    <w:rsid w:val="00081BE3"/>
    <w:rsid w:val="00082674"/>
    <w:rsid w:val="00082859"/>
    <w:rsid w:val="000847F4"/>
    <w:rsid w:val="000848E5"/>
    <w:rsid w:val="00085E3E"/>
    <w:rsid w:val="00087171"/>
    <w:rsid w:val="00093C56"/>
    <w:rsid w:val="00093DA6"/>
    <w:rsid w:val="00093E68"/>
    <w:rsid w:val="00094372"/>
    <w:rsid w:val="00094DC5"/>
    <w:rsid w:val="000955F8"/>
    <w:rsid w:val="00095822"/>
    <w:rsid w:val="00095A3E"/>
    <w:rsid w:val="00097CF2"/>
    <w:rsid w:val="000A0285"/>
    <w:rsid w:val="000A0659"/>
    <w:rsid w:val="000A0CB3"/>
    <w:rsid w:val="000A0D07"/>
    <w:rsid w:val="000A1154"/>
    <w:rsid w:val="000A2723"/>
    <w:rsid w:val="000A28C7"/>
    <w:rsid w:val="000A3ECB"/>
    <w:rsid w:val="000A43B7"/>
    <w:rsid w:val="000A53E0"/>
    <w:rsid w:val="000A5478"/>
    <w:rsid w:val="000A583B"/>
    <w:rsid w:val="000A584B"/>
    <w:rsid w:val="000A5CD0"/>
    <w:rsid w:val="000A6481"/>
    <w:rsid w:val="000A7C83"/>
    <w:rsid w:val="000B0305"/>
    <w:rsid w:val="000B0A06"/>
    <w:rsid w:val="000B0C0B"/>
    <w:rsid w:val="000B2A0C"/>
    <w:rsid w:val="000B2D9A"/>
    <w:rsid w:val="000B4E97"/>
    <w:rsid w:val="000B54F0"/>
    <w:rsid w:val="000B5A35"/>
    <w:rsid w:val="000B5B32"/>
    <w:rsid w:val="000B732D"/>
    <w:rsid w:val="000B7916"/>
    <w:rsid w:val="000C0321"/>
    <w:rsid w:val="000C0DB3"/>
    <w:rsid w:val="000C1070"/>
    <w:rsid w:val="000C1193"/>
    <w:rsid w:val="000C1640"/>
    <w:rsid w:val="000C2A46"/>
    <w:rsid w:val="000C2EEA"/>
    <w:rsid w:val="000C3C88"/>
    <w:rsid w:val="000C455D"/>
    <w:rsid w:val="000C4863"/>
    <w:rsid w:val="000C5BBB"/>
    <w:rsid w:val="000C60EA"/>
    <w:rsid w:val="000C6182"/>
    <w:rsid w:val="000C7BFA"/>
    <w:rsid w:val="000D097A"/>
    <w:rsid w:val="000D10F3"/>
    <w:rsid w:val="000D16C8"/>
    <w:rsid w:val="000D170A"/>
    <w:rsid w:val="000D1BD3"/>
    <w:rsid w:val="000D1DEC"/>
    <w:rsid w:val="000D24CE"/>
    <w:rsid w:val="000D2C3F"/>
    <w:rsid w:val="000D38B1"/>
    <w:rsid w:val="000D38D9"/>
    <w:rsid w:val="000D6870"/>
    <w:rsid w:val="000D7578"/>
    <w:rsid w:val="000D7F54"/>
    <w:rsid w:val="000E00A5"/>
    <w:rsid w:val="000E102D"/>
    <w:rsid w:val="000E12F2"/>
    <w:rsid w:val="000E1F02"/>
    <w:rsid w:val="000E2623"/>
    <w:rsid w:val="000E29A9"/>
    <w:rsid w:val="000E3CCF"/>
    <w:rsid w:val="000E48D2"/>
    <w:rsid w:val="000E54E4"/>
    <w:rsid w:val="000E6684"/>
    <w:rsid w:val="000E7432"/>
    <w:rsid w:val="000E7F5F"/>
    <w:rsid w:val="000F16C6"/>
    <w:rsid w:val="000F2A38"/>
    <w:rsid w:val="000F3FA6"/>
    <w:rsid w:val="000F4050"/>
    <w:rsid w:val="000F4095"/>
    <w:rsid w:val="000F4C37"/>
    <w:rsid w:val="000F5052"/>
    <w:rsid w:val="000F5562"/>
    <w:rsid w:val="000F5666"/>
    <w:rsid w:val="000F5D34"/>
    <w:rsid w:val="001001F3"/>
    <w:rsid w:val="001003C2"/>
    <w:rsid w:val="00101539"/>
    <w:rsid w:val="00101EA3"/>
    <w:rsid w:val="00101EDE"/>
    <w:rsid w:val="0010265A"/>
    <w:rsid w:val="00102735"/>
    <w:rsid w:val="00102805"/>
    <w:rsid w:val="00103C3E"/>
    <w:rsid w:val="00103FD6"/>
    <w:rsid w:val="0010428F"/>
    <w:rsid w:val="001043AE"/>
    <w:rsid w:val="001043F3"/>
    <w:rsid w:val="00104E73"/>
    <w:rsid w:val="0010528A"/>
    <w:rsid w:val="00107144"/>
    <w:rsid w:val="001071A3"/>
    <w:rsid w:val="001072F1"/>
    <w:rsid w:val="00107726"/>
    <w:rsid w:val="00107DE4"/>
    <w:rsid w:val="00107E94"/>
    <w:rsid w:val="001109BA"/>
    <w:rsid w:val="001117EC"/>
    <w:rsid w:val="001118B9"/>
    <w:rsid w:val="0011191A"/>
    <w:rsid w:val="001122A5"/>
    <w:rsid w:val="00112FEA"/>
    <w:rsid w:val="00113CBD"/>
    <w:rsid w:val="00113EBB"/>
    <w:rsid w:val="00114DA8"/>
    <w:rsid w:val="00115140"/>
    <w:rsid w:val="001155F3"/>
    <w:rsid w:val="00115830"/>
    <w:rsid w:val="00115963"/>
    <w:rsid w:val="00116008"/>
    <w:rsid w:val="001170D0"/>
    <w:rsid w:val="00117639"/>
    <w:rsid w:val="00121D2C"/>
    <w:rsid w:val="001222B5"/>
    <w:rsid w:val="001230E4"/>
    <w:rsid w:val="001248B5"/>
    <w:rsid w:val="001250F3"/>
    <w:rsid w:val="00125A07"/>
    <w:rsid w:val="001271DA"/>
    <w:rsid w:val="001305F5"/>
    <w:rsid w:val="00130F53"/>
    <w:rsid w:val="00131389"/>
    <w:rsid w:val="001315DF"/>
    <w:rsid w:val="00133454"/>
    <w:rsid w:val="001338B9"/>
    <w:rsid w:val="00133ABB"/>
    <w:rsid w:val="00133D5D"/>
    <w:rsid w:val="00135CBB"/>
    <w:rsid w:val="00136D35"/>
    <w:rsid w:val="00136FE0"/>
    <w:rsid w:val="00140770"/>
    <w:rsid w:val="0014088E"/>
    <w:rsid w:val="00141E78"/>
    <w:rsid w:val="0014210A"/>
    <w:rsid w:val="0014297B"/>
    <w:rsid w:val="00143610"/>
    <w:rsid w:val="00144AEA"/>
    <w:rsid w:val="00144F9C"/>
    <w:rsid w:val="00147B11"/>
    <w:rsid w:val="00150322"/>
    <w:rsid w:val="0015119C"/>
    <w:rsid w:val="0015140E"/>
    <w:rsid w:val="00152802"/>
    <w:rsid w:val="00152989"/>
    <w:rsid w:val="00153821"/>
    <w:rsid w:val="00153835"/>
    <w:rsid w:val="00153C11"/>
    <w:rsid w:val="001549C5"/>
    <w:rsid w:val="0015525D"/>
    <w:rsid w:val="001555B3"/>
    <w:rsid w:val="00160DE6"/>
    <w:rsid w:val="00161270"/>
    <w:rsid w:val="001615A2"/>
    <w:rsid w:val="001616F9"/>
    <w:rsid w:val="001621C3"/>
    <w:rsid w:val="00162F9A"/>
    <w:rsid w:val="001646D5"/>
    <w:rsid w:val="001648E7"/>
    <w:rsid w:val="001649F1"/>
    <w:rsid w:val="00164D42"/>
    <w:rsid w:val="00165E8E"/>
    <w:rsid w:val="00166AE7"/>
    <w:rsid w:val="00166CA8"/>
    <w:rsid w:val="00166D26"/>
    <w:rsid w:val="00167C55"/>
    <w:rsid w:val="00170338"/>
    <w:rsid w:val="00171137"/>
    <w:rsid w:val="00171DEF"/>
    <w:rsid w:val="00171EE5"/>
    <w:rsid w:val="001727DB"/>
    <w:rsid w:val="001731B2"/>
    <w:rsid w:val="001743E8"/>
    <w:rsid w:val="00174844"/>
    <w:rsid w:val="001748BF"/>
    <w:rsid w:val="00175D70"/>
    <w:rsid w:val="001777EE"/>
    <w:rsid w:val="0018008F"/>
    <w:rsid w:val="0018028F"/>
    <w:rsid w:val="0018046E"/>
    <w:rsid w:val="00180A6A"/>
    <w:rsid w:val="00181D6F"/>
    <w:rsid w:val="00181E98"/>
    <w:rsid w:val="0018215E"/>
    <w:rsid w:val="001824B6"/>
    <w:rsid w:val="00182662"/>
    <w:rsid w:val="0018271D"/>
    <w:rsid w:val="00182B5F"/>
    <w:rsid w:val="00184489"/>
    <w:rsid w:val="00185EC9"/>
    <w:rsid w:val="00187005"/>
    <w:rsid w:val="001904FF"/>
    <w:rsid w:val="00191A80"/>
    <w:rsid w:val="00191B79"/>
    <w:rsid w:val="00192561"/>
    <w:rsid w:val="00192ADC"/>
    <w:rsid w:val="00193645"/>
    <w:rsid w:val="00194C3B"/>
    <w:rsid w:val="00195226"/>
    <w:rsid w:val="00195BED"/>
    <w:rsid w:val="00196103"/>
    <w:rsid w:val="001A1431"/>
    <w:rsid w:val="001A1CE2"/>
    <w:rsid w:val="001A3666"/>
    <w:rsid w:val="001A3D78"/>
    <w:rsid w:val="001A496A"/>
    <w:rsid w:val="001A604D"/>
    <w:rsid w:val="001A6FDA"/>
    <w:rsid w:val="001A7244"/>
    <w:rsid w:val="001A7CF5"/>
    <w:rsid w:val="001B13AF"/>
    <w:rsid w:val="001B1B8D"/>
    <w:rsid w:val="001B1C19"/>
    <w:rsid w:val="001B1E8F"/>
    <w:rsid w:val="001B1F0E"/>
    <w:rsid w:val="001B2C4C"/>
    <w:rsid w:val="001B33D4"/>
    <w:rsid w:val="001B40CC"/>
    <w:rsid w:val="001B4C20"/>
    <w:rsid w:val="001B52EC"/>
    <w:rsid w:val="001B67DC"/>
    <w:rsid w:val="001B725E"/>
    <w:rsid w:val="001C0A42"/>
    <w:rsid w:val="001C11FC"/>
    <w:rsid w:val="001C1839"/>
    <w:rsid w:val="001C4103"/>
    <w:rsid w:val="001C54E6"/>
    <w:rsid w:val="001C64EE"/>
    <w:rsid w:val="001C6836"/>
    <w:rsid w:val="001C6B3D"/>
    <w:rsid w:val="001C6C9D"/>
    <w:rsid w:val="001C7B9A"/>
    <w:rsid w:val="001D202F"/>
    <w:rsid w:val="001D249C"/>
    <w:rsid w:val="001D2E8A"/>
    <w:rsid w:val="001D300F"/>
    <w:rsid w:val="001D335E"/>
    <w:rsid w:val="001D33E8"/>
    <w:rsid w:val="001D36C6"/>
    <w:rsid w:val="001D41C0"/>
    <w:rsid w:val="001D4A97"/>
    <w:rsid w:val="001D51D1"/>
    <w:rsid w:val="001D588B"/>
    <w:rsid w:val="001D5C74"/>
    <w:rsid w:val="001D71E8"/>
    <w:rsid w:val="001D762B"/>
    <w:rsid w:val="001E04B7"/>
    <w:rsid w:val="001E0BDD"/>
    <w:rsid w:val="001E14AE"/>
    <w:rsid w:val="001E17B2"/>
    <w:rsid w:val="001E1893"/>
    <w:rsid w:val="001E1E1C"/>
    <w:rsid w:val="001E223A"/>
    <w:rsid w:val="001E2C4F"/>
    <w:rsid w:val="001E3413"/>
    <w:rsid w:val="001E384B"/>
    <w:rsid w:val="001E3933"/>
    <w:rsid w:val="001E40A2"/>
    <w:rsid w:val="001E4286"/>
    <w:rsid w:val="001E476D"/>
    <w:rsid w:val="001E48AA"/>
    <w:rsid w:val="001E5B8B"/>
    <w:rsid w:val="001E5BCC"/>
    <w:rsid w:val="001E61DB"/>
    <w:rsid w:val="001E6DD1"/>
    <w:rsid w:val="001F4422"/>
    <w:rsid w:val="001F4622"/>
    <w:rsid w:val="001F4789"/>
    <w:rsid w:val="001F4E2C"/>
    <w:rsid w:val="001F50DB"/>
    <w:rsid w:val="001F6366"/>
    <w:rsid w:val="001F6D04"/>
    <w:rsid w:val="00200389"/>
    <w:rsid w:val="00201201"/>
    <w:rsid w:val="002015AB"/>
    <w:rsid w:val="00201882"/>
    <w:rsid w:val="0020270E"/>
    <w:rsid w:val="00202E6C"/>
    <w:rsid w:val="0020368F"/>
    <w:rsid w:val="0020385D"/>
    <w:rsid w:val="00205A20"/>
    <w:rsid w:val="002060C9"/>
    <w:rsid w:val="0021000A"/>
    <w:rsid w:val="002101AF"/>
    <w:rsid w:val="00210225"/>
    <w:rsid w:val="002110F4"/>
    <w:rsid w:val="0021182F"/>
    <w:rsid w:val="002122E1"/>
    <w:rsid w:val="00212519"/>
    <w:rsid w:val="00213A14"/>
    <w:rsid w:val="0021414E"/>
    <w:rsid w:val="002144C2"/>
    <w:rsid w:val="00215639"/>
    <w:rsid w:val="002200D6"/>
    <w:rsid w:val="00220CB0"/>
    <w:rsid w:val="00221089"/>
    <w:rsid w:val="002213C8"/>
    <w:rsid w:val="002227E8"/>
    <w:rsid w:val="00223226"/>
    <w:rsid w:val="0022358F"/>
    <w:rsid w:val="0022425D"/>
    <w:rsid w:val="00224323"/>
    <w:rsid w:val="0022462C"/>
    <w:rsid w:val="002249D5"/>
    <w:rsid w:val="00224E4C"/>
    <w:rsid w:val="00224FD6"/>
    <w:rsid w:val="002254AD"/>
    <w:rsid w:val="0022686B"/>
    <w:rsid w:val="002273B7"/>
    <w:rsid w:val="00230BA0"/>
    <w:rsid w:val="00230F16"/>
    <w:rsid w:val="00232406"/>
    <w:rsid w:val="00232CE7"/>
    <w:rsid w:val="00233A13"/>
    <w:rsid w:val="00234967"/>
    <w:rsid w:val="0023501E"/>
    <w:rsid w:val="002353B9"/>
    <w:rsid w:val="00237297"/>
    <w:rsid w:val="0023778B"/>
    <w:rsid w:val="00237B0A"/>
    <w:rsid w:val="002402B8"/>
    <w:rsid w:val="0024038F"/>
    <w:rsid w:val="00241BBE"/>
    <w:rsid w:val="002421DC"/>
    <w:rsid w:val="0024274B"/>
    <w:rsid w:val="0024331D"/>
    <w:rsid w:val="00243622"/>
    <w:rsid w:val="00244FC9"/>
    <w:rsid w:val="00245C5E"/>
    <w:rsid w:val="00245C9F"/>
    <w:rsid w:val="002464C2"/>
    <w:rsid w:val="00247121"/>
    <w:rsid w:val="00247B01"/>
    <w:rsid w:val="00247D32"/>
    <w:rsid w:val="00250198"/>
    <w:rsid w:val="00250460"/>
    <w:rsid w:val="0025133A"/>
    <w:rsid w:val="0025185D"/>
    <w:rsid w:val="002526A9"/>
    <w:rsid w:val="00253D5F"/>
    <w:rsid w:val="002554E5"/>
    <w:rsid w:val="002611C2"/>
    <w:rsid w:val="00261F60"/>
    <w:rsid w:val="00263376"/>
    <w:rsid w:val="00263C97"/>
    <w:rsid w:val="00263CC6"/>
    <w:rsid w:val="00264161"/>
    <w:rsid w:val="00266ACE"/>
    <w:rsid w:val="00267191"/>
    <w:rsid w:val="00271488"/>
    <w:rsid w:val="002729CF"/>
    <w:rsid w:val="00273FE2"/>
    <w:rsid w:val="00274720"/>
    <w:rsid w:val="00274F57"/>
    <w:rsid w:val="00275624"/>
    <w:rsid w:val="002759BA"/>
    <w:rsid w:val="00275B92"/>
    <w:rsid w:val="0027659C"/>
    <w:rsid w:val="00276A9E"/>
    <w:rsid w:val="00280BB8"/>
    <w:rsid w:val="002810CC"/>
    <w:rsid w:val="00281DDE"/>
    <w:rsid w:val="00281F9B"/>
    <w:rsid w:val="00281FCE"/>
    <w:rsid w:val="0028236F"/>
    <w:rsid w:val="00282372"/>
    <w:rsid w:val="002824A9"/>
    <w:rsid w:val="00283898"/>
    <w:rsid w:val="00284DF2"/>
    <w:rsid w:val="00284F78"/>
    <w:rsid w:val="00285004"/>
    <w:rsid w:val="00285901"/>
    <w:rsid w:val="0028604F"/>
    <w:rsid w:val="00286409"/>
    <w:rsid w:val="0028680F"/>
    <w:rsid w:val="002869C0"/>
    <w:rsid w:val="0028706D"/>
    <w:rsid w:val="00287A09"/>
    <w:rsid w:val="002909DF"/>
    <w:rsid w:val="00291783"/>
    <w:rsid w:val="002918E5"/>
    <w:rsid w:val="00292AD3"/>
    <w:rsid w:val="00292C44"/>
    <w:rsid w:val="00294077"/>
    <w:rsid w:val="0029449B"/>
    <w:rsid w:val="00295272"/>
    <w:rsid w:val="0029696B"/>
    <w:rsid w:val="00296E02"/>
    <w:rsid w:val="00297385"/>
    <w:rsid w:val="002A0DDB"/>
    <w:rsid w:val="002A1594"/>
    <w:rsid w:val="002A1FB5"/>
    <w:rsid w:val="002A2F00"/>
    <w:rsid w:val="002A415E"/>
    <w:rsid w:val="002A4C42"/>
    <w:rsid w:val="002A5349"/>
    <w:rsid w:val="002A540C"/>
    <w:rsid w:val="002A59AE"/>
    <w:rsid w:val="002A6EF8"/>
    <w:rsid w:val="002A77A0"/>
    <w:rsid w:val="002A7890"/>
    <w:rsid w:val="002B0182"/>
    <w:rsid w:val="002B0CD9"/>
    <w:rsid w:val="002B0D8A"/>
    <w:rsid w:val="002B168C"/>
    <w:rsid w:val="002B1E9F"/>
    <w:rsid w:val="002B1F1C"/>
    <w:rsid w:val="002B24CE"/>
    <w:rsid w:val="002B2529"/>
    <w:rsid w:val="002B25EF"/>
    <w:rsid w:val="002B291D"/>
    <w:rsid w:val="002B2E7E"/>
    <w:rsid w:val="002B33CF"/>
    <w:rsid w:val="002B3B24"/>
    <w:rsid w:val="002C16F8"/>
    <w:rsid w:val="002C20F6"/>
    <w:rsid w:val="002C37B5"/>
    <w:rsid w:val="002C5F6A"/>
    <w:rsid w:val="002D027F"/>
    <w:rsid w:val="002D0D73"/>
    <w:rsid w:val="002D1D79"/>
    <w:rsid w:val="002D25E1"/>
    <w:rsid w:val="002D32C9"/>
    <w:rsid w:val="002D33BA"/>
    <w:rsid w:val="002D3B80"/>
    <w:rsid w:val="002D4821"/>
    <w:rsid w:val="002D6BFC"/>
    <w:rsid w:val="002E0E5D"/>
    <w:rsid w:val="002E1956"/>
    <w:rsid w:val="002E1ED6"/>
    <w:rsid w:val="002E2554"/>
    <w:rsid w:val="002E271A"/>
    <w:rsid w:val="002E2FF8"/>
    <w:rsid w:val="002E3892"/>
    <w:rsid w:val="002E38B4"/>
    <w:rsid w:val="002E3C67"/>
    <w:rsid w:val="002E4FFF"/>
    <w:rsid w:val="002E556A"/>
    <w:rsid w:val="002E59B6"/>
    <w:rsid w:val="002E62E4"/>
    <w:rsid w:val="002E659D"/>
    <w:rsid w:val="002F084E"/>
    <w:rsid w:val="002F0871"/>
    <w:rsid w:val="002F0DF0"/>
    <w:rsid w:val="002F16C9"/>
    <w:rsid w:val="002F1F9D"/>
    <w:rsid w:val="002F61D3"/>
    <w:rsid w:val="002F6676"/>
    <w:rsid w:val="002F71E1"/>
    <w:rsid w:val="002F7263"/>
    <w:rsid w:val="002F741D"/>
    <w:rsid w:val="00300CA4"/>
    <w:rsid w:val="00301235"/>
    <w:rsid w:val="003038F5"/>
    <w:rsid w:val="00303CD2"/>
    <w:rsid w:val="0030500C"/>
    <w:rsid w:val="00305B19"/>
    <w:rsid w:val="00305CFC"/>
    <w:rsid w:val="00305D9F"/>
    <w:rsid w:val="00305E6A"/>
    <w:rsid w:val="00306397"/>
    <w:rsid w:val="0030654A"/>
    <w:rsid w:val="00306EE2"/>
    <w:rsid w:val="003075C6"/>
    <w:rsid w:val="00310B5F"/>
    <w:rsid w:val="00312A89"/>
    <w:rsid w:val="0031581A"/>
    <w:rsid w:val="00315CE4"/>
    <w:rsid w:val="003166D6"/>
    <w:rsid w:val="00317437"/>
    <w:rsid w:val="00317BC2"/>
    <w:rsid w:val="00320506"/>
    <w:rsid w:val="00321E48"/>
    <w:rsid w:val="00324BC4"/>
    <w:rsid w:val="00325684"/>
    <w:rsid w:val="003262AD"/>
    <w:rsid w:val="00326AEB"/>
    <w:rsid w:val="00326C6E"/>
    <w:rsid w:val="00327609"/>
    <w:rsid w:val="003278E0"/>
    <w:rsid w:val="00327FAB"/>
    <w:rsid w:val="00330224"/>
    <w:rsid w:val="00332B8C"/>
    <w:rsid w:val="00332C1C"/>
    <w:rsid w:val="00333172"/>
    <w:rsid w:val="00333449"/>
    <w:rsid w:val="00333648"/>
    <w:rsid w:val="003342FE"/>
    <w:rsid w:val="0033445B"/>
    <w:rsid w:val="00334A4D"/>
    <w:rsid w:val="00334B01"/>
    <w:rsid w:val="00334FBC"/>
    <w:rsid w:val="003356DE"/>
    <w:rsid w:val="00335F62"/>
    <w:rsid w:val="003368B8"/>
    <w:rsid w:val="003375F5"/>
    <w:rsid w:val="00337EF9"/>
    <w:rsid w:val="00340E1F"/>
    <w:rsid w:val="00341524"/>
    <w:rsid w:val="00342556"/>
    <w:rsid w:val="003426C7"/>
    <w:rsid w:val="003431BC"/>
    <w:rsid w:val="00343B49"/>
    <w:rsid w:val="00343FD7"/>
    <w:rsid w:val="00344755"/>
    <w:rsid w:val="00345777"/>
    <w:rsid w:val="003517AC"/>
    <w:rsid w:val="003517F9"/>
    <w:rsid w:val="00352C6C"/>
    <w:rsid w:val="003539F0"/>
    <w:rsid w:val="00353ABF"/>
    <w:rsid w:val="00354B33"/>
    <w:rsid w:val="003558BA"/>
    <w:rsid w:val="00356619"/>
    <w:rsid w:val="00356637"/>
    <w:rsid w:val="003615AC"/>
    <w:rsid w:val="00362398"/>
    <w:rsid w:val="003630EE"/>
    <w:rsid w:val="00364432"/>
    <w:rsid w:val="00364700"/>
    <w:rsid w:val="00365B1C"/>
    <w:rsid w:val="003675D9"/>
    <w:rsid w:val="00367B3E"/>
    <w:rsid w:val="00367CF8"/>
    <w:rsid w:val="00370408"/>
    <w:rsid w:val="003717E3"/>
    <w:rsid w:val="00372BAD"/>
    <w:rsid w:val="0037543E"/>
    <w:rsid w:val="00375744"/>
    <w:rsid w:val="00375CAF"/>
    <w:rsid w:val="00376299"/>
    <w:rsid w:val="00376319"/>
    <w:rsid w:val="00376417"/>
    <w:rsid w:val="0037666D"/>
    <w:rsid w:val="003800E1"/>
    <w:rsid w:val="00380EA4"/>
    <w:rsid w:val="00381964"/>
    <w:rsid w:val="00382907"/>
    <w:rsid w:val="00382A02"/>
    <w:rsid w:val="00383C15"/>
    <w:rsid w:val="00384632"/>
    <w:rsid w:val="003849D9"/>
    <w:rsid w:val="00384E26"/>
    <w:rsid w:val="00385783"/>
    <w:rsid w:val="0038641A"/>
    <w:rsid w:val="00386766"/>
    <w:rsid w:val="00386EB5"/>
    <w:rsid w:val="00387988"/>
    <w:rsid w:val="00390175"/>
    <w:rsid w:val="00390B20"/>
    <w:rsid w:val="0039137B"/>
    <w:rsid w:val="003920C2"/>
    <w:rsid w:val="00393B60"/>
    <w:rsid w:val="00396537"/>
    <w:rsid w:val="003972E8"/>
    <w:rsid w:val="00397DCB"/>
    <w:rsid w:val="00397DF6"/>
    <w:rsid w:val="003A025E"/>
    <w:rsid w:val="003A0887"/>
    <w:rsid w:val="003A1782"/>
    <w:rsid w:val="003A1C54"/>
    <w:rsid w:val="003A249D"/>
    <w:rsid w:val="003A2B81"/>
    <w:rsid w:val="003A38FF"/>
    <w:rsid w:val="003A44BB"/>
    <w:rsid w:val="003A5149"/>
    <w:rsid w:val="003A5ABC"/>
    <w:rsid w:val="003A6E74"/>
    <w:rsid w:val="003A71BD"/>
    <w:rsid w:val="003B03B2"/>
    <w:rsid w:val="003B07BD"/>
    <w:rsid w:val="003B0A78"/>
    <w:rsid w:val="003B3105"/>
    <w:rsid w:val="003B31F0"/>
    <w:rsid w:val="003B39C0"/>
    <w:rsid w:val="003B3C21"/>
    <w:rsid w:val="003B3CFF"/>
    <w:rsid w:val="003B40E5"/>
    <w:rsid w:val="003B40F5"/>
    <w:rsid w:val="003B42CF"/>
    <w:rsid w:val="003B445C"/>
    <w:rsid w:val="003B590B"/>
    <w:rsid w:val="003B60BD"/>
    <w:rsid w:val="003B7569"/>
    <w:rsid w:val="003B7E4B"/>
    <w:rsid w:val="003B7EDA"/>
    <w:rsid w:val="003C118B"/>
    <w:rsid w:val="003C131E"/>
    <w:rsid w:val="003C1E42"/>
    <w:rsid w:val="003C2292"/>
    <w:rsid w:val="003C2433"/>
    <w:rsid w:val="003C3E70"/>
    <w:rsid w:val="003C4497"/>
    <w:rsid w:val="003C4B20"/>
    <w:rsid w:val="003C5BBB"/>
    <w:rsid w:val="003C7118"/>
    <w:rsid w:val="003C7A91"/>
    <w:rsid w:val="003D2359"/>
    <w:rsid w:val="003D2BDD"/>
    <w:rsid w:val="003D4983"/>
    <w:rsid w:val="003D55A5"/>
    <w:rsid w:val="003D5A6B"/>
    <w:rsid w:val="003D605F"/>
    <w:rsid w:val="003D6AAC"/>
    <w:rsid w:val="003D7B48"/>
    <w:rsid w:val="003D7D2D"/>
    <w:rsid w:val="003D7D7A"/>
    <w:rsid w:val="003D7E19"/>
    <w:rsid w:val="003D7F99"/>
    <w:rsid w:val="003E0F4E"/>
    <w:rsid w:val="003E1025"/>
    <w:rsid w:val="003E1D96"/>
    <w:rsid w:val="003E229E"/>
    <w:rsid w:val="003E2761"/>
    <w:rsid w:val="003E279C"/>
    <w:rsid w:val="003E2D4A"/>
    <w:rsid w:val="003E36D3"/>
    <w:rsid w:val="003E4102"/>
    <w:rsid w:val="003E4138"/>
    <w:rsid w:val="003E44E9"/>
    <w:rsid w:val="003E491E"/>
    <w:rsid w:val="003E4B01"/>
    <w:rsid w:val="003E5B18"/>
    <w:rsid w:val="003E5FD9"/>
    <w:rsid w:val="003E6DD5"/>
    <w:rsid w:val="003F03F8"/>
    <w:rsid w:val="003F0945"/>
    <w:rsid w:val="003F1382"/>
    <w:rsid w:val="003F1D89"/>
    <w:rsid w:val="003F22DD"/>
    <w:rsid w:val="003F2A23"/>
    <w:rsid w:val="003F3BE8"/>
    <w:rsid w:val="003F3EBD"/>
    <w:rsid w:val="003F431E"/>
    <w:rsid w:val="003F68FD"/>
    <w:rsid w:val="003F6B86"/>
    <w:rsid w:val="003F6D74"/>
    <w:rsid w:val="00400493"/>
    <w:rsid w:val="00402C62"/>
    <w:rsid w:val="00403DE5"/>
    <w:rsid w:val="004050A0"/>
    <w:rsid w:val="0040531A"/>
    <w:rsid w:val="00405BB6"/>
    <w:rsid w:val="00406F6B"/>
    <w:rsid w:val="004073AA"/>
    <w:rsid w:val="00407CE1"/>
    <w:rsid w:val="00410280"/>
    <w:rsid w:val="00410F9E"/>
    <w:rsid w:val="004115D5"/>
    <w:rsid w:val="004130BC"/>
    <w:rsid w:val="004133D1"/>
    <w:rsid w:val="00413690"/>
    <w:rsid w:val="00413921"/>
    <w:rsid w:val="004142E7"/>
    <w:rsid w:val="00414526"/>
    <w:rsid w:val="00414A51"/>
    <w:rsid w:val="00415212"/>
    <w:rsid w:val="0041528B"/>
    <w:rsid w:val="00416501"/>
    <w:rsid w:val="004167F0"/>
    <w:rsid w:val="00417808"/>
    <w:rsid w:val="00420582"/>
    <w:rsid w:val="00420A95"/>
    <w:rsid w:val="00420AAC"/>
    <w:rsid w:val="00421C32"/>
    <w:rsid w:val="00422B5E"/>
    <w:rsid w:val="00423A06"/>
    <w:rsid w:val="00424091"/>
    <w:rsid w:val="00424189"/>
    <w:rsid w:val="00424680"/>
    <w:rsid w:val="004248C8"/>
    <w:rsid w:val="00424CED"/>
    <w:rsid w:val="00425880"/>
    <w:rsid w:val="00426EAB"/>
    <w:rsid w:val="00427AFA"/>
    <w:rsid w:val="00430C65"/>
    <w:rsid w:val="0043138B"/>
    <w:rsid w:val="00431CB2"/>
    <w:rsid w:val="00431EF0"/>
    <w:rsid w:val="00432049"/>
    <w:rsid w:val="00433568"/>
    <w:rsid w:val="00433D31"/>
    <w:rsid w:val="00434B47"/>
    <w:rsid w:val="00435A9C"/>
    <w:rsid w:val="004371DE"/>
    <w:rsid w:val="00437AF3"/>
    <w:rsid w:val="0044027F"/>
    <w:rsid w:val="004415A0"/>
    <w:rsid w:val="00444271"/>
    <w:rsid w:val="0044473C"/>
    <w:rsid w:val="00444D4B"/>
    <w:rsid w:val="00444FC1"/>
    <w:rsid w:val="004452DE"/>
    <w:rsid w:val="004457A8"/>
    <w:rsid w:val="00445ABA"/>
    <w:rsid w:val="00445EFB"/>
    <w:rsid w:val="004464C2"/>
    <w:rsid w:val="004468C7"/>
    <w:rsid w:val="00446CE7"/>
    <w:rsid w:val="00447050"/>
    <w:rsid w:val="004476FD"/>
    <w:rsid w:val="00450390"/>
    <w:rsid w:val="00451E51"/>
    <w:rsid w:val="0045295A"/>
    <w:rsid w:val="00452E32"/>
    <w:rsid w:val="00453648"/>
    <w:rsid w:val="00455CD4"/>
    <w:rsid w:val="00456ED1"/>
    <w:rsid w:val="00457663"/>
    <w:rsid w:val="00457EF0"/>
    <w:rsid w:val="00460296"/>
    <w:rsid w:val="004619DF"/>
    <w:rsid w:val="00462DDD"/>
    <w:rsid w:val="004638E7"/>
    <w:rsid w:val="00464F32"/>
    <w:rsid w:val="00467278"/>
    <w:rsid w:val="004677AD"/>
    <w:rsid w:val="0047011E"/>
    <w:rsid w:val="0047041D"/>
    <w:rsid w:val="0047120E"/>
    <w:rsid w:val="004719BA"/>
    <w:rsid w:val="0047269E"/>
    <w:rsid w:val="00472B48"/>
    <w:rsid w:val="004731D5"/>
    <w:rsid w:val="004733B4"/>
    <w:rsid w:val="004734FC"/>
    <w:rsid w:val="00473560"/>
    <w:rsid w:val="0047384C"/>
    <w:rsid w:val="00473E1F"/>
    <w:rsid w:val="00473FF6"/>
    <w:rsid w:val="00474BA4"/>
    <w:rsid w:val="0047673F"/>
    <w:rsid w:val="00480502"/>
    <w:rsid w:val="0048111B"/>
    <w:rsid w:val="00481A75"/>
    <w:rsid w:val="00481C90"/>
    <w:rsid w:val="00482515"/>
    <w:rsid w:val="004829E0"/>
    <w:rsid w:val="00483FC5"/>
    <w:rsid w:val="00484E5C"/>
    <w:rsid w:val="0048522E"/>
    <w:rsid w:val="00485673"/>
    <w:rsid w:val="00487A5C"/>
    <w:rsid w:val="00487E15"/>
    <w:rsid w:val="00490433"/>
    <w:rsid w:val="00491D44"/>
    <w:rsid w:val="0049238E"/>
    <w:rsid w:val="00493BC0"/>
    <w:rsid w:val="004941BE"/>
    <w:rsid w:val="004949D0"/>
    <w:rsid w:val="00495046"/>
    <w:rsid w:val="004953C3"/>
    <w:rsid w:val="00497981"/>
    <w:rsid w:val="00497A10"/>
    <w:rsid w:val="004A0F03"/>
    <w:rsid w:val="004A13DA"/>
    <w:rsid w:val="004A13E2"/>
    <w:rsid w:val="004A148B"/>
    <w:rsid w:val="004A1DDB"/>
    <w:rsid w:val="004A2445"/>
    <w:rsid w:val="004A2A0F"/>
    <w:rsid w:val="004A3244"/>
    <w:rsid w:val="004A3A5D"/>
    <w:rsid w:val="004A4D0D"/>
    <w:rsid w:val="004A5CBB"/>
    <w:rsid w:val="004A66D9"/>
    <w:rsid w:val="004A7284"/>
    <w:rsid w:val="004A7B5A"/>
    <w:rsid w:val="004B0CB7"/>
    <w:rsid w:val="004B10D8"/>
    <w:rsid w:val="004B2744"/>
    <w:rsid w:val="004B2A03"/>
    <w:rsid w:val="004B3128"/>
    <w:rsid w:val="004B32C6"/>
    <w:rsid w:val="004B39AE"/>
    <w:rsid w:val="004B4690"/>
    <w:rsid w:val="004B4BF9"/>
    <w:rsid w:val="004B509F"/>
    <w:rsid w:val="004B60AA"/>
    <w:rsid w:val="004B6333"/>
    <w:rsid w:val="004B74DE"/>
    <w:rsid w:val="004B7700"/>
    <w:rsid w:val="004C0589"/>
    <w:rsid w:val="004C0D14"/>
    <w:rsid w:val="004C1C78"/>
    <w:rsid w:val="004C5E82"/>
    <w:rsid w:val="004C6375"/>
    <w:rsid w:val="004C6AD8"/>
    <w:rsid w:val="004C75A5"/>
    <w:rsid w:val="004C75D0"/>
    <w:rsid w:val="004C7BC5"/>
    <w:rsid w:val="004D1341"/>
    <w:rsid w:val="004D157A"/>
    <w:rsid w:val="004D1FED"/>
    <w:rsid w:val="004D206B"/>
    <w:rsid w:val="004D2645"/>
    <w:rsid w:val="004D303C"/>
    <w:rsid w:val="004D372D"/>
    <w:rsid w:val="004D38C9"/>
    <w:rsid w:val="004D3B4F"/>
    <w:rsid w:val="004D3C01"/>
    <w:rsid w:val="004D4A81"/>
    <w:rsid w:val="004D61ED"/>
    <w:rsid w:val="004D687C"/>
    <w:rsid w:val="004D6B35"/>
    <w:rsid w:val="004E05DB"/>
    <w:rsid w:val="004E175D"/>
    <w:rsid w:val="004E1F27"/>
    <w:rsid w:val="004E21BE"/>
    <w:rsid w:val="004E2222"/>
    <w:rsid w:val="004E26C9"/>
    <w:rsid w:val="004E303F"/>
    <w:rsid w:val="004E38B1"/>
    <w:rsid w:val="004E38C1"/>
    <w:rsid w:val="004E3D4F"/>
    <w:rsid w:val="004E4AFD"/>
    <w:rsid w:val="004E4BD6"/>
    <w:rsid w:val="004E4D65"/>
    <w:rsid w:val="004E682B"/>
    <w:rsid w:val="004F27A8"/>
    <w:rsid w:val="004F3516"/>
    <w:rsid w:val="004F3A8B"/>
    <w:rsid w:val="004F3C77"/>
    <w:rsid w:val="004F3DC7"/>
    <w:rsid w:val="004F40E6"/>
    <w:rsid w:val="004F40F6"/>
    <w:rsid w:val="004F4613"/>
    <w:rsid w:val="004F4B3C"/>
    <w:rsid w:val="004F4E6C"/>
    <w:rsid w:val="004F62E4"/>
    <w:rsid w:val="004F6315"/>
    <w:rsid w:val="004F7051"/>
    <w:rsid w:val="004F73AC"/>
    <w:rsid w:val="00500092"/>
    <w:rsid w:val="005007E9"/>
    <w:rsid w:val="00500EC9"/>
    <w:rsid w:val="005017F9"/>
    <w:rsid w:val="005027C2"/>
    <w:rsid w:val="0050503A"/>
    <w:rsid w:val="00505B8C"/>
    <w:rsid w:val="00505CF7"/>
    <w:rsid w:val="005076E7"/>
    <w:rsid w:val="00507BD5"/>
    <w:rsid w:val="005104C7"/>
    <w:rsid w:val="005126C3"/>
    <w:rsid w:val="00512FF1"/>
    <w:rsid w:val="00514851"/>
    <w:rsid w:val="00515E70"/>
    <w:rsid w:val="00516CFA"/>
    <w:rsid w:val="005175B1"/>
    <w:rsid w:val="0051795C"/>
    <w:rsid w:val="00517D12"/>
    <w:rsid w:val="00520A42"/>
    <w:rsid w:val="00520E4F"/>
    <w:rsid w:val="00520EA9"/>
    <w:rsid w:val="00521401"/>
    <w:rsid w:val="00521EF3"/>
    <w:rsid w:val="005235F9"/>
    <w:rsid w:val="00523FB7"/>
    <w:rsid w:val="00525762"/>
    <w:rsid w:val="00525A60"/>
    <w:rsid w:val="00526063"/>
    <w:rsid w:val="005269F3"/>
    <w:rsid w:val="00527438"/>
    <w:rsid w:val="0052777B"/>
    <w:rsid w:val="00530507"/>
    <w:rsid w:val="0053149C"/>
    <w:rsid w:val="005317ED"/>
    <w:rsid w:val="00533669"/>
    <w:rsid w:val="00533858"/>
    <w:rsid w:val="00534423"/>
    <w:rsid w:val="00537021"/>
    <w:rsid w:val="00537430"/>
    <w:rsid w:val="005374A4"/>
    <w:rsid w:val="0053772D"/>
    <w:rsid w:val="00537E5A"/>
    <w:rsid w:val="0054054F"/>
    <w:rsid w:val="00540CE3"/>
    <w:rsid w:val="00540CF9"/>
    <w:rsid w:val="00540E9E"/>
    <w:rsid w:val="00540EA9"/>
    <w:rsid w:val="00541629"/>
    <w:rsid w:val="00542D23"/>
    <w:rsid w:val="005450D4"/>
    <w:rsid w:val="00545542"/>
    <w:rsid w:val="00545F69"/>
    <w:rsid w:val="00546C0A"/>
    <w:rsid w:val="005477BB"/>
    <w:rsid w:val="005479C2"/>
    <w:rsid w:val="005502E3"/>
    <w:rsid w:val="00550C5A"/>
    <w:rsid w:val="00550CCB"/>
    <w:rsid w:val="0055139B"/>
    <w:rsid w:val="00551BB3"/>
    <w:rsid w:val="00552449"/>
    <w:rsid w:val="00552FF3"/>
    <w:rsid w:val="00553780"/>
    <w:rsid w:val="00554E8B"/>
    <w:rsid w:val="0055539C"/>
    <w:rsid w:val="0055696C"/>
    <w:rsid w:val="00556D67"/>
    <w:rsid w:val="00556F06"/>
    <w:rsid w:val="00557931"/>
    <w:rsid w:val="00557B15"/>
    <w:rsid w:val="005618DE"/>
    <w:rsid w:val="00563230"/>
    <w:rsid w:val="0056401A"/>
    <w:rsid w:val="00564501"/>
    <w:rsid w:val="00564910"/>
    <w:rsid w:val="00564B25"/>
    <w:rsid w:val="005651D1"/>
    <w:rsid w:val="00565740"/>
    <w:rsid w:val="00565C15"/>
    <w:rsid w:val="005662F5"/>
    <w:rsid w:val="00566EE0"/>
    <w:rsid w:val="005676EA"/>
    <w:rsid w:val="005677BB"/>
    <w:rsid w:val="00567A00"/>
    <w:rsid w:val="00570529"/>
    <w:rsid w:val="005705B4"/>
    <w:rsid w:val="00570B2A"/>
    <w:rsid w:val="00571CC7"/>
    <w:rsid w:val="00571E41"/>
    <w:rsid w:val="005720CD"/>
    <w:rsid w:val="00572232"/>
    <w:rsid w:val="005737EF"/>
    <w:rsid w:val="00573863"/>
    <w:rsid w:val="00574197"/>
    <w:rsid w:val="005741C8"/>
    <w:rsid w:val="005749F1"/>
    <w:rsid w:val="005756D1"/>
    <w:rsid w:val="00576D3D"/>
    <w:rsid w:val="005770ED"/>
    <w:rsid w:val="005802C4"/>
    <w:rsid w:val="00580438"/>
    <w:rsid w:val="00580D71"/>
    <w:rsid w:val="005828CD"/>
    <w:rsid w:val="00582BA9"/>
    <w:rsid w:val="0058354E"/>
    <w:rsid w:val="00583A98"/>
    <w:rsid w:val="00583C5F"/>
    <w:rsid w:val="005842E6"/>
    <w:rsid w:val="00584603"/>
    <w:rsid w:val="00584C9D"/>
    <w:rsid w:val="00584D66"/>
    <w:rsid w:val="00586790"/>
    <w:rsid w:val="0058794B"/>
    <w:rsid w:val="005901DF"/>
    <w:rsid w:val="00590A5E"/>
    <w:rsid w:val="00591410"/>
    <w:rsid w:val="00592CC1"/>
    <w:rsid w:val="00593964"/>
    <w:rsid w:val="005945C4"/>
    <w:rsid w:val="00594703"/>
    <w:rsid w:val="00594F56"/>
    <w:rsid w:val="005957B3"/>
    <w:rsid w:val="00595FB1"/>
    <w:rsid w:val="005965C4"/>
    <w:rsid w:val="005A088B"/>
    <w:rsid w:val="005A104C"/>
    <w:rsid w:val="005A2687"/>
    <w:rsid w:val="005A290C"/>
    <w:rsid w:val="005A29CB"/>
    <w:rsid w:val="005A2A81"/>
    <w:rsid w:val="005A38AF"/>
    <w:rsid w:val="005A3C4E"/>
    <w:rsid w:val="005A3F9A"/>
    <w:rsid w:val="005A41EE"/>
    <w:rsid w:val="005A4E74"/>
    <w:rsid w:val="005A67CB"/>
    <w:rsid w:val="005A6CDF"/>
    <w:rsid w:val="005B116F"/>
    <w:rsid w:val="005B186C"/>
    <w:rsid w:val="005B2D23"/>
    <w:rsid w:val="005B3A5A"/>
    <w:rsid w:val="005B4C7B"/>
    <w:rsid w:val="005B4CA3"/>
    <w:rsid w:val="005B57BC"/>
    <w:rsid w:val="005B6B39"/>
    <w:rsid w:val="005B6F9F"/>
    <w:rsid w:val="005B7FA0"/>
    <w:rsid w:val="005C0350"/>
    <w:rsid w:val="005C28AB"/>
    <w:rsid w:val="005C2E70"/>
    <w:rsid w:val="005C3164"/>
    <w:rsid w:val="005C32EB"/>
    <w:rsid w:val="005C3324"/>
    <w:rsid w:val="005C3E16"/>
    <w:rsid w:val="005C3F6D"/>
    <w:rsid w:val="005C4CA5"/>
    <w:rsid w:val="005C5771"/>
    <w:rsid w:val="005C5CEA"/>
    <w:rsid w:val="005C6787"/>
    <w:rsid w:val="005C6945"/>
    <w:rsid w:val="005C6A34"/>
    <w:rsid w:val="005C78D8"/>
    <w:rsid w:val="005D0700"/>
    <w:rsid w:val="005D0C59"/>
    <w:rsid w:val="005D45F6"/>
    <w:rsid w:val="005D5520"/>
    <w:rsid w:val="005D5AD1"/>
    <w:rsid w:val="005D69DE"/>
    <w:rsid w:val="005D7328"/>
    <w:rsid w:val="005D7614"/>
    <w:rsid w:val="005E079C"/>
    <w:rsid w:val="005E0DB7"/>
    <w:rsid w:val="005E13FB"/>
    <w:rsid w:val="005E1B28"/>
    <w:rsid w:val="005E393A"/>
    <w:rsid w:val="005E47C1"/>
    <w:rsid w:val="005E4F79"/>
    <w:rsid w:val="005E587C"/>
    <w:rsid w:val="005E599D"/>
    <w:rsid w:val="005E5AB3"/>
    <w:rsid w:val="005E75D7"/>
    <w:rsid w:val="005E7693"/>
    <w:rsid w:val="005E7BF5"/>
    <w:rsid w:val="005F0816"/>
    <w:rsid w:val="005F1728"/>
    <w:rsid w:val="005F1B65"/>
    <w:rsid w:val="005F1FED"/>
    <w:rsid w:val="005F35F7"/>
    <w:rsid w:val="005F36AD"/>
    <w:rsid w:val="005F3AF1"/>
    <w:rsid w:val="005F4722"/>
    <w:rsid w:val="005F4B7E"/>
    <w:rsid w:val="005F54D1"/>
    <w:rsid w:val="005F5711"/>
    <w:rsid w:val="005F587A"/>
    <w:rsid w:val="005F66B0"/>
    <w:rsid w:val="005F6D2D"/>
    <w:rsid w:val="005F6FC9"/>
    <w:rsid w:val="006005E5"/>
    <w:rsid w:val="006007EF"/>
    <w:rsid w:val="00600B95"/>
    <w:rsid w:val="00601EC1"/>
    <w:rsid w:val="006020DF"/>
    <w:rsid w:val="006026A6"/>
    <w:rsid w:val="0060295A"/>
    <w:rsid w:val="00602F9F"/>
    <w:rsid w:val="00604DF7"/>
    <w:rsid w:val="006053D9"/>
    <w:rsid w:val="006060D1"/>
    <w:rsid w:val="0060628D"/>
    <w:rsid w:val="0060697F"/>
    <w:rsid w:val="00606F7C"/>
    <w:rsid w:val="00607693"/>
    <w:rsid w:val="006115AF"/>
    <w:rsid w:val="00612B01"/>
    <w:rsid w:val="00612E8F"/>
    <w:rsid w:val="00613690"/>
    <w:rsid w:val="00616228"/>
    <w:rsid w:val="00616830"/>
    <w:rsid w:val="00617360"/>
    <w:rsid w:val="006175A9"/>
    <w:rsid w:val="0061795F"/>
    <w:rsid w:val="00620645"/>
    <w:rsid w:val="0062151F"/>
    <w:rsid w:val="00622972"/>
    <w:rsid w:val="00623333"/>
    <w:rsid w:val="006234AC"/>
    <w:rsid w:val="006237C4"/>
    <w:rsid w:val="00623DCD"/>
    <w:rsid w:val="006245B6"/>
    <w:rsid w:val="00625302"/>
    <w:rsid w:val="00626404"/>
    <w:rsid w:val="0062774F"/>
    <w:rsid w:val="006301DF"/>
    <w:rsid w:val="006301EF"/>
    <w:rsid w:val="00631814"/>
    <w:rsid w:val="006328B7"/>
    <w:rsid w:val="00633A46"/>
    <w:rsid w:val="00633C67"/>
    <w:rsid w:val="00633F3E"/>
    <w:rsid w:val="00634093"/>
    <w:rsid w:val="00634160"/>
    <w:rsid w:val="006345FB"/>
    <w:rsid w:val="00634D11"/>
    <w:rsid w:val="00635459"/>
    <w:rsid w:val="0063571A"/>
    <w:rsid w:val="00635932"/>
    <w:rsid w:val="00635AE2"/>
    <w:rsid w:val="00636C75"/>
    <w:rsid w:val="00637022"/>
    <w:rsid w:val="006400E2"/>
    <w:rsid w:val="00641C3A"/>
    <w:rsid w:val="006441C3"/>
    <w:rsid w:val="00644259"/>
    <w:rsid w:val="006443F4"/>
    <w:rsid w:val="006458B5"/>
    <w:rsid w:val="00645AA7"/>
    <w:rsid w:val="006468FD"/>
    <w:rsid w:val="006477FD"/>
    <w:rsid w:val="00647848"/>
    <w:rsid w:val="00650AC4"/>
    <w:rsid w:val="00650CDC"/>
    <w:rsid w:val="006521A5"/>
    <w:rsid w:val="00652771"/>
    <w:rsid w:val="00652D97"/>
    <w:rsid w:val="0065330D"/>
    <w:rsid w:val="006541AD"/>
    <w:rsid w:val="006545D0"/>
    <w:rsid w:val="00654614"/>
    <w:rsid w:val="0065504E"/>
    <w:rsid w:val="00656099"/>
    <w:rsid w:val="00656E2D"/>
    <w:rsid w:val="00657352"/>
    <w:rsid w:val="006606D5"/>
    <w:rsid w:val="0066084F"/>
    <w:rsid w:val="00660C14"/>
    <w:rsid w:val="0066216B"/>
    <w:rsid w:val="00662791"/>
    <w:rsid w:val="00663394"/>
    <w:rsid w:val="006634AC"/>
    <w:rsid w:val="00663668"/>
    <w:rsid w:val="00664820"/>
    <w:rsid w:val="00664B1F"/>
    <w:rsid w:val="006655DB"/>
    <w:rsid w:val="006708DB"/>
    <w:rsid w:val="00670C5C"/>
    <w:rsid w:val="00671090"/>
    <w:rsid w:val="006730D0"/>
    <w:rsid w:val="006748E9"/>
    <w:rsid w:val="00674CB8"/>
    <w:rsid w:val="00675451"/>
    <w:rsid w:val="00675ACF"/>
    <w:rsid w:val="00676642"/>
    <w:rsid w:val="006768CB"/>
    <w:rsid w:val="00680325"/>
    <w:rsid w:val="006808F0"/>
    <w:rsid w:val="00680B27"/>
    <w:rsid w:val="00680D53"/>
    <w:rsid w:val="006813B9"/>
    <w:rsid w:val="00681CFE"/>
    <w:rsid w:val="00682D8D"/>
    <w:rsid w:val="00684258"/>
    <w:rsid w:val="00685DFC"/>
    <w:rsid w:val="00685FFB"/>
    <w:rsid w:val="00686945"/>
    <w:rsid w:val="006877F7"/>
    <w:rsid w:val="00687BDA"/>
    <w:rsid w:val="00687BE1"/>
    <w:rsid w:val="0069148A"/>
    <w:rsid w:val="0069237B"/>
    <w:rsid w:val="006924E4"/>
    <w:rsid w:val="0069308A"/>
    <w:rsid w:val="00693331"/>
    <w:rsid w:val="0069357E"/>
    <w:rsid w:val="0069414E"/>
    <w:rsid w:val="0069546B"/>
    <w:rsid w:val="00696A75"/>
    <w:rsid w:val="006A0778"/>
    <w:rsid w:val="006A0B3B"/>
    <w:rsid w:val="006A144F"/>
    <w:rsid w:val="006A1612"/>
    <w:rsid w:val="006A1640"/>
    <w:rsid w:val="006A333C"/>
    <w:rsid w:val="006A46DE"/>
    <w:rsid w:val="006A56B4"/>
    <w:rsid w:val="006A6801"/>
    <w:rsid w:val="006A6B13"/>
    <w:rsid w:val="006A702B"/>
    <w:rsid w:val="006B085A"/>
    <w:rsid w:val="006B161A"/>
    <w:rsid w:val="006B2381"/>
    <w:rsid w:val="006B2B92"/>
    <w:rsid w:val="006B2C50"/>
    <w:rsid w:val="006B32C2"/>
    <w:rsid w:val="006B3694"/>
    <w:rsid w:val="006B3AB9"/>
    <w:rsid w:val="006B454E"/>
    <w:rsid w:val="006B5089"/>
    <w:rsid w:val="006B5E29"/>
    <w:rsid w:val="006B6FD7"/>
    <w:rsid w:val="006B70E5"/>
    <w:rsid w:val="006C01D7"/>
    <w:rsid w:val="006C0365"/>
    <w:rsid w:val="006C03CC"/>
    <w:rsid w:val="006C0A6B"/>
    <w:rsid w:val="006C14A1"/>
    <w:rsid w:val="006C2F92"/>
    <w:rsid w:val="006C323E"/>
    <w:rsid w:val="006C331C"/>
    <w:rsid w:val="006C3BAC"/>
    <w:rsid w:val="006C4F4B"/>
    <w:rsid w:val="006C5091"/>
    <w:rsid w:val="006C6D76"/>
    <w:rsid w:val="006D106F"/>
    <w:rsid w:val="006D2681"/>
    <w:rsid w:val="006D37D7"/>
    <w:rsid w:val="006D3A34"/>
    <w:rsid w:val="006D42F5"/>
    <w:rsid w:val="006D4572"/>
    <w:rsid w:val="006D588E"/>
    <w:rsid w:val="006D6A43"/>
    <w:rsid w:val="006D72DB"/>
    <w:rsid w:val="006D7F8A"/>
    <w:rsid w:val="006E02AF"/>
    <w:rsid w:val="006E0AF2"/>
    <w:rsid w:val="006E2579"/>
    <w:rsid w:val="006E2AB8"/>
    <w:rsid w:val="006E2D66"/>
    <w:rsid w:val="006E3CC1"/>
    <w:rsid w:val="006E4132"/>
    <w:rsid w:val="006E437C"/>
    <w:rsid w:val="006E5BA0"/>
    <w:rsid w:val="006E5C30"/>
    <w:rsid w:val="006E6172"/>
    <w:rsid w:val="006F24AE"/>
    <w:rsid w:val="006F2BC4"/>
    <w:rsid w:val="006F2D4A"/>
    <w:rsid w:val="006F4248"/>
    <w:rsid w:val="006F5169"/>
    <w:rsid w:val="006F5C2F"/>
    <w:rsid w:val="006F63D9"/>
    <w:rsid w:val="006F6D27"/>
    <w:rsid w:val="006F7FDD"/>
    <w:rsid w:val="00700DF6"/>
    <w:rsid w:val="00701E20"/>
    <w:rsid w:val="00703381"/>
    <w:rsid w:val="00703A5D"/>
    <w:rsid w:val="00704CBE"/>
    <w:rsid w:val="00705807"/>
    <w:rsid w:val="0070585D"/>
    <w:rsid w:val="00706223"/>
    <w:rsid w:val="00706EA3"/>
    <w:rsid w:val="007077B2"/>
    <w:rsid w:val="00707DBE"/>
    <w:rsid w:val="00707EB2"/>
    <w:rsid w:val="0071088A"/>
    <w:rsid w:val="00711FD5"/>
    <w:rsid w:val="00712678"/>
    <w:rsid w:val="00712C2F"/>
    <w:rsid w:val="0071321A"/>
    <w:rsid w:val="007135CF"/>
    <w:rsid w:val="007136BA"/>
    <w:rsid w:val="00715F1A"/>
    <w:rsid w:val="00715FEA"/>
    <w:rsid w:val="007161FD"/>
    <w:rsid w:val="007164E5"/>
    <w:rsid w:val="007169FA"/>
    <w:rsid w:val="0071795F"/>
    <w:rsid w:val="007200F9"/>
    <w:rsid w:val="007206EB"/>
    <w:rsid w:val="007221DE"/>
    <w:rsid w:val="007223E9"/>
    <w:rsid w:val="00723C55"/>
    <w:rsid w:val="0072409D"/>
    <w:rsid w:val="0072454D"/>
    <w:rsid w:val="00731855"/>
    <w:rsid w:val="00731BEC"/>
    <w:rsid w:val="00732F8E"/>
    <w:rsid w:val="00733359"/>
    <w:rsid w:val="007333E1"/>
    <w:rsid w:val="0073380B"/>
    <w:rsid w:val="00733ABC"/>
    <w:rsid w:val="00734DAA"/>
    <w:rsid w:val="00734F79"/>
    <w:rsid w:val="007361B0"/>
    <w:rsid w:val="00736695"/>
    <w:rsid w:val="00736D24"/>
    <w:rsid w:val="00737C4C"/>
    <w:rsid w:val="00737F18"/>
    <w:rsid w:val="0074006E"/>
    <w:rsid w:val="00740466"/>
    <w:rsid w:val="0074122C"/>
    <w:rsid w:val="00741458"/>
    <w:rsid w:val="0074162B"/>
    <w:rsid w:val="00741A6C"/>
    <w:rsid w:val="00742009"/>
    <w:rsid w:val="007425B4"/>
    <w:rsid w:val="00742CB5"/>
    <w:rsid w:val="007438D3"/>
    <w:rsid w:val="00745E28"/>
    <w:rsid w:val="0074751E"/>
    <w:rsid w:val="00747704"/>
    <w:rsid w:val="00750802"/>
    <w:rsid w:val="00754553"/>
    <w:rsid w:val="00756548"/>
    <w:rsid w:val="00756D11"/>
    <w:rsid w:val="00756DFF"/>
    <w:rsid w:val="00756E41"/>
    <w:rsid w:val="00757627"/>
    <w:rsid w:val="00760266"/>
    <w:rsid w:val="00762232"/>
    <w:rsid w:val="007637AC"/>
    <w:rsid w:val="007646C9"/>
    <w:rsid w:val="00765254"/>
    <w:rsid w:val="00766372"/>
    <w:rsid w:val="00770AC4"/>
    <w:rsid w:val="00770CC2"/>
    <w:rsid w:val="00771237"/>
    <w:rsid w:val="00771F03"/>
    <w:rsid w:val="007750CC"/>
    <w:rsid w:val="0077535B"/>
    <w:rsid w:val="007754DB"/>
    <w:rsid w:val="00775D53"/>
    <w:rsid w:val="00776834"/>
    <w:rsid w:val="0077726C"/>
    <w:rsid w:val="00777FFD"/>
    <w:rsid w:val="007800DE"/>
    <w:rsid w:val="0078125F"/>
    <w:rsid w:val="0078148A"/>
    <w:rsid w:val="00782C78"/>
    <w:rsid w:val="00782CB1"/>
    <w:rsid w:val="007835CD"/>
    <w:rsid w:val="00783DA7"/>
    <w:rsid w:val="00784BCB"/>
    <w:rsid w:val="00785229"/>
    <w:rsid w:val="00785359"/>
    <w:rsid w:val="00785B4E"/>
    <w:rsid w:val="00785EC1"/>
    <w:rsid w:val="0078622C"/>
    <w:rsid w:val="00786351"/>
    <w:rsid w:val="00786806"/>
    <w:rsid w:val="007868A3"/>
    <w:rsid w:val="00787E55"/>
    <w:rsid w:val="00790AAC"/>
    <w:rsid w:val="00791FB5"/>
    <w:rsid w:val="007929CC"/>
    <w:rsid w:val="00792A06"/>
    <w:rsid w:val="00792B62"/>
    <w:rsid w:val="00792CA9"/>
    <w:rsid w:val="00792D37"/>
    <w:rsid w:val="0079303C"/>
    <w:rsid w:val="007931B8"/>
    <w:rsid w:val="00793520"/>
    <w:rsid w:val="00795C90"/>
    <w:rsid w:val="00795F97"/>
    <w:rsid w:val="00795FF9"/>
    <w:rsid w:val="007973A2"/>
    <w:rsid w:val="00797FEE"/>
    <w:rsid w:val="007A0B31"/>
    <w:rsid w:val="007A1388"/>
    <w:rsid w:val="007A1423"/>
    <w:rsid w:val="007A1AB8"/>
    <w:rsid w:val="007A2621"/>
    <w:rsid w:val="007A2CC3"/>
    <w:rsid w:val="007A3055"/>
    <w:rsid w:val="007A3C07"/>
    <w:rsid w:val="007A3FBB"/>
    <w:rsid w:val="007A40BA"/>
    <w:rsid w:val="007A486B"/>
    <w:rsid w:val="007A6819"/>
    <w:rsid w:val="007A7C1D"/>
    <w:rsid w:val="007B04CA"/>
    <w:rsid w:val="007B05EF"/>
    <w:rsid w:val="007B0D96"/>
    <w:rsid w:val="007B1040"/>
    <w:rsid w:val="007B1277"/>
    <w:rsid w:val="007B23C6"/>
    <w:rsid w:val="007B2A3F"/>
    <w:rsid w:val="007B2C66"/>
    <w:rsid w:val="007B3A65"/>
    <w:rsid w:val="007B4383"/>
    <w:rsid w:val="007B4C5D"/>
    <w:rsid w:val="007B5368"/>
    <w:rsid w:val="007B5B71"/>
    <w:rsid w:val="007B629C"/>
    <w:rsid w:val="007B79F5"/>
    <w:rsid w:val="007C00D5"/>
    <w:rsid w:val="007C1A4E"/>
    <w:rsid w:val="007C1DF7"/>
    <w:rsid w:val="007C2BC6"/>
    <w:rsid w:val="007C3818"/>
    <w:rsid w:val="007C3AB8"/>
    <w:rsid w:val="007C3C6C"/>
    <w:rsid w:val="007C728A"/>
    <w:rsid w:val="007D0C7E"/>
    <w:rsid w:val="007D1C6B"/>
    <w:rsid w:val="007D2A74"/>
    <w:rsid w:val="007D4736"/>
    <w:rsid w:val="007D4EC0"/>
    <w:rsid w:val="007D5756"/>
    <w:rsid w:val="007D6956"/>
    <w:rsid w:val="007D6971"/>
    <w:rsid w:val="007D70B0"/>
    <w:rsid w:val="007D7888"/>
    <w:rsid w:val="007E0C91"/>
    <w:rsid w:val="007E13D7"/>
    <w:rsid w:val="007E1826"/>
    <w:rsid w:val="007E1D2D"/>
    <w:rsid w:val="007E1EEC"/>
    <w:rsid w:val="007E2F9F"/>
    <w:rsid w:val="007E4F4E"/>
    <w:rsid w:val="007E4FDA"/>
    <w:rsid w:val="007E694E"/>
    <w:rsid w:val="007E7272"/>
    <w:rsid w:val="007E76C8"/>
    <w:rsid w:val="007E7B64"/>
    <w:rsid w:val="007E7D94"/>
    <w:rsid w:val="007E7FE0"/>
    <w:rsid w:val="007F0425"/>
    <w:rsid w:val="007F0D6F"/>
    <w:rsid w:val="007F150B"/>
    <w:rsid w:val="007F332A"/>
    <w:rsid w:val="007F3547"/>
    <w:rsid w:val="007F3A18"/>
    <w:rsid w:val="007F4485"/>
    <w:rsid w:val="007F45F0"/>
    <w:rsid w:val="007F46FD"/>
    <w:rsid w:val="007F5060"/>
    <w:rsid w:val="007F5EA2"/>
    <w:rsid w:val="007F67DA"/>
    <w:rsid w:val="007F6BAA"/>
    <w:rsid w:val="007F6D67"/>
    <w:rsid w:val="007F72D5"/>
    <w:rsid w:val="0080049D"/>
    <w:rsid w:val="0080274A"/>
    <w:rsid w:val="0080449B"/>
    <w:rsid w:val="00804770"/>
    <w:rsid w:val="00804A36"/>
    <w:rsid w:val="00806F95"/>
    <w:rsid w:val="0081032F"/>
    <w:rsid w:val="0081054A"/>
    <w:rsid w:val="00810778"/>
    <w:rsid w:val="00810866"/>
    <w:rsid w:val="008109BD"/>
    <w:rsid w:val="00810AD1"/>
    <w:rsid w:val="00810F16"/>
    <w:rsid w:val="00810FAB"/>
    <w:rsid w:val="00812BD7"/>
    <w:rsid w:val="0081314D"/>
    <w:rsid w:val="008135FC"/>
    <w:rsid w:val="00813EA6"/>
    <w:rsid w:val="00814470"/>
    <w:rsid w:val="00814C9C"/>
    <w:rsid w:val="00816548"/>
    <w:rsid w:val="008166E9"/>
    <w:rsid w:val="00816C58"/>
    <w:rsid w:val="00817A89"/>
    <w:rsid w:val="0082187E"/>
    <w:rsid w:val="00821E8D"/>
    <w:rsid w:val="00823396"/>
    <w:rsid w:val="00823E02"/>
    <w:rsid w:val="008244E4"/>
    <w:rsid w:val="00824790"/>
    <w:rsid w:val="008257D8"/>
    <w:rsid w:val="008259C5"/>
    <w:rsid w:val="00825DB8"/>
    <w:rsid w:val="008260D4"/>
    <w:rsid w:val="008260EC"/>
    <w:rsid w:val="00826536"/>
    <w:rsid w:val="00827898"/>
    <w:rsid w:val="008301BC"/>
    <w:rsid w:val="008309F0"/>
    <w:rsid w:val="00831119"/>
    <w:rsid w:val="00831900"/>
    <w:rsid w:val="00831CAF"/>
    <w:rsid w:val="00831FA2"/>
    <w:rsid w:val="00832F3E"/>
    <w:rsid w:val="008331D1"/>
    <w:rsid w:val="00833AF2"/>
    <w:rsid w:val="00835731"/>
    <w:rsid w:val="00835A47"/>
    <w:rsid w:val="0083617C"/>
    <w:rsid w:val="00836743"/>
    <w:rsid w:val="00837100"/>
    <w:rsid w:val="00837819"/>
    <w:rsid w:val="0084022C"/>
    <w:rsid w:val="008423F4"/>
    <w:rsid w:val="0084279F"/>
    <w:rsid w:val="00842B5F"/>
    <w:rsid w:val="0084350B"/>
    <w:rsid w:val="00844971"/>
    <w:rsid w:val="0084547E"/>
    <w:rsid w:val="0084751F"/>
    <w:rsid w:val="0084770C"/>
    <w:rsid w:val="008506DE"/>
    <w:rsid w:val="00850EBC"/>
    <w:rsid w:val="0085120C"/>
    <w:rsid w:val="00851A91"/>
    <w:rsid w:val="00851CE0"/>
    <w:rsid w:val="00851DF4"/>
    <w:rsid w:val="00852847"/>
    <w:rsid w:val="00852B7F"/>
    <w:rsid w:val="00853112"/>
    <w:rsid w:val="00854153"/>
    <w:rsid w:val="00854A69"/>
    <w:rsid w:val="008550DD"/>
    <w:rsid w:val="0085677B"/>
    <w:rsid w:val="00856B2F"/>
    <w:rsid w:val="00856D01"/>
    <w:rsid w:val="00856E8D"/>
    <w:rsid w:val="00857F96"/>
    <w:rsid w:val="00857FE1"/>
    <w:rsid w:val="008604A1"/>
    <w:rsid w:val="00860F46"/>
    <w:rsid w:val="00861C1C"/>
    <w:rsid w:val="00861C3E"/>
    <w:rsid w:val="00861C58"/>
    <w:rsid w:val="00861F5D"/>
    <w:rsid w:val="0086200F"/>
    <w:rsid w:val="008621FB"/>
    <w:rsid w:val="008628D6"/>
    <w:rsid w:val="00863859"/>
    <w:rsid w:val="00865E92"/>
    <w:rsid w:val="00865EB9"/>
    <w:rsid w:val="00867204"/>
    <w:rsid w:val="00867435"/>
    <w:rsid w:val="00875988"/>
    <w:rsid w:val="00877C1C"/>
    <w:rsid w:val="008803DA"/>
    <w:rsid w:val="00880842"/>
    <w:rsid w:val="00880914"/>
    <w:rsid w:val="00880C5C"/>
    <w:rsid w:val="00880F59"/>
    <w:rsid w:val="008810EF"/>
    <w:rsid w:val="0088145F"/>
    <w:rsid w:val="00881E0F"/>
    <w:rsid w:val="00882260"/>
    <w:rsid w:val="00882681"/>
    <w:rsid w:val="008849D2"/>
    <w:rsid w:val="00886907"/>
    <w:rsid w:val="00887781"/>
    <w:rsid w:val="00887A0E"/>
    <w:rsid w:val="00887E65"/>
    <w:rsid w:val="00890387"/>
    <w:rsid w:val="00890904"/>
    <w:rsid w:val="00891A49"/>
    <w:rsid w:val="00892ABB"/>
    <w:rsid w:val="00893B6D"/>
    <w:rsid w:val="00895C6F"/>
    <w:rsid w:val="0089600B"/>
    <w:rsid w:val="00897FD6"/>
    <w:rsid w:val="008A0126"/>
    <w:rsid w:val="008A0280"/>
    <w:rsid w:val="008A05F2"/>
    <w:rsid w:val="008A0DF7"/>
    <w:rsid w:val="008A0F99"/>
    <w:rsid w:val="008A380A"/>
    <w:rsid w:val="008A501E"/>
    <w:rsid w:val="008A50F8"/>
    <w:rsid w:val="008A6478"/>
    <w:rsid w:val="008B0526"/>
    <w:rsid w:val="008B0629"/>
    <w:rsid w:val="008B083A"/>
    <w:rsid w:val="008B2031"/>
    <w:rsid w:val="008B4304"/>
    <w:rsid w:val="008B4E67"/>
    <w:rsid w:val="008B4ED5"/>
    <w:rsid w:val="008B51C3"/>
    <w:rsid w:val="008B5960"/>
    <w:rsid w:val="008B5DE1"/>
    <w:rsid w:val="008C0287"/>
    <w:rsid w:val="008C24CE"/>
    <w:rsid w:val="008C2DC5"/>
    <w:rsid w:val="008C3186"/>
    <w:rsid w:val="008C4BCB"/>
    <w:rsid w:val="008C5FF7"/>
    <w:rsid w:val="008C6053"/>
    <w:rsid w:val="008C65C4"/>
    <w:rsid w:val="008C6A1E"/>
    <w:rsid w:val="008C6E38"/>
    <w:rsid w:val="008D07E4"/>
    <w:rsid w:val="008D134E"/>
    <w:rsid w:val="008D245A"/>
    <w:rsid w:val="008D25DB"/>
    <w:rsid w:val="008D279B"/>
    <w:rsid w:val="008D2ECF"/>
    <w:rsid w:val="008D2ED5"/>
    <w:rsid w:val="008D2F32"/>
    <w:rsid w:val="008D32C2"/>
    <w:rsid w:val="008D4942"/>
    <w:rsid w:val="008D530C"/>
    <w:rsid w:val="008D5BDA"/>
    <w:rsid w:val="008D6A40"/>
    <w:rsid w:val="008D6B30"/>
    <w:rsid w:val="008D6FE4"/>
    <w:rsid w:val="008D75D5"/>
    <w:rsid w:val="008D7E5E"/>
    <w:rsid w:val="008E21B0"/>
    <w:rsid w:val="008E23A8"/>
    <w:rsid w:val="008E33AA"/>
    <w:rsid w:val="008E3AF6"/>
    <w:rsid w:val="008E7778"/>
    <w:rsid w:val="008E7CA7"/>
    <w:rsid w:val="008F0DD4"/>
    <w:rsid w:val="008F165F"/>
    <w:rsid w:val="008F1AD1"/>
    <w:rsid w:val="008F2566"/>
    <w:rsid w:val="008F2754"/>
    <w:rsid w:val="008F2DB9"/>
    <w:rsid w:val="008F3899"/>
    <w:rsid w:val="008F40C7"/>
    <w:rsid w:val="008F4345"/>
    <w:rsid w:val="008F458F"/>
    <w:rsid w:val="008F5566"/>
    <w:rsid w:val="008F6338"/>
    <w:rsid w:val="008F6C4C"/>
    <w:rsid w:val="008F7FD6"/>
    <w:rsid w:val="00900A21"/>
    <w:rsid w:val="00902077"/>
    <w:rsid w:val="00902E3B"/>
    <w:rsid w:val="00903D97"/>
    <w:rsid w:val="0090404E"/>
    <w:rsid w:val="009052F7"/>
    <w:rsid w:val="0090532A"/>
    <w:rsid w:val="00906017"/>
    <w:rsid w:val="00906027"/>
    <w:rsid w:val="00906F50"/>
    <w:rsid w:val="00910226"/>
    <w:rsid w:val="00912BE0"/>
    <w:rsid w:val="00913035"/>
    <w:rsid w:val="0091434F"/>
    <w:rsid w:val="00914425"/>
    <w:rsid w:val="0091469E"/>
    <w:rsid w:val="00914D82"/>
    <w:rsid w:val="00915093"/>
    <w:rsid w:val="0091705B"/>
    <w:rsid w:val="009177EB"/>
    <w:rsid w:val="00917E71"/>
    <w:rsid w:val="00920266"/>
    <w:rsid w:val="00920406"/>
    <w:rsid w:val="00920F56"/>
    <w:rsid w:val="0092138B"/>
    <w:rsid w:val="009215B0"/>
    <w:rsid w:val="009247B5"/>
    <w:rsid w:val="00925270"/>
    <w:rsid w:val="00925735"/>
    <w:rsid w:val="00925A5D"/>
    <w:rsid w:val="0092645B"/>
    <w:rsid w:val="009267AE"/>
    <w:rsid w:val="009272E9"/>
    <w:rsid w:val="009308A7"/>
    <w:rsid w:val="00931158"/>
    <w:rsid w:val="009312A6"/>
    <w:rsid w:val="0093170B"/>
    <w:rsid w:val="0093210E"/>
    <w:rsid w:val="00932E69"/>
    <w:rsid w:val="00932F08"/>
    <w:rsid w:val="009347B5"/>
    <w:rsid w:val="00935BEE"/>
    <w:rsid w:val="00936F93"/>
    <w:rsid w:val="00937454"/>
    <w:rsid w:val="00940140"/>
    <w:rsid w:val="009404F1"/>
    <w:rsid w:val="00940FD0"/>
    <w:rsid w:val="009416FE"/>
    <w:rsid w:val="009417A3"/>
    <w:rsid w:val="00941FEA"/>
    <w:rsid w:val="0094242D"/>
    <w:rsid w:val="00942936"/>
    <w:rsid w:val="00943EB0"/>
    <w:rsid w:val="00944A63"/>
    <w:rsid w:val="00945DC4"/>
    <w:rsid w:val="009514A2"/>
    <w:rsid w:val="00951EE1"/>
    <w:rsid w:val="00952082"/>
    <w:rsid w:val="00952B61"/>
    <w:rsid w:val="0095373E"/>
    <w:rsid w:val="00953B5A"/>
    <w:rsid w:val="009547A0"/>
    <w:rsid w:val="00954AAD"/>
    <w:rsid w:val="00954CC9"/>
    <w:rsid w:val="00955D4B"/>
    <w:rsid w:val="00955DD6"/>
    <w:rsid w:val="009573E5"/>
    <w:rsid w:val="00957C43"/>
    <w:rsid w:val="00957DFD"/>
    <w:rsid w:val="00960590"/>
    <w:rsid w:val="00960ADE"/>
    <w:rsid w:val="009612A0"/>
    <w:rsid w:val="00961369"/>
    <w:rsid w:val="00961488"/>
    <w:rsid w:val="00961D40"/>
    <w:rsid w:val="00961F7F"/>
    <w:rsid w:val="0096266C"/>
    <w:rsid w:val="009630FD"/>
    <w:rsid w:val="00963F50"/>
    <w:rsid w:val="00965965"/>
    <w:rsid w:val="00965B06"/>
    <w:rsid w:val="00965FF4"/>
    <w:rsid w:val="0096625E"/>
    <w:rsid w:val="00966387"/>
    <w:rsid w:val="00967F90"/>
    <w:rsid w:val="009711F7"/>
    <w:rsid w:val="00972331"/>
    <w:rsid w:val="009727BA"/>
    <w:rsid w:val="00972B2D"/>
    <w:rsid w:val="009730AE"/>
    <w:rsid w:val="009730B8"/>
    <w:rsid w:val="00973BBA"/>
    <w:rsid w:val="00973F37"/>
    <w:rsid w:val="009742FF"/>
    <w:rsid w:val="00974DF6"/>
    <w:rsid w:val="00974E24"/>
    <w:rsid w:val="00975897"/>
    <w:rsid w:val="009767EC"/>
    <w:rsid w:val="00976D98"/>
    <w:rsid w:val="00977D83"/>
    <w:rsid w:val="00980CA3"/>
    <w:rsid w:val="00980CE0"/>
    <w:rsid w:val="009811E4"/>
    <w:rsid w:val="0098240D"/>
    <w:rsid w:val="009835D6"/>
    <w:rsid w:val="00983608"/>
    <w:rsid w:val="0098404B"/>
    <w:rsid w:val="00984213"/>
    <w:rsid w:val="00985E7F"/>
    <w:rsid w:val="00986BD5"/>
    <w:rsid w:val="00987638"/>
    <w:rsid w:val="00987B6B"/>
    <w:rsid w:val="009903B9"/>
    <w:rsid w:val="00990465"/>
    <w:rsid w:val="00990EE0"/>
    <w:rsid w:val="00991E8B"/>
    <w:rsid w:val="009925DC"/>
    <w:rsid w:val="0099329A"/>
    <w:rsid w:val="009932BC"/>
    <w:rsid w:val="00994F6E"/>
    <w:rsid w:val="00995089"/>
    <w:rsid w:val="00995B1F"/>
    <w:rsid w:val="00995C94"/>
    <w:rsid w:val="0099604A"/>
    <w:rsid w:val="00996A02"/>
    <w:rsid w:val="009A0170"/>
    <w:rsid w:val="009A0638"/>
    <w:rsid w:val="009A1A51"/>
    <w:rsid w:val="009A2BC8"/>
    <w:rsid w:val="009A3406"/>
    <w:rsid w:val="009A3B2A"/>
    <w:rsid w:val="009A76C0"/>
    <w:rsid w:val="009B0511"/>
    <w:rsid w:val="009B1E24"/>
    <w:rsid w:val="009B389B"/>
    <w:rsid w:val="009B55E2"/>
    <w:rsid w:val="009B5CD9"/>
    <w:rsid w:val="009B5D3B"/>
    <w:rsid w:val="009B6056"/>
    <w:rsid w:val="009B6CCB"/>
    <w:rsid w:val="009B78F4"/>
    <w:rsid w:val="009B7C71"/>
    <w:rsid w:val="009C0007"/>
    <w:rsid w:val="009C09B9"/>
    <w:rsid w:val="009C1024"/>
    <w:rsid w:val="009C4D50"/>
    <w:rsid w:val="009C5373"/>
    <w:rsid w:val="009C6061"/>
    <w:rsid w:val="009C674C"/>
    <w:rsid w:val="009C6CCF"/>
    <w:rsid w:val="009C6EB0"/>
    <w:rsid w:val="009C7DA4"/>
    <w:rsid w:val="009D1766"/>
    <w:rsid w:val="009D1ED7"/>
    <w:rsid w:val="009D27F0"/>
    <w:rsid w:val="009D2F46"/>
    <w:rsid w:val="009D30A7"/>
    <w:rsid w:val="009D3778"/>
    <w:rsid w:val="009D3996"/>
    <w:rsid w:val="009D44F3"/>
    <w:rsid w:val="009D48F9"/>
    <w:rsid w:val="009D4B63"/>
    <w:rsid w:val="009D4C2C"/>
    <w:rsid w:val="009D6207"/>
    <w:rsid w:val="009D6451"/>
    <w:rsid w:val="009D65BD"/>
    <w:rsid w:val="009D6FD2"/>
    <w:rsid w:val="009D7683"/>
    <w:rsid w:val="009E0417"/>
    <w:rsid w:val="009E15BD"/>
    <w:rsid w:val="009E235F"/>
    <w:rsid w:val="009E2505"/>
    <w:rsid w:val="009E3C07"/>
    <w:rsid w:val="009E5A47"/>
    <w:rsid w:val="009E5FA3"/>
    <w:rsid w:val="009E6B84"/>
    <w:rsid w:val="009E70A5"/>
    <w:rsid w:val="009F1669"/>
    <w:rsid w:val="009F16F8"/>
    <w:rsid w:val="009F1BAD"/>
    <w:rsid w:val="009F2EA0"/>
    <w:rsid w:val="009F3502"/>
    <w:rsid w:val="009F3AA5"/>
    <w:rsid w:val="009F4437"/>
    <w:rsid w:val="009F4805"/>
    <w:rsid w:val="009F4AD9"/>
    <w:rsid w:val="009F52A4"/>
    <w:rsid w:val="009F5BB4"/>
    <w:rsid w:val="009F5F03"/>
    <w:rsid w:val="009F7173"/>
    <w:rsid w:val="009F71AC"/>
    <w:rsid w:val="009F7287"/>
    <w:rsid w:val="009F7C9A"/>
    <w:rsid w:val="00A001C0"/>
    <w:rsid w:val="00A00BFB"/>
    <w:rsid w:val="00A00F89"/>
    <w:rsid w:val="00A00FA4"/>
    <w:rsid w:val="00A01020"/>
    <w:rsid w:val="00A02F58"/>
    <w:rsid w:val="00A02F9F"/>
    <w:rsid w:val="00A0447A"/>
    <w:rsid w:val="00A0483B"/>
    <w:rsid w:val="00A0501D"/>
    <w:rsid w:val="00A05508"/>
    <w:rsid w:val="00A06113"/>
    <w:rsid w:val="00A0614A"/>
    <w:rsid w:val="00A06717"/>
    <w:rsid w:val="00A068CB"/>
    <w:rsid w:val="00A06DEF"/>
    <w:rsid w:val="00A1003E"/>
    <w:rsid w:val="00A10127"/>
    <w:rsid w:val="00A103AF"/>
    <w:rsid w:val="00A107BF"/>
    <w:rsid w:val="00A109CC"/>
    <w:rsid w:val="00A10D6F"/>
    <w:rsid w:val="00A11A76"/>
    <w:rsid w:val="00A11AAC"/>
    <w:rsid w:val="00A1320E"/>
    <w:rsid w:val="00A1350B"/>
    <w:rsid w:val="00A1355F"/>
    <w:rsid w:val="00A13C22"/>
    <w:rsid w:val="00A14A14"/>
    <w:rsid w:val="00A14E22"/>
    <w:rsid w:val="00A15E05"/>
    <w:rsid w:val="00A16DA9"/>
    <w:rsid w:val="00A1714E"/>
    <w:rsid w:val="00A17F5C"/>
    <w:rsid w:val="00A2277C"/>
    <w:rsid w:val="00A22CBC"/>
    <w:rsid w:val="00A230FD"/>
    <w:rsid w:val="00A242CC"/>
    <w:rsid w:val="00A24424"/>
    <w:rsid w:val="00A24A24"/>
    <w:rsid w:val="00A251EA"/>
    <w:rsid w:val="00A25574"/>
    <w:rsid w:val="00A25A0B"/>
    <w:rsid w:val="00A25A9D"/>
    <w:rsid w:val="00A25E02"/>
    <w:rsid w:val="00A274CC"/>
    <w:rsid w:val="00A3045B"/>
    <w:rsid w:val="00A3189C"/>
    <w:rsid w:val="00A319AA"/>
    <w:rsid w:val="00A31E88"/>
    <w:rsid w:val="00A33FFF"/>
    <w:rsid w:val="00A34C89"/>
    <w:rsid w:val="00A35D8C"/>
    <w:rsid w:val="00A362F3"/>
    <w:rsid w:val="00A36569"/>
    <w:rsid w:val="00A36DDD"/>
    <w:rsid w:val="00A370C2"/>
    <w:rsid w:val="00A43590"/>
    <w:rsid w:val="00A43C00"/>
    <w:rsid w:val="00A43C72"/>
    <w:rsid w:val="00A4420C"/>
    <w:rsid w:val="00A44D8E"/>
    <w:rsid w:val="00A4512B"/>
    <w:rsid w:val="00A45635"/>
    <w:rsid w:val="00A46218"/>
    <w:rsid w:val="00A46BBD"/>
    <w:rsid w:val="00A47A7D"/>
    <w:rsid w:val="00A47E1B"/>
    <w:rsid w:val="00A51A33"/>
    <w:rsid w:val="00A51A6A"/>
    <w:rsid w:val="00A51CF8"/>
    <w:rsid w:val="00A52264"/>
    <w:rsid w:val="00A524D9"/>
    <w:rsid w:val="00A53401"/>
    <w:rsid w:val="00A54BA9"/>
    <w:rsid w:val="00A56751"/>
    <w:rsid w:val="00A571E8"/>
    <w:rsid w:val="00A6042B"/>
    <w:rsid w:val="00A60A2E"/>
    <w:rsid w:val="00A61063"/>
    <w:rsid w:val="00A61EEE"/>
    <w:rsid w:val="00A641AD"/>
    <w:rsid w:val="00A6483D"/>
    <w:rsid w:val="00A66C00"/>
    <w:rsid w:val="00A66DA3"/>
    <w:rsid w:val="00A67A7C"/>
    <w:rsid w:val="00A7003C"/>
    <w:rsid w:val="00A701F6"/>
    <w:rsid w:val="00A70416"/>
    <w:rsid w:val="00A712CF"/>
    <w:rsid w:val="00A7283D"/>
    <w:rsid w:val="00A729B0"/>
    <w:rsid w:val="00A729B3"/>
    <w:rsid w:val="00A72B54"/>
    <w:rsid w:val="00A72E4B"/>
    <w:rsid w:val="00A747D1"/>
    <w:rsid w:val="00A74D95"/>
    <w:rsid w:val="00A770FD"/>
    <w:rsid w:val="00A77949"/>
    <w:rsid w:val="00A77A61"/>
    <w:rsid w:val="00A82D30"/>
    <w:rsid w:val="00A83DDA"/>
    <w:rsid w:val="00A84898"/>
    <w:rsid w:val="00A85260"/>
    <w:rsid w:val="00A85426"/>
    <w:rsid w:val="00A86780"/>
    <w:rsid w:val="00A87834"/>
    <w:rsid w:val="00A878A9"/>
    <w:rsid w:val="00A903B4"/>
    <w:rsid w:val="00A90793"/>
    <w:rsid w:val="00A90D39"/>
    <w:rsid w:val="00A90FF6"/>
    <w:rsid w:val="00A911F2"/>
    <w:rsid w:val="00A925F2"/>
    <w:rsid w:val="00A92756"/>
    <w:rsid w:val="00A941F2"/>
    <w:rsid w:val="00A952D0"/>
    <w:rsid w:val="00A95684"/>
    <w:rsid w:val="00A95EF7"/>
    <w:rsid w:val="00A962D0"/>
    <w:rsid w:val="00A97767"/>
    <w:rsid w:val="00AA026A"/>
    <w:rsid w:val="00AA18D4"/>
    <w:rsid w:val="00AA2558"/>
    <w:rsid w:val="00AA3994"/>
    <w:rsid w:val="00AA3C9F"/>
    <w:rsid w:val="00AA4427"/>
    <w:rsid w:val="00AA57C1"/>
    <w:rsid w:val="00AA65C7"/>
    <w:rsid w:val="00AA687C"/>
    <w:rsid w:val="00AA6FF4"/>
    <w:rsid w:val="00AA7578"/>
    <w:rsid w:val="00AB0AEC"/>
    <w:rsid w:val="00AB1698"/>
    <w:rsid w:val="00AB188A"/>
    <w:rsid w:val="00AB3669"/>
    <w:rsid w:val="00AB3916"/>
    <w:rsid w:val="00AB558C"/>
    <w:rsid w:val="00AB5F6B"/>
    <w:rsid w:val="00AB6F9F"/>
    <w:rsid w:val="00AB750B"/>
    <w:rsid w:val="00AB7AA4"/>
    <w:rsid w:val="00AC0A09"/>
    <w:rsid w:val="00AC2669"/>
    <w:rsid w:val="00AC2EFB"/>
    <w:rsid w:val="00AC35CC"/>
    <w:rsid w:val="00AC5845"/>
    <w:rsid w:val="00AC668B"/>
    <w:rsid w:val="00AC6857"/>
    <w:rsid w:val="00AC698D"/>
    <w:rsid w:val="00AC6DC5"/>
    <w:rsid w:val="00AC755F"/>
    <w:rsid w:val="00AC7F4B"/>
    <w:rsid w:val="00AD0163"/>
    <w:rsid w:val="00AD06F4"/>
    <w:rsid w:val="00AD3908"/>
    <w:rsid w:val="00AD3997"/>
    <w:rsid w:val="00AD41A2"/>
    <w:rsid w:val="00AD4436"/>
    <w:rsid w:val="00AD4781"/>
    <w:rsid w:val="00AD59D7"/>
    <w:rsid w:val="00AD6B85"/>
    <w:rsid w:val="00AD75A4"/>
    <w:rsid w:val="00AD78E8"/>
    <w:rsid w:val="00AE0403"/>
    <w:rsid w:val="00AE1870"/>
    <w:rsid w:val="00AE3351"/>
    <w:rsid w:val="00AE3396"/>
    <w:rsid w:val="00AE4A41"/>
    <w:rsid w:val="00AE5212"/>
    <w:rsid w:val="00AE5319"/>
    <w:rsid w:val="00AE556F"/>
    <w:rsid w:val="00AE61AC"/>
    <w:rsid w:val="00AE7E7E"/>
    <w:rsid w:val="00AF0417"/>
    <w:rsid w:val="00AF069D"/>
    <w:rsid w:val="00AF1512"/>
    <w:rsid w:val="00AF1F43"/>
    <w:rsid w:val="00AF226C"/>
    <w:rsid w:val="00AF2803"/>
    <w:rsid w:val="00AF2F7B"/>
    <w:rsid w:val="00AF4478"/>
    <w:rsid w:val="00AF4537"/>
    <w:rsid w:val="00AF4CE7"/>
    <w:rsid w:val="00AF5F86"/>
    <w:rsid w:val="00AF74B7"/>
    <w:rsid w:val="00B00BD2"/>
    <w:rsid w:val="00B00E39"/>
    <w:rsid w:val="00B011C6"/>
    <w:rsid w:val="00B012D0"/>
    <w:rsid w:val="00B014E7"/>
    <w:rsid w:val="00B01B63"/>
    <w:rsid w:val="00B04E65"/>
    <w:rsid w:val="00B05933"/>
    <w:rsid w:val="00B05CE0"/>
    <w:rsid w:val="00B07F82"/>
    <w:rsid w:val="00B1051A"/>
    <w:rsid w:val="00B10797"/>
    <w:rsid w:val="00B114BC"/>
    <w:rsid w:val="00B12571"/>
    <w:rsid w:val="00B12860"/>
    <w:rsid w:val="00B12DF7"/>
    <w:rsid w:val="00B139A7"/>
    <w:rsid w:val="00B13A85"/>
    <w:rsid w:val="00B14F55"/>
    <w:rsid w:val="00B15EF6"/>
    <w:rsid w:val="00B17FDF"/>
    <w:rsid w:val="00B20812"/>
    <w:rsid w:val="00B209B0"/>
    <w:rsid w:val="00B20C6D"/>
    <w:rsid w:val="00B20FDD"/>
    <w:rsid w:val="00B2291E"/>
    <w:rsid w:val="00B23E4C"/>
    <w:rsid w:val="00B245DB"/>
    <w:rsid w:val="00B247B9"/>
    <w:rsid w:val="00B2701F"/>
    <w:rsid w:val="00B27F93"/>
    <w:rsid w:val="00B30604"/>
    <w:rsid w:val="00B30AD3"/>
    <w:rsid w:val="00B30D29"/>
    <w:rsid w:val="00B30F66"/>
    <w:rsid w:val="00B35914"/>
    <w:rsid w:val="00B36DAC"/>
    <w:rsid w:val="00B376D7"/>
    <w:rsid w:val="00B37BCB"/>
    <w:rsid w:val="00B427BA"/>
    <w:rsid w:val="00B42D65"/>
    <w:rsid w:val="00B42E9B"/>
    <w:rsid w:val="00B43507"/>
    <w:rsid w:val="00B4377C"/>
    <w:rsid w:val="00B43CB8"/>
    <w:rsid w:val="00B479C1"/>
    <w:rsid w:val="00B5105A"/>
    <w:rsid w:val="00B526F0"/>
    <w:rsid w:val="00B52E97"/>
    <w:rsid w:val="00B5300A"/>
    <w:rsid w:val="00B53D7F"/>
    <w:rsid w:val="00B54116"/>
    <w:rsid w:val="00B55160"/>
    <w:rsid w:val="00B559FC"/>
    <w:rsid w:val="00B560D7"/>
    <w:rsid w:val="00B56D8E"/>
    <w:rsid w:val="00B56F46"/>
    <w:rsid w:val="00B60C39"/>
    <w:rsid w:val="00B60E93"/>
    <w:rsid w:val="00B615AD"/>
    <w:rsid w:val="00B625B4"/>
    <w:rsid w:val="00B6283E"/>
    <w:rsid w:val="00B642D9"/>
    <w:rsid w:val="00B64309"/>
    <w:rsid w:val="00B65331"/>
    <w:rsid w:val="00B659F8"/>
    <w:rsid w:val="00B66DFB"/>
    <w:rsid w:val="00B67E87"/>
    <w:rsid w:val="00B700EC"/>
    <w:rsid w:val="00B70957"/>
    <w:rsid w:val="00B72599"/>
    <w:rsid w:val="00B72ABE"/>
    <w:rsid w:val="00B7355D"/>
    <w:rsid w:val="00B738AD"/>
    <w:rsid w:val="00B74F70"/>
    <w:rsid w:val="00B754A4"/>
    <w:rsid w:val="00B75A25"/>
    <w:rsid w:val="00B764F4"/>
    <w:rsid w:val="00B76A0A"/>
    <w:rsid w:val="00B774B2"/>
    <w:rsid w:val="00B779E1"/>
    <w:rsid w:val="00B77AF7"/>
    <w:rsid w:val="00B807D6"/>
    <w:rsid w:val="00B811C2"/>
    <w:rsid w:val="00B8170E"/>
    <w:rsid w:val="00B81AF4"/>
    <w:rsid w:val="00B83333"/>
    <w:rsid w:val="00B83502"/>
    <w:rsid w:val="00B83CEE"/>
    <w:rsid w:val="00B84687"/>
    <w:rsid w:val="00B84D3F"/>
    <w:rsid w:val="00B84FD1"/>
    <w:rsid w:val="00B85837"/>
    <w:rsid w:val="00B85FC4"/>
    <w:rsid w:val="00B86B65"/>
    <w:rsid w:val="00B9009A"/>
    <w:rsid w:val="00B905A0"/>
    <w:rsid w:val="00B90883"/>
    <w:rsid w:val="00B90ED6"/>
    <w:rsid w:val="00B925F5"/>
    <w:rsid w:val="00B9322C"/>
    <w:rsid w:val="00B934F2"/>
    <w:rsid w:val="00B94B2E"/>
    <w:rsid w:val="00B95E74"/>
    <w:rsid w:val="00B96A1A"/>
    <w:rsid w:val="00BA145E"/>
    <w:rsid w:val="00BA302C"/>
    <w:rsid w:val="00BA344C"/>
    <w:rsid w:val="00BA3974"/>
    <w:rsid w:val="00BA4045"/>
    <w:rsid w:val="00BA62D8"/>
    <w:rsid w:val="00BA6B8B"/>
    <w:rsid w:val="00BB1211"/>
    <w:rsid w:val="00BB1B0A"/>
    <w:rsid w:val="00BB1BBE"/>
    <w:rsid w:val="00BB21CB"/>
    <w:rsid w:val="00BB24AA"/>
    <w:rsid w:val="00BB2999"/>
    <w:rsid w:val="00BB2A83"/>
    <w:rsid w:val="00BB357D"/>
    <w:rsid w:val="00BB40AA"/>
    <w:rsid w:val="00BB40D4"/>
    <w:rsid w:val="00BB40DB"/>
    <w:rsid w:val="00BB4397"/>
    <w:rsid w:val="00BB4690"/>
    <w:rsid w:val="00BB486A"/>
    <w:rsid w:val="00BB4F6F"/>
    <w:rsid w:val="00BB563F"/>
    <w:rsid w:val="00BB5711"/>
    <w:rsid w:val="00BB5EE5"/>
    <w:rsid w:val="00BB77F7"/>
    <w:rsid w:val="00BC020F"/>
    <w:rsid w:val="00BC07F9"/>
    <w:rsid w:val="00BC0CDF"/>
    <w:rsid w:val="00BC16EA"/>
    <w:rsid w:val="00BC2642"/>
    <w:rsid w:val="00BC2C5B"/>
    <w:rsid w:val="00BC31DB"/>
    <w:rsid w:val="00BC325C"/>
    <w:rsid w:val="00BC32A0"/>
    <w:rsid w:val="00BC3ABF"/>
    <w:rsid w:val="00BC456D"/>
    <w:rsid w:val="00BC4B57"/>
    <w:rsid w:val="00BC4C58"/>
    <w:rsid w:val="00BC50D9"/>
    <w:rsid w:val="00BC554C"/>
    <w:rsid w:val="00BC65ED"/>
    <w:rsid w:val="00BC779E"/>
    <w:rsid w:val="00BD03E0"/>
    <w:rsid w:val="00BD18A1"/>
    <w:rsid w:val="00BD23EE"/>
    <w:rsid w:val="00BD3BAF"/>
    <w:rsid w:val="00BD3E57"/>
    <w:rsid w:val="00BD4F33"/>
    <w:rsid w:val="00BD55FE"/>
    <w:rsid w:val="00BD5866"/>
    <w:rsid w:val="00BD5A3E"/>
    <w:rsid w:val="00BD694A"/>
    <w:rsid w:val="00BD6D6F"/>
    <w:rsid w:val="00BE04BC"/>
    <w:rsid w:val="00BE04CD"/>
    <w:rsid w:val="00BE054B"/>
    <w:rsid w:val="00BE1102"/>
    <w:rsid w:val="00BE3BEA"/>
    <w:rsid w:val="00BE3FB1"/>
    <w:rsid w:val="00BE4088"/>
    <w:rsid w:val="00BE4F42"/>
    <w:rsid w:val="00BE558B"/>
    <w:rsid w:val="00BE6A30"/>
    <w:rsid w:val="00BF0807"/>
    <w:rsid w:val="00BF1A89"/>
    <w:rsid w:val="00BF248F"/>
    <w:rsid w:val="00BF2EA3"/>
    <w:rsid w:val="00BF4580"/>
    <w:rsid w:val="00BF52DB"/>
    <w:rsid w:val="00BF5CB5"/>
    <w:rsid w:val="00BF5E72"/>
    <w:rsid w:val="00BF62CA"/>
    <w:rsid w:val="00BF6401"/>
    <w:rsid w:val="00BF64AC"/>
    <w:rsid w:val="00BF6809"/>
    <w:rsid w:val="00C003AD"/>
    <w:rsid w:val="00C03009"/>
    <w:rsid w:val="00C03152"/>
    <w:rsid w:val="00C06516"/>
    <w:rsid w:val="00C06B74"/>
    <w:rsid w:val="00C10811"/>
    <w:rsid w:val="00C10C1A"/>
    <w:rsid w:val="00C12012"/>
    <w:rsid w:val="00C12B9A"/>
    <w:rsid w:val="00C133E9"/>
    <w:rsid w:val="00C1397D"/>
    <w:rsid w:val="00C16667"/>
    <w:rsid w:val="00C179B4"/>
    <w:rsid w:val="00C17D47"/>
    <w:rsid w:val="00C21762"/>
    <w:rsid w:val="00C22269"/>
    <w:rsid w:val="00C22371"/>
    <w:rsid w:val="00C23111"/>
    <w:rsid w:val="00C23DC0"/>
    <w:rsid w:val="00C23FB6"/>
    <w:rsid w:val="00C24200"/>
    <w:rsid w:val="00C24352"/>
    <w:rsid w:val="00C25EAB"/>
    <w:rsid w:val="00C276BF"/>
    <w:rsid w:val="00C30C44"/>
    <w:rsid w:val="00C318DC"/>
    <w:rsid w:val="00C320C5"/>
    <w:rsid w:val="00C3231E"/>
    <w:rsid w:val="00C32968"/>
    <w:rsid w:val="00C33813"/>
    <w:rsid w:val="00C3436C"/>
    <w:rsid w:val="00C346D4"/>
    <w:rsid w:val="00C35007"/>
    <w:rsid w:val="00C35D94"/>
    <w:rsid w:val="00C36BE3"/>
    <w:rsid w:val="00C40492"/>
    <w:rsid w:val="00C409C7"/>
    <w:rsid w:val="00C40FB3"/>
    <w:rsid w:val="00C425DE"/>
    <w:rsid w:val="00C428B4"/>
    <w:rsid w:val="00C43BC8"/>
    <w:rsid w:val="00C43F34"/>
    <w:rsid w:val="00C44682"/>
    <w:rsid w:val="00C4568D"/>
    <w:rsid w:val="00C45E96"/>
    <w:rsid w:val="00C4628C"/>
    <w:rsid w:val="00C46AB5"/>
    <w:rsid w:val="00C46BA7"/>
    <w:rsid w:val="00C46EA4"/>
    <w:rsid w:val="00C471C8"/>
    <w:rsid w:val="00C47605"/>
    <w:rsid w:val="00C47849"/>
    <w:rsid w:val="00C5086B"/>
    <w:rsid w:val="00C50D93"/>
    <w:rsid w:val="00C53380"/>
    <w:rsid w:val="00C54963"/>
    <w:rsid w:val="00C54D8E"/>
    <w:rsid w:val="00C5541D"/>
    <w:rsid w:val="00C5587B"/>
    <w:rsid w:val="00C55A45"/>
    <w:rsid w:val="00C562EF"/>
    <w:rsid w:val="00C5638A"/>
    <w:rsid w:val="00C573FB"/>
    <w:rsid w:val="00C57A78"/>
    <w:rsid w:val="00C60240"/>
    <w:rsid w:val="00C606FE"/>
    <w:rsid w:val="00C60CAD"/>
    <w:rsid w:val="00C60FA0"/>
    <w:rsid w:val="00C61009"/>
    <w:rsid w:val="00C61542"/>
    <w:rsid w:val="00C61A57"/>
    <w:rsid w:val="00C61F32"/>
    <w:rsid w:val="00C630A8"/>
    <w:rsid w:val="00C63B7E"/>
    <w:rsid w:val="00C63BED"/>
    <w:rsid w:val="00C64619"/>
    <w:rsid w:val="00C6493A"/>
    <w:rsid w:val="00C64CCA"/>
    <w:rsid w:val="00C65918"/>
    <w:rsid w:val="00C65AAA"/>
    <w:rsid w:val="00C6687F"/>
    <w:rsid w:val="00C66D7B"/>
    <w:rsid w:val="00C70E5A"/>
    <w:rsid w:val="00C70E90"/>
    <w:rsid w:val="00C725B9"/>
    <w:rsid w:val="00C73D97"/>
    <w:rsid w:val="00C76259"/>
    <w:rsid w:val="00C769FF"/>
    <w:rsid w:val="00C76DA8"/>
    <w:rsid w:val="00C76E24"/>
    <w:rsid w:val="00C77915"/>
    <w:rsid w:val="00C77C82"/>
    <w:rsid w:val="00C817C1"/>
    <w:rsid w:val="00C82192"/>
    <w:rsid w:val="00C82216"/>
    <w:rsid w:val="00C824DE"/>
    <w:rsid w:val="00C84C90"/>
    <w:rsid w:val="00C84E2C"/>
    <w:rsid w:val="00C84FE2"/>
    <w:rsid w:val="00C85CFD"/>
    <w:rsid w:val="00C8628B"/>
    <w:rsid w:val="00C8661D"/>
    <w:rsid w:val="00C872F3"/>
    <w:rsid w:val="00C90A55"/>
    <w:rsid w:val="00C91346"/>
    <w:rsid w:val="00C91478"/>
    <w:rsid w:val="00C9287E"/>
    <w:rsid w:val="00C936E8"/>
    <w:rsid w:val="00C93DF0"/>
    <w:rsid w:val="00C947FE"/>
    <w:rsid w:val="00C953D9"/>
    <w:rsid w:val="00C96A66"/>
    <w:rsid w:val="00C97706"/>
    <w:rsid w:val="00C97ACC"/>
    <w:rsid w:val="00CA025A"/>
    <w:rsid w:val="00CA3547"/>
    <w:rsid w:val="00CA5174"/>
    <w:rsid w:val="00CA5492"/>
    <w:rsid w:val="00CA54C6"/>
    <w:rsid w:val="00CA5502"/>
    <w:rsid w:val="00CA6362"/>
    <w:rsid w:val="00CA67C1"/>
    <w:rsid w:val="00CA69AC"/>
    <w:rsid w:val="00CA7585"/>
    <w:rsid w:val="00CA7E5C"/>
    <w:rsid w:val="00CB026D"/>
    <w:rsid w:val="00CB23BA"/>
    <w:rsid w:val="00CB29C8"/>
    <w:rsid w:val="00CB34E1"/>
    <w:rsid w:val="00CB43D7"/>
    <w:rsid w:val="00CB5617"/>
    <w:rsid w:val="00CB5C00"/>
    <w:rsid w:val="00CB5DB9"/>
    <w:rsid w:val="00CB62F7"/>
    <w:rsid w:val="00CB666A"/>
    <w:rsid w:val="00CB6871"/>
    <w:rsid w:val="00CB70EF"/>
    <w:rsid w:val="00CB733B"/>
    <w:rsid w:val="00CC016C"/>
    <w:rsid w:val="00CC094C"/>
    <w:rsid w:val="00CC1ABC"/>
    <w:rsid w:val="00CC2B70"/>
    <w:rsid w:val="00CC2E05"/>
    <w:rsid w:val="00CC3037"/>
    <w:rsid w:val="00CC3CE4"/>
    <w:rsid w:val="00CC43C2"/>
    <w:rsid w:val="00CC480A"/>
    <w:rsid w:val="00CC4901"/>
    <w:rsid w:val="00CC5793"/>
    <w:rsid w:val="00CC6481"/>
    <w:rsid w:val="00CC6B54"/>
    <w:rsid w:val="00CC6B88"/>
    <w:rsid w:val="00CD00DE"/>
    <w:rsid w:val="00CD040F"/>
    <w:rsid w:val="00CD053B"/>
    <w:rsid w:val="00CD065C"/>
    <w:rsid w:val="00CD08ED"/>
    <w:rsid w:val="00CD0DF5"/>
    <w:rsid w:val="00CD2517"/>
    <w:rsid w:val="00CD2B0E"/>
    <w:rsid w:val="00CD2BFF"/>
    <w:rsid w:val="00CD2DF1"/>
    <w:rsid w:val="00CD353E"/>
    <w:rsid w:val="00CD3E02"/>
    <w:rsid w:val="00CD4711"/>
    <w:rsid w:val="00CD48C2"/>
    <w:rsid w:val="00CD6ACA"/>
    <w:rsid w:val="00CD6AF8"/>
    <w:rsid w:val="00CD7705"/>
    <w:rsid w:val="00CE0B42"/>
    <w:rsid w:val="00CE10D7"/>
    <w:rsid w:val="00CE1202"/>
    <w:rsid w:val="00CE27FC"/>
    <w:rsid w:val="00CE338C"/>
    <w:rsid w:val="00CE424E"/>
    <w:rsid w:val="00CE55B0"/>
    <w:rsid w:val="00CE637A"/>
    <w:rsid w:val="00CF02D5"/>
    <w:rsid w:val="00CF13C3"/>
    <w:rsid w:val="00CF164E"/>
    <w:rsid w:val="00CF1D18"/>
    <w:rsid w:val="00CF2205"/>
    <w:rsid w:val="00CF2DD4"/>
    <w:rsid w:val="00CF362F"/>
    <w:rsid w:val="00CF3F90"/>
    <w:rsid w:val="00CF696E"/>
    <w:rsid w:val="00CF6E4A"/>
    <w:rsid w:val="00CF7971"/>
    <w:rsid w:val="00D00508"/>
    <w:rsid w:val="00D0261F"/>
    <w:rsid w:val="00D04BC3"/>
    <w:rsid w:val="00D05014"/>
    <w:rsid w:val="00D05C67"/>
    <w:rsid w:val="00D06346"/>
    <w:rsid w:val="00D06596"/>
    <w:rsid w:val="00D0683E"/>
    <w:rsid w:val="00D11EF0"/>
    <w:rsid w:val="00D1248C"/>
    <w:rsid w:val="00D1321C"/>
    <w:rsid w:val="00D13667"/>
    <w:rsid w:val="00D1366A"/>
    <w:rsid w:val="00D13764"/>
    <w:rsid w:val="00D1452E"/>
    <w:rsid w:val="00D14CD6"/>
    <w:rsid w:val="00D16ABA"/>
    <w:rsid w:val="00D16F2A"/>
    <w:rsid w:val="00D22FA9"/>
    <w:rsid w:val="00D23B61"/>
    <w:rsid w:val="00D249E2"/>
    <w:rsid w:val="00D25623"/>
    <w:rsid w:val="00D2576F"/>
    <w:rsid w:val="00D25E06"/>
    <w:rsid w:val="00D27077"/>
    <w:rsid w:val="00D31049"/>
    <w:rsid w:val="00D314E2"/>
    <w:rsid w:val="00D3179B"/>
    <w:rsid w:val="00D32751"/>
    <w:rsid w:val="00D33DF7"/>
    <w:rsid w:val="00D33F91"/>
    <w:rsid w:val="00D342E5"/>
    <w:rsid w:val="00D34795"/>
    <w:rsid w:val="00D34E40"/>
    <w:rsid w:val="00D37628"/>
    <w:rsid w:val="00D4334B"/>
    <w:rsid w:val="00D43B81"/>
    <w:rsid w:val="00D44513"/>
    <w:rsid w:val="00D44A0B"/>
    <w:rsid w:val="00D46A1C"/>
    <w:rsid w:val="00D47647"/>
    <w:rsid w:val="00D50C61"/>
    <w:rsid w:val="00D51A62"/>
    <w:rsid w:val="00D51DFE"/>
    <w:rsid w:val="00D5231F"/>
    <w:rsid w:val="00D54DF0"/>
    <w:rsid w:val="00D55295"/>
    <w:rsid w:val="00D5607A"/>
    <w:rsid w:val="00D56297"/>
    <w:rsid w:val="00D57367"/>
    <w:rsid w:val="00D57F0C"/>
    <w:rsid w:val="00D6141C"/>
    <w:rsid w:val="00D6228F"/>
    <w:rsid w:val="00D641F6"/>
    <w:rsid w:val="00D65CA1"/>
    <w:rsid w:val="00D67418"/>
    <w:rsid w:val="00D70DC9"/>
    <w:rsid w:val="00D70FE3"/>
    <w:rsid w:val="00D71F38"/>
    <w:rsid w:val="00D72300"/>
    <w:rsid w:val="00D72EBC"/>
    <w:rsid w:val="00D72F93"/>
    <w:rsid w:val="00D73FF6"/>
    <w:rsid w:val="00D75882"/>
    <w:rsid w:val="00D75FBC"/>
    <w:rsid w:val="00D760DE"/>
    <w:rsid w:val="00D76C06"/>
    <w:rsid w:val="00D77B1D"/>
    <w:rsid w:val="00D811EE"/>
    <w:rsid w:val="00D81FAB"/>
    <w:rsid w:val="00D834EB"/>
    <w:rsid w:val="00D844C4"/>
    <w:rsid w:val="00D84859"/>
    <w:rsid w:val="00D84DB7"/>
    <w:rsid w:val="00D85DFC"/>
    <w:rsid w:val="00D876FC"/>
    <w:rsid w:val="00D901BE"/>
    <w:rsid w:val="00D906BF"/>
    <w:rsid w:val="00D90A81"/>
    <w:rsid w:val="00D90AD2"/>
    <w:rsid w:val="00D912EC"/>
    <w:rsid w:val="00D91693"/>
    <w:rsid w:val="00D91CB5"/>
    <w:rsid w:val="00D91E43"/>
    <w:rsid w:val="00D92C68"/>
    <w:rsid w:val="00D93B42"/>
    <w:rsid w:val="00D93C40"/>
    <w:rsid w:val="00D940EA"/>
    <w:rsid w:val="00D953EB"/>
    <w:rsid w:val="00D962BA"/>
    <w:rsid w:val="00D97283"/>
    <w:rsid w:val="00D97A05"/>
    <w:rsid w:val="00D97E73"/>
    <w:rsid w:val="00DA138C"/>
    <w:rsid w:val="00DA18AC"/>
    <w:rsid w:val="00DA1A10"/>
    <w:rsid w:val="00DA21B0"/>
    <w:rsid w:val="00DA3418"/>
    <w:rsid w:val="00DA34CE"/>
    <w:rsid w:val="00DA3682"/>
    <w:rsid w:val="00DA4527"/>
    <w:rsid w:val="00DA493B"/>
    <w:rsid w:val="00DA4DEA"/>
    <w:rsid w:val="00DA604F"/>
    <w:rsid w:val="00DA60EC"/>
    <w:rsid w:val="00DA66E8"/>
    <w:rsid w:val="00DA7469"/>
    <w:rsid w:val="00DA7B1A"/>
    <w:rsid w:val="00DB0C40"/>
    <w:rsid w:val="00DB165A"/>
    <w:rsid w:val="00DB2694"/>
    <w:rsid w:val="00DB33D8"/>
    <w:rsid w:val="00DB3C87"/>
    <w:rsid w:val="00DB4A69"/>
    <w:rsid w:val="00DB5456"/>
    <w:rsid w:val="00DB653D"/>
    <w:rsid w:val="00DB6EC9"/>
    <w:rsid w:val="00DB6F05"/>
    <w:rsid w:val="00DB70FF"/>
    <w:rsid w:val="00DB71E1"/>
    <w:rsid w:val="00DB7AB0"/>
    <w:rsid w:val="00DC0FA0"/>
    <w:rsid w:val="00DC17AB"/>
    <w:rsid w:val="00DC1CA7"/>
    <w:rsid w:val="00DC273C"/>
    <w:rsid w:val="00DC36F7"/>
    <w:rsid w:val="00DC3CCD"/>
    <w:rsid w:val="00DC4255"/>
    <w:rsid w:val="00DC5EB1"/>
    <w:rsid w:val="00DC6BBF"/>
    <w:rsid w:val="00DD0751"/>
    <w:rsid w:val="00DD0951"/>
    <w:rsid w:val="00DD1136"/>
    <w:rsid w:val="00DD1914"/>
    <w:rsid w:val="00DD1B89"/>
    <w:rsid w:val="00DD2287"/>
    <w:rsid w:val="00DD472F"/>
    <w:rsid w:val="00DD47C0"/>
    <w:rsid w:val="00DD5594"/>
    <w:rsid w:val="00DD55C5"/>
    <w:rsid w:val="00DD715F"/>
    <w:rsid w:val="00DD77B2"/>
    <w:rsid w:val="00DE068C"/>
    <w:rsid w:val="00DE103B"/>
    <w:rsid w:val="00DE2655"/>
    <w:rsid w:val="00DE3275"/>
    <w:rsid w:val="00DE32BF"/>
    <w:rsid w:val="00DE3A27"/>
    <w:rsid w:val="00DE55B0"/>
    <w:rsid w:val="00DE5B5E"/>
    <w:rsid w:val="00DE6BD1"/>
    <w:rsid w:val="00DE78BB"/>
    <w:rsid w:val="00DE7DC7"/>
    <w:rsid w:val="00DF075B"/>
    <w:rsid w:val="00DF0CE5"/>
    <w:rsid w:val="00DF134B"/>
    <w:rsid w:val="00DF14CB"/>
    <w:rsid w:val="00DF2BB4"/>
    <w:rsid w:val="00DF2C43"/>
    <w:rsid w:val="00DF2D8E"/>
    <w:rsid w:val="00DF2DC7"/>
    <w:rsid w:val="00DF343E"/>
    <w:rsid w:val="00DF404A"/>
    <w:rsid w:val="00DF4249"/>
    <w:rsid w:val="00DF49EA"/>
    <w:rsid w:val="00DF53CA"/>
    <w:rsid w:val="00DF55A8"/>
    <w:rsid w:val="00DF5CD4"/>
    <w:rsid w:val="00DF5F0C"/>
    <w:rsid w:val="00DF6A26"/>
    <w:rsid w:val="00DF775D"/>
    <w:rsid w:val="00DF7C7B"/>
    <w:rsid w:val="00E003C8"/>
    <w:rsid w:val="00E015FF"/>
    <w:rsid w:val="00E01EC9"/>
    <w:rsid w:val="00E01F51"/>
    <w:rsid w:val="00E03989"/>
    <w:rsid w:val="00E057BD"/>
    <w:rsid w:val="00E05A4B"/>
    <w:rsid w:val="00E05C79"/>
    <w:rsid w:val="00E06913"/>
    <w:rsid w:val="00E06B63"/>
    <w:rsid w:val="00E07F5A"/>
    <w:rsid w:val="00E104AA"/>
    <w:rsid w:val="00E107C0"/>
    <w:rsid w:val="00E10967"/>
    <w:rsid w:val="00E11502"/>
    <w:rsid w:val="00E11ABA"/>
    <w:rsid w:val="00E11FE5"/>
    <w:rsid w:val="00E120BB"/>
    <w:rsid w:val="00E12C2F"/>
    <w:rsid w:val="00E1501A"/>
    <w:rsid w:val="00E152D6"/>
    <w:rsid w:val="00E1537B"/>
    <w:rsid w:val="00E17522"/>
    <w:rsid w:val="00E20877"/>
    <w:rsid w:val="00E20D6C"/>
    <w:rsid w:val="00E2269B"/>
    <w:rsid w:val="00E22D5E"/>
    <w:rsid w:val="00E23EF9"/>
    <w:rsid w:val="00E25A5C"/>
    <w:rsid w:val="00E25FBA"/>
    <w:rsid w:val="00E277A9"/>
    <w:rsid w:val="00E27A1C"/>
    <w:rsid w:val="00E31A1E"/>
    <w:rsid w:val="00E31B7C"/>
    <w:rsid w:val="00E32144"/>
    <w:rsid w:val="00E33FDD"/>
    <w:rsid w:val="00E341F3"/>
    <w:rsid w:val="00E34728"/>
    <w:rsid w:val="00E35B0D"/>
    <w:rsid w:val="00E361BF"/>
    <w:rsid w:val="00E3674B"/>
    <w:rsid w:val="00E36964"/>
    <w:rsid w:val="00E36BFD"/>
    <w:rsid w:val="00E415A5"/>
    <w:rsid w:val="00E418D8"/>
    <w:rsid w:val="00E41931"/>
    <w:rsid w:val="00E41F2C"/>
    <w:rsid w:val="00E427C3"/>
    <w:rsid w:val="00E428A4"/>
    <w:rsid w:val="00E433FD"/>
    <w:rsid w:val="00E43EA0"/>
    <w:rsid w:val="00E44038"/>
    <w:rsid w:val="00E4431E"/>
    <w:rsid w:val="00E44579"/>
    <w:rsid w:val="00E44B8F"/>
    <w:rsid w:val="00E45399"/>
    <w:rsid w:val="00E45DCB"/>
    <w:rsid w:val="00E465E3"/>
    <w:rsid w:val="00E46695"/>
    <w:rsid w:val="00E468F3"/>
    <w:rsid w:val="00E51FC2"/>
    <w:rsid w:val="00E5269F"/>
    <w:rsid w:val="00E5385E"/>
    <w:rsid w:val="00E5462A"/>
    <w:rsid w:val="00E554FE"/>
    <w:rsid w:val="00E55603"/>
    <w:rsid w:val="00E5592E"/>
    <w:rsid w:val="00E56EB4"/>
    <w:rsid w:val="00E60960"/>
    <w:rsid w:val="00E60A17"/>
    <w:rsid w:val="00E61870"/>
    <w:rsid w:val="00E620FE"/>
    <w:rsid w:val="00E63606"/>
    <w:rsid w:val="00E64CAC"/>
    <w:rsid w:val="00E65B46"/>
    <w:rsid w:val="00E65C9C"/>
    <w:rsid w:val="00E65ED6"/>
    <w:rsid w:val="00E66E4E"/>
    <w:rsid w:val="00E70388"/>
    <w:rsid w:val="00E709C3"/>
    <w:rsid w:val="00E7105B"/>
    <w:rsid w:val="00E71950"/>
    <w:rsid w:val="00E71F82"/>
    <w:rsid w:val="00E737EB"/>
    <w:rsid w:val="00E73D58"/>
    <w:rsid w:val="00E7503A"/>
    <w:rsid w:val="00E75ABF"/>
    <w:rsid w:val="00E75AE9"/>
    <w:rsid w:val="00E76E2D"/>
    <w:rsid w:val="00E77261"/>
    <w:rsid w:val="00E77C52"/>
    <w:rsid w:val="00E77DB1"/>
    <w:rsid w:val="00E81024"/>
    <w:rsid w:val="00E81793"/>
    <w:rsid w:val="00E8205C"/>
    <w:rsid w:val="00E8264B"/>
    <w:rsid w:val="00E82B64"/>
    <w:rsid w:val="00E839A5"/>
    <w:rsid w:val="00E840D6"/>
    <w:rsid w:val="00E904BD"/>
    <w:rsid w:val="00E926F9"/>
    <w:rsid w:val="00E94ADE"/>
    <w:rsid w:val="00E94CC4"/>
    <w:rsid w:val="00E95137"/>
    <w:rsid w:val="00E9571B"/>
    <w:rsid w:val="00E963A4"/>
    <w:rsid w:val="00E9644C"/>
    <w:rsid w:val="00E9750A"/>
    <w:rsid w:val="00E975A5"/>
    <w:rsid w:val="00E9775B"/>
    <w:rsid w:val="00EA0356"/>
    <w:rsid w:val="00EA0658"/>
    <w:rsid w:val="00EA06A4"/>
    <w:rsid w:val="00EA08B2"/>
    <w:rsid w:val="00EA0A4E"/>
    <w:rsid w:val="00EA1BA3"/>
    <w:rsid w:val="00EA2E19"/>
    <w:rsid w:val="00EA6C5F"/>
    <w:rsid w:val="00EB012D"/>
    <w:rsid w:val="00EB0982"/>
    <w:rsid w:val="00EB144A"/>
    <w:rsid w:val="00EB2118"/>
    <w:rsid w:val="00EB2961"/>
    <w:rsid w:val="00EB2985"/>
    <w:rsid w:val="00EB4539"/>
    <w:rsid w:val="00EB4C35"/>
    <w:rsid w:val="00EB4E3B"/>
    <w:rsid w:val="00EB5423"/>
    <w:rsid w:val="00EB5A73"/>
    <w:rsid w:val="00EB6B02"/>
    <w:rsid w:val="00EB74B6"/>
    <w:rsid w:val="00EB75C5"/>
    <w:rsid w:val="00EB75ED"/>
    <w:rsid w:val="00EC354D"/>
    <w:rsid w:val="00EC4030"/>
    <w:rsid w:val="00EC407A"/>
    <w:rsid w:val="00EC459E"/>
    <w:rsid w:val="00EC540D"/>
    <w:rsid w:val="00EC64C0"/>
    <w:rsid w:val="00EC657C"/>
    <w:rsid w:val="00ED0F5E"/>
    <w:rsid w:val="00ED31EB"/>
    <w:rsid w:val="00ED329C"/>
    <w:rsid w:val="00ED38A5"/>
    <w:rsid w:val="00ED4723"/>
    <w:rsid w:val="00ED4ABC"/>
    <w:rsid w:val="00ED4DFA"/>
    <w:rsid w:val="00ED50D3"/>
    <w:rsid w:val="00ED6F55"/>
    <w:rsid w:val="00ED78AD"/>
    <w:rsid w:val="00EE0548"/>
    <w:rsid w:val="00EE0741"/>
    <w:rsid w:val="00EE07A5"/>
    <w:rsid w:val="00EE0A30"/>
    <w:rsid w:val="00EE36B9"/>
    <w:rsid w:val="00EE425D"/>
    <w:rsid w:val="00EE4BBA"/>
    <w:rsid w:val="00EE55E0"/>
    <w:rsid w:val="00EE564A"/>
    <w:rsid w:val="00EE69ED"/>
    <w:rsid w:val="00EE7396"/>
    <w:rsid w:val="00EF0B02"/>
    <w:rsid w:val="00EF0FDD"/>
    <w:rsid w:val="00EF1966"/>
    <w:rsid w:val="00EF19FB"/>
    <w:rsid w:val="00EF2BFE"/>
    <w:rsid w:val="00EF300A"/>
    <w:rsid w:val="00EF3754"/>
    <w:rsid w:val="00EF4504"/>
    <w:rsid w:val="00EF5839"/>
    <w:rsid w:val="00EF6002"/>
    <w:rsid w:val="00EF604C"/>
    <w:rsid w:val="00EF6ACC"/>
    <w:rsid w:val="00EF6F80"/>
    <w:rsid w:val="00EF73E0"/>
    <w:rsid w:val="00EF761B"/>
    <w:rsid w:val="00EF7843"/>
    <w:rsid w:val="00EF7D12"/>
    <w:rsid w:val="00F003B0"/>
    <w:rsid w:val="00F00B15"/>
    <w:rsid w:val="00F00D36"/>
    <w:rsid w:val="00F016D6"/>
    <w:rsid w:val="00F02559"/>
    <w:rsid w:val="00F025BC"/>
    <w:rsid w:val="00F026AA"/>
    <w:rsid w:val="00F0291E"/>
    <w:rsid w:val="00F0315B"/>
    <w:rsid w:val="00F042AB"/>
    <w:rsid w:val="00F048BD"/>
    <w:rsid w:val="00F05452"/>
    <w:rsid w:val="00F05E4A"/>
    <w:rsid w:val="00F06EC4"/>
    <w:rsid w:val="00F07717"/>
    <w:rsid w:val="00F07EA3"/>
    <w:rsid w:val="00F10135"/>
    <w:rsid w:val="00F10BEA"/>
    <w:rsid w:val="00F11162"/>
    <w:rsid w:val="00F1195E"/>
    <w:rsid w:val="00F11BEF"/>
    <w:rsid w:val="00F13BAB"/>
    <w:rsid w:val="00F1415A"/>
    <w:rsid w:val="00F14B94"/>
    <w:rsid w:val="00F1536F"/>
    <w:rsid w:val="00F1565A"/>
    <w:rsid w:val="00F15CA9"/>
    <w:rsid w:val="00F17227"/>
    <w:rsid w:val="00F214BF"/>
    <w:rsid w:val="00F22464"/>
    <w:rsid w:val="00F2294F"/>
    <w:rsid w:val="00F229C3"/>
    <w:rsid w:val="00F22C95"/>
    <w:rsid w:val="00F27DC0"/>
    <w:rsid w:val="00F27FE5"/>
    <w:rsid w:val="00F3090D"/>
    <w:rsid w:val="00F31AC5"/>
    <w:rsid w:val="00F3241C"/>
    <w:rsid w:val="00F3392C"/>
    <w:rsid w:val="00F340EB"/>
    <w:rsid w:val="00F357E9"/>
    <w:rsid w:val="00F35A06"/>
    <w:rsid w:val="00F35ABF"/>
    <w:rsid w:val="00F3658A"/>
    <w:rsid w:val="00F36C9B"/>
    <w:rsid w:val="00F4062E"/>
    <w:rsid w:val="00F41A60"/>
    <w:rsid w:val="00F4250B"/>
    <w:rsid w:val="00F42CD0"/>
    <w:rsid w:val="00F43783"/>
    <w:rsid w:val="00F443DE"/>
    <w:rsid w:val="00F45FEE"/>
    <w:rsid w:val="00F4613C"/>
    <w:rsid w:val="00F463AB"/>
    <w:rsid w:val="00F50B85"/>
    <w:rsid w:val="00F50F03"/>
    <w:rsid w:val="00F51465"/>
    <w:rsid w:val="00F51E3F"/>
    <w:rsid w:val="00F55288"/>
    <w:rsid w:val="00F559E7"/>
    <w:rsid w:val="00F57179"/>
    <w:rsid w:val="00F60856"/>
    <w:rsid w:val="00F6103C"/>
    <w:rsid w:val="00F6235A"/>
    <w:rsid w:val="00F65805"/>
    <w:rsid w:val="00F660B8"/>
    <w:rsid w:val="00F6651C"/>
    <w:rsid w:val="00F66B73"/>
    <w:rsid w:val="00F67359"/>
    <w:rsid w:val="00F677F2"/>
    <w:rsid w:val="00F70055"/>
    <w:rsid w:val="00F7052B"/>
    <w:rsid w:val="00F70CE8"/>
    <w:rsid w:val="00F72875"/>
    <w:rsid w:val="00F74332"/>
    <w:rsid w:val="00F748C4"/>
    <w:rsid w:val="00F74C93"/>
    <w:rsid w:val="00F74D2D"/>
    <w:rsid w:val="00F74D76"/>
    <w:rsid w:val="00F762F1"/>
    <w:rsid w:val="00F76924"/>
    <w:rsid w:val="00F77902"/>
    <w:rsid w:val="00F779A4"/>
    <w:rsid w:val="00F8051A"/>
    <w:rsid w:val="00F807D1"/>
    <w:rsid w:val="00F80924"/>
    <w:rsid w:val="00F80E5D"/>
    <w:rsid w:val="00F8317C"/>
    <w:rsid w:val="00F83EEC"/>
    <w:rsid w:val="00F842EE"/>
    <w:rsid w:val="00F84456"/>
    <w:rsid w:val="00F846EE"/>
    <w:rsid w:val="00F84E5E"/>
    <w:rsid w:val="00F85B4F"/>
    <w:rsid w:val="00F869A3"/>
    <w:rsid w:val="00F87116"/>
    <w:rsid w:val="00F874A3"/>
    <w:rsid w:val="00F91871"/>
    <w:rsid w:val="00F91B79"/>
    <w:rsid w:val="00F92AC4"/>
    <w:rsid w:val="00F92B33"/>
    <w:rsid w:val="00F94967"/>
    <w:rsid w:val="00F94A4A"/>
    <w:rsid w:val="00F95699"/>
    <w:rsid w:val="00F963C6"/>
    <w:rsid w:val="00F96A36"/>
    <w:rsid w:val="00FA0449"/>
    <w:rsid w:val="00FA06CF"/>
    <w:rsid w:val="00FA26E2"/>
    <w:rsid w:val="00FA3202"/>
    <w:rsid w:val="00FA3C51"/>
    <w:rsid w:val="00FA40D9"/>
    <w:rsid w:val="00FA4B6F"/>
    <w:rsid w:val="00FA4BBB"/>
    <w:rsid w:val="00FA4DC5"/>
    <w:rsid w:val="00FA5ADD"/>
    <w:rsid w:val="00FA5F91"/>
    <w:rsid w:val="00FA6655"/>
    <w:rsid w:val="00FA6DA4"/>
    <w:rsid w:val="00FA7CC0"/>
    <w:rsid w:val="00FB0966"/>
    <w:rsid w:val="00FB123F"/>
    <w:rsid w:val="00FB2268"/>
    <w:rsid w:val="00FB27AD"/>
    <w:rsid w:val="00FB54B1"/>
    <w:rsid w:val="00FB5B48"/>
    <w:rsid w:val="00FB66C1"/>
    <w:rsid w:val="00FB7232"/>
    <w:rsid w:val="00FB78FA"/>
    <w:rsid w:val="00FC154C"/>
    <w:rsid w:val="00FC176D"/>
    <w:rsid w:val="00FC1C0E"/>
    <w:rsid w:val="00FC20BD"/>
    <w:rsid w:val="00FC23AA"/>
    <w:rsid w:val="00FC333A"/>
    <w:rsid w:val="00FC341C"/>
    <w:rsid w:val="00FC38DE"/>
    <w:rsid w:val="00FC4C7A"/>
    <w:rsid w:val="00FC583F"/>
    <w:rsid w:val="00FC5CEA"/>
    <w:rsid w:val="00FD133E"/>
    <w:rsid w:val="00FD1436"/>
    <w:rsid w:val="00FD205A"/>
    <w:rsid w:val="00FD2808"/>
    <w:rsid w:val="00FD2A60"/>
    <w:rsid w:val="00FD37C6"/>
    <w:rsid w:val="00FD4B77"/>
    <w:rsid w:val="00FD55F5"/>
    <w:rsid w:val="00FD6352"/>
    <w:rsid w:val="00FD68FE"/>
    <w:rsid w:val="00FD6E22"/>
    <w:rsid w:val="00FE0170"/>
    <w:rsid w:val="00FE043F"/>
    <w:rsid w:val="00FE0CEA"/>
    <w:rsid w:val="00FE0F74"/>
    <w:rsid w:val="00FE13B6"/>
    <w:rsid w:val="00FE2091"/>
    <w:rsid w:val="00FE2D03"/>
    <w:rsid w:val="00FE30CC"/>
    <w:rsid w:val="00FE376A"/>
    <w:rsid w:val="00FE39CC"/>
    <w:rsid w:val="00FE3F6C"/>
    <w:rsid w:val="00FE465B"/>
    <w:rsid w:val="00FE4EC9"/>
    <w:rsid w:val="00FE62E2"/>
    <w:rsid w:val="00FE78FC"/>
    <w:rsid w:val="00FE7F88"/>
    <w:rsid w:val="00FF1940"/>
    <w:rsid w:val="00FF1F46"/>
    <w:rsid w:val="00FF2D5F"/>
    <w:rsid w:val="00FF4F7F"/>
    <w:rsid w:val="00FF57CD"/>
    <w:rsid w:val="00FF5AA3"/>
    <w:rsid w:val="00FF65D9"/>
    <w:rsid w:val="00FF7396"/>
    <w:rsid w:val="00FF7E64"/>
    <w:rsid w:val="03001C79"/>
    <w:rsid w:val="16033872"/>
    <w:rsid w:val="1D4F4A49"/>
    <w:rsid w:val="6CF7C78E"/>
    <w:rsid w:val="7DF3BB00"/>
    <w:rsid w:val="7E3E726D"/>
    <w:rsid w:val="AEF9D409"/>
    <w:rsid w:val="BFDC0C36"/>
    <w:rsid w:val="E5FFBF23"/>
  </w:rsids>
  <m:mathPr>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nhideWhenUsed="0"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qFormat="1" w:unhideWhenUsed="0" w:uiPriority="0" w:semiHidden="0" w:name="Normal Indent"/>
    <w:lsdException w:uiPriority="99" w:name="footnote text"/>
    <w:lsdException w:uiPriority="99"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iPriority="99" w:semiHidden="0" w:name="Placeholder Text"/>
    <w:lsdException w:qFormat="1" w:unhideWhenUsed="0" w:uiPriority="99"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5"/>
    <w:qFormat/>
    <w:uiPriority w:val="9"/>
    <w:pPr>
      <w:keepNext/>
      <w:keepLines/>
      <w:pageBreakBefore/>
      <w:numPr>
        <w:ilvl w:val="0"/>
        <w:numId w:val="1"/>
      </w:numPr>
      <w:wordWrap w:val="0"/>
      <w:spacing w:before="0" w:after="0" w:line="240" w:lineRule="auto"/>
      <w:jc w:val="left"/>
      <w:outlineLvl w:val="0"/>
    </w:pPr>
    <w:rPr>
      <w:rFonts w:ascii="黑体" w:hAnsi="黑体" w:eastAsia="黑体" w:cs="黑体"/>
      <w:b/>
      <w:bCs/>
      <w:kern w:val="44"/>
      <w:sz w:val="28"/>
      <w:szCs w:val="28"/>
    </w:rPr>
  </w:style>
  <w:style w:type="paragraph" w:styleId="3">
    <w:name w:val="heading 2"/>
    <w:basedOn w:val="1"/>
    <w:next w:val="1"/>
    <w:link w:val="33"/>
    <w:unhideWhenUsed/>
    <w:qFormat/>
    <w:uiPriority w:val="9"/>
    <w:pPr>
      <w:keepNext/>
      <w:keepLines/>
      <w:numPr>
        <w:ilvl w:val="1"/>
        <w:numId w:val="1"/>
      </w:numPr>
      <w:wordWrap w:val="0"/>
      <w:spacing w:before="120" w:after="120" w:line="480" w:lineRule="exact"/>
      <w:ind w:firstLine="200" w:firstLineChars="200"/>
      <w:jc w:val="left"/>
      <w:outlineLvl w:val="1"/>
    </w:pPr>
    <w:rPr>
      <w:rFonts w:ascii="宋体" w:hAnsi="宋体" w:eastAsia="宋体" w:cstheme="majorBidi"/>
      <w:b/>
      <w:bCs/>
      <w:sz w:val="24"/>
      <w:szCs w:val="24"/>
    </w:rPr>
  </w:style>
  <w:style w:type="paragraph" w:styleId="4">
    <w:name w:val="heading 3"/>
    <w:basedOn w:val="1"/>
    <w:next w:val="5"/>
    <w:link w:val="34"/>
    <w:autoRedefine/>
    <w:unhideWhenUsed/>
    <w:qFormat/>
    <w:uiPriority w:val="9"/>
    <w:pPr>
      <w:keepNext/>
      <w:keepLines/>
      <w:numPr>
        <w:ilvl w:val="2"/>
        <w:numId w:val="1"/>
      </w:numPr>
      <w:wordWrap w:val="0"/>
      <w:spacing w:before="120" w:after="120" w:line="480" w:lineRule="exact"/>
      <w:ind w:firstLine="200" w:firstLineChars="200"/>
      <w:jc w:val="left"/>
      <w:outlineLvl w:val="2"/>
    </w:pPr>
    <w:rPr>
      <w:rFonts w:ascii="宋体" w:hAnsi="宋体" w:eastAsia="宋体" w:cs="宋体"/>
      <w:b/>
      <w:bCs/>
      <w:sz w:val="24"/>
      <w:szCs w:val="24"/>
    </w:rPr>
  </w:style>
  <w:style w:type="paragraph" w:styleId="5">
    <w:name w:val="heading 4"/>
    <w:basedOn w:val="4"/>
    <w:next w:val="1"/>
    <w:link w:val="39"/>
    <w:unhideWhenUsed/>
    <w:qFormat/>
    <w:uiPriority w:val="9"/>
    <w:pPr>
      <w:numPr>
        <w:ilvl w:val="3"/>
        <w:numId w:val="1"/>
      </w:numPr>
      <w:wordWrap w:val="0"/>
      <w:spacing w:before="40" w:after="40"/>
      <w:outlineLvl w:val="3"/>
    </w:pPr>
    <w:rPr>
      <w:rFonts w:ascii="Times New Roman" w:hAnsi="Times New Roman" w:cs="Times New Roman"/>
    </w:rPr>
  </w:style>
  <w:style w:type="paragraph" w:styleId="6">
    <w:name w:val="heading 5"/>
    <w:basedOn w:val="5"/>
    <w:link w:val="45"/>
    <w:qFormat/>
    <w:uiPriority w:val="9"/>
    <w:pPr>
      <w:numPr>
        <w:ilvl w:val="3"/>
      </w:numPr>
      <w:wordWrap w:val="0"/>
      <w:outlineLvl w:val="4"/>
    </w:pPr>
    <w:rPr>
      <w:rFonts w:ascii="Times New Roman" w:hAnsi="Times New Roman" w:cs="Times New Roman"/>
    </w:rPr>
  </w:style>
  <w:style w:type="character" w:default="1" w:styleId="26">
    <w:name w:val="Default Paragraph Font"/>
    <w:semiHidden/>
    <w:unhideWhenUsed/>
    <w:uiPriority w:val="1"/>
  </w:style>
  <w:style w:type="table" w:default="1" w:styleId="24">
    <w:name w:val="Normal Table"/>
    <w:semiHidden/>
    <w:unhideWhenUsed/>
    <w:uiPriority w:val="99"/>
    <w:tblPr>
      <w:tblCellMar>
        <w:top w:w="0" w:type="dxa"/>
        <w:left w:w="108" w:type="dxa"/>
        <w:bottom w:w="0" w:type="dxa"/>
        <w:right w:w="108" w:type="dxa"/>
      </w:tblCellMar>
    </w:tblPr>
  </w:style>
  <w:style w:type="paragraph" w:styleId="7">
    <w:name w:val="toc 7"/>
    <w:basedOn w:val="1"/>
    <w:next w:val="1"/>
    <w:autoRedefine/>
    <w:unhideWhenUsed/>
    <w:uiPriority w:val="39"/>
    <w:pPr>
      <w:jc w:val="left"/>
    </w:pPr>
    <w:rPr>
      <w:rFonts w:cstheme="minorHAnsi"/>
      <w:sz w:val="22"/>
    </w:rPr>
  </w:style>
  <w:style w:type="paragraph" w:styleId="8">
    <w:name w:val="Normal Indent"/>
    <w:basedOn w:val="1"/>
    <w:qFormat/>
    <w:uiPriority w:val="0"/>
    <w:pPr>
      <w:adjustRightInd w:val="0"/>
      <w:snapToGrid w:val="0"/>
      <w:spacing w:line="300" w:lineRule="auto"/>
    </w:pPr>
    <w:rPr>
      <w:rFonts w:ascii="Times New Roman" w:hAnsi="Times New Roman" w:eastAsia="宋体" w:cs="Times New Roman"/>
      <w:bCs/>
      <w:sz w:val="24"/>
      <w:szCs w:val="24"/>
    </w:rPr>
  </w:style>
  <w:style w:type="paragraph" w:styleId="9">
    <w:name w:val="Body Text"/>
    <w:basedOn w:val="1"/>
    <w:link w:val="62"/>
    <w:semiHidden/>
    <w:unhideWhenUsed/>
    <w:uiPriority w:val="99"/>
    <w:pPr>
      <w:spacing w:after="120"/>
    </w:pPr>
  </w:style>
  <w:style w:type="paragraph" w:styleId="10">
    <w:name w:val="toc 5"/>
    <w:basedOn w:val="1"/>
    <w:next w:val="1"/>
    <w:autoRedefine/>
    <w:unhideWhenUsed/>
    <w:uiPriority w:val="39"/>
    <w:pPr>
      <w:jc w:val="left"/>
    </w:pPr>
    <w:rPr>
      <w:rFonts w:cstheme="minorHAnsi"/>
      <w:sz w:val="22"/>
    </w:rPr>
  </w:style>
  <w:style w:type="paragraph" w:styleId="11">
    <w:name w:val="toc 3"/>
    <w:basedOn w:val="1"/>
    <w:next w:val="1"/>
    <w:autoRedefine/>
    <w:unhideWhenUsed/>
    <w:qFormat/>
    <w:uiPriority w:val="39"/>
    <w:pPr>
      <w:jc w:val="left"/>
    </w:pPr>
    <w:rPr>
      <w:rFonts w:cstheme="minorHAnsi"/>
      <w:smallCaps/>
      <w:sz w:val="22"/>
    </w:rPr>
  </w:style>
  <w:style w:type="paragraph" w:styleId="12">
    <w:name w:val="toc 8"/>
    <w:basedOn w:val="1"/>
    <w:next w:val="1"/>
    <w:autoRedefine/>
    <w:unhideWhenUsed/>
    <w:uiPriority w:val="39"/>
    <w:pPr>
      <w:jc w:val="left"/>
    </w:pPr>
    <w:rPr>
      <w:rFonts w:cstheme="minorHAnsi"/>
      <w:sz w:val="22"/>
    </w:rPr>
  </w:style>
  <w:style w:type="paragraph" w:styleId="13">
    <w:name w:val="footer"/>
    <w:basedOn w:val="1"/>
    <w:link w:val="38"/>
    <w:unhideWhenUsed/>
    <w:qFormat/>
    <w:uiPriority w:val="0"/>
    <w:pPr>
      <w:tabs>
        <w:tab w:val="center" w:pos="4153"/>
        <w:tab w:val="right" w:pos="8306"/>
      </w:tabs>
      <w:snapToGrid w:val="0"/>
      <w:jc w:val="left"/>
    </w:pPr>
    <w:rPr>
      <w:sz w:val="18"/>
      <w:szCs w:val="18"/>
    </w:rPr>
  </w:style>
  <w:style w:type="paragraph" w:styleId="14">
    <w:name w:val="header"/>
    <w:basedOn w:val="1"/>
    <w:link w:val="37"/>
    <w:unhideWhenUsed/>
    <w:qFormat/>
    <w:uiPriority w:val="0"/>
    <w:pPr>
      <w:tabs>
        <w:tab w:val="center" w:pos="4153"/>
        <w:tab w:val="right" w:pos="8306"/>
      </w:tabs>
      <w:snapToGrid w:val="0"/>
      <w:jc w:val="center"/>
    </w:pPr>
    <w:rPr>
      <w:sz w:val="18"/>
      <w:szCs w:val="18"/>
    </w:rPr>
  </w:style>
  <w:style w:type="paragraph" w:styleId="15">
    <w:name w:val="toc 1"/>
    <w:basedOn w:val="1"/>
    <w:next w:val="1"/>
    <w:autoRedefine/>
    <w:unhideWhenUsed/>
    <w:qFormat/>
    <w:uiPriority w:val="39"/>
    <w:pPr>
      <w:spacing w:before="360" w:after="360"/>
      <w:jc w:val="left"/>
    </w:pPr>
    <w:rPr>
      <w:rFonts w:cstheme="minorHAnsi"/>
      <w:b/>
      <w:bCs/>
      <w:caps/>
      <w:sz w:val="22"/>
      <w:u w:val="single"/>
    </w:rPr>
  </w:style>
  <w:style w:type="paragraph" w:styleId="16">
    <w:name w:val="toc 4"/>
    <w:basedOn w:val="1"/>
    <w:next w:val="1"/>
    <w:autoRedefine/>
    <w:unhideWhenUsed/>
    <w:uiPriority w:val="39"/>
    <w:pPr>
      <w:jc w:val="left"/>
    </w:pPr>
    <w:rPr>
      <w:rFonts w:cstheme="minorHAnsi"/>
      <w:sz w:val="22"/>
    </w:rPr>
  </w:style>
  <w:style w:type="paragraph" w:styleId="17">
    <w:name w:val="footnote text"/>
    <w:basedOn w:val="1"/>
    <w:link w:val="65"/>
    <w:semiHidden/>
    <w:unhideWhenUsed/>
    <w:uiPriority w:val="99"/>
    <w:pPr>
      <w:snapToGrid w:val="0"/>
      <w:jc w:val="left"/>
    </w:pPr>
    <w:rPr>
      <w:sz w:val="18"/>
      <w:szCs w:val="18"/>
    </w:rPr>
  </w:style>
  <w:style w:type="paragraph" w:styleId="18">
    <w:name w:val="toc 6"/>
    <w:basedOn w:val="1"/>
    <w:next w:val="1"/>
    <w:autoRedefine/>
    <w:unhideWhenUsed/>
    <w:uiPriority w:val="39"/>
    <w:pPr>
      <w:jc w:val="left"/>
    </w:pPr>
    <w:rPr>
      <w:rFonts w:cstheme="minorHAnsi"/>
      <w:sz w:val="22"/>
    </w:rPr>
  </w:style>
  <w:style w:type="paragraph" w:styleId="19">
    <w:name w:val="toc 2"/>
    <w:basedOn w:val="1"/>
    <w:next w:val="1"/>
    <w:autoRedefine/>
    <w:unhideWhenUsed/>
    <w:qFormat/>
    <w:uiPriority w:val="39"/>
    <w:pPr>
      <w:jc w:val="left"/>
    </w:pPr>
    <w:rPr>
      <w:rFonts w:cstheme="minorHAnsi"/>
      <w:b/>
      <w:bCs/>
      <w:smallCaps/>
      <w:sz w:val="22"/>
    </w:rPr>
  </w:style>
  <w:style w:type="paragraph" w:styleId="20">
    <w:name w:val="toc 9"/>
    <w:basedOn w:val="1"/>
    <w:next w:val="1"/>
    <w:autoRedefine/>
    <w:unhideWhenUsed/>
    <w:uiPriority w:val="39"/>
    <w:pPr>
      <w:jc w:val="left"/>
    </w:pPr>
    <w:rPr>
      <w:rFonts w:cstheme="minorHAnsi"/>
      <w:sz w:val="22"/>
    </w:rPr>
  </w:style>
  <w:style w:type="paragraph" w:styleId="21">
    <w:name w:val="HTML Preformatted"/>
    <w:basedOn w:val="1"/>
    <w:link w:val="81"/>
    <w:semiHidden/>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paragraph" w:styleId="22">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23">
    <w:name w:val="Title"/>
    <w:basedOn w:val="1"/>
    <w:next w:val="1"/>
    <w:link w:val="87"/>
    <w:qFormat/>
    <w:uiPriority w:val="10"/>
    <w:pPr>
      <w:spacing w:before="240" w:after="60"/>
      <w:jc w:val="center"/>
      <w:outlineLvl w:val="0"/>
    </w:pPr>
    <w:rPr>
      <w:rFonts w:asciiTheme="majorHAnsi" w:hAnsiTheme="majorHAnsi" w:eastAsiaTheme="majorEastAsia" w:cstheme="majorBidi"/>
      <w:b/>
      <w:bCs/>
      <w:sz w:val="32"/>
      <w:szCs w:val="32"/>
    </w:rPr>
  </w:style>
  <w:style w:type="table" w:styleId="25">
    <w:name w:val="Table Grid"/>
    <w:basedOn w:val="24"/>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Strong"/>
    <w:basedOn w:val="26"/>
    <w:qFormat/>
    <w:uiPriority w:val="22"/>
    <w:rPr>
      <w:b/>
      <w:bCs/>
    </w:rPr>
  </w:style>
  <w:style w:type="character" w:styleId="28">
    <w:name w:val="page number"/>
    <w:basedOn w:val="26"/>
    <w:qFormat/>
    <w:uiPriority w:val="0"/>
  </w:style>
  <w:style w:type="character" w:styleId="29">
    <w:name w:val="Emphasis"/>
    <w:basedOn w:val="26"/>
    <w:qFormat/>
    <w:uiPriority w:val="20"/>
    <w:rPr>
      <w:i/>
      <w:iCs/>
    </w:rPr>
  </w:style>
  <w:style w:type="character" w:styleId="30">
    <w:name w:val="Hyperlink"/>
    <w:basedOn w:val="26"/>
    <w:unhideWhenUsed/>
    <w:qFormat/>
    <w:uiPriority w:val="99"/>
    <w:rPr>
      <w:color w:val="0563C1" w:themeColor="hyperlink"/>
      <w:u w:val="single"/>
      <w14:textFill>
        <w14:solidFill>
          <w14:schemeClr w14:val="hlink"/>
        </w14:solidFill>
      </w14:textFill>
    </w:rPr>
  </w:style>
  <w:style w:type="character" w:styleId="31">
    <w:name w:val="HTML Code"/>
    <w:basedOn w:val="26"/>
    <w:semiHidden/>
    <w:unhideWhenUsed/>
    <w:uiPriority w:val="99"/>
    <w:rPr>
      <w:rFonts w:ascii="宋体" w:hAnsi="宋体" w:eastAsia="宋体" w:cs="宋体"/>
      <w:sz w:val="24"/>
      <w:szCs w:val="24"/>
    </w:rPr>
  </w:style>
  <w:style w:type="character" w:styleId="32">
    <w:name w:val="footnote reference"/>
    <w:basedOn w:val="26"/>
    <w:semiHidden/>
    <w:unhideWhenUsed/>
    <w:uiPriority w:val="99"/>
    <w:rPr>
      <w:vertAlign w:val="superscript"/>
    </w:rPr>
  </w:style>
  <w:style w:type="character" w:customStyle="1" w:styleId="33">
    <w:name w:val="标题 2 字符"/>
    <w:basedOn w:val="26"/>
    <w:link w:val="3"/>
    <w:qFormat/>
    <w:uiPriority w:val="9"/>
    <w:rPr>
      <w:rFonts w:ascii="黑体" w:hAnsi="黑体" w:eastAsia="黑体" w:cstheme="majorBidi"/>
      <w:b/>
      <w:bCs/>
      <w:kern w:val="2"/>
      <w:sz w:val="28"/>
      <w:szCs w:val="28"/>
    </w:rPr>
  </w:style>
  <w:style w:type="character" w:customStyle="1" w:styleId="34">
    <w:name w:val="标题 3 字符"/>
    <w:basedOn w:val="26"/>
    <w:link w:val="4"/>
    <w:qFormat/>
    <w:uiPriority w:val="9"/>
    <w:rPr>
      <w:rFonts w:eastAsia="黑体"/>
      <w:bCs/>
      <w:kern w:val="2"/>
      <w:sz w:val="28"/>
      <w:szCs w:val="32"/>
    </w:rPr>
  </w:style>
  <w:style w:type="character" w:customStyle="1" w:styleId="35">
    <w:name w:val="标题 1 字符"/>
    <w:basedOn w:val="26"/>
    <w:link w:val="2"/>
    <w:qFormat/>
    <w:uiPriority w:val="9"/>
    <w:rPr>
      <w:rFonts w:ascii="黑体" w:hAnsi="黑体" w:eastAsia="黑体" w:cs="黑体"/>
      <w:b/>
      <w:bCs/>
      <w:kern w:val="44"/>
      <w:sz w:val="28"/>
      <w:szCs w:val="28"/>
    </w:rPr>
  </w:style>
  <w:style w:type="paragraph" w:customStyle="1" w:styleId="36">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37">
    <w:name w:val="页眉 字符"/>
    <w:basedOn w:val="26"/>
    <w:link w:val="14"/>
    <w:qFormat/>
    <w:uiPriority w:val="0"/>
    <w:rPr>
      <w:sz w:val="18"/>
      <w:szCs w:val="18"/>
    </w:rPr>
  </w:style>
  <w:style w:type="character" w:customStyle="1" w:styleId="38">
    <w:name w:val="页脚 字符"/>
    <w:basedOn w:val="26"/>
    <w:link w:val="13"/>
    <w:qFormat/>
    <w:uiPriority w:val="0"/>
    <w:rPr>
      <w:sz w:val="18"/>
      <w:szCs w:val="18"/>
    </w:rPr>
  </w:style>
  <w:style w:type="character" w:customStyle="1" w:styleId="39">
    <w:name w:val="标题 4 字符"/>
    <w:basedOn w:val="26"/>
    <w:link w:val="5"/>
    <w:qFormat/>
    <w:uiPriority w:val="9"/>
    <w:rPr>
      <w:rFonts w:eastAsia="黑体"/>
      <w:bCs/>
      <w:kern w:val="2"/>
      <w:sz w:val="28"/>
      <w:szCs w:val="32"/>
    </w:rPr>
  </w:style>
  <w:style w:type="paragraph" w:styleId="40">
    <w:name w:val="List Paragraph"/>
    <w:basedOn w:val="1"/>
    <w:qFormat/>
    <w:uiPriority w:val="34"/>
    <w:pPr>
      <w:ind w:firstLine="420" w:firstLineChars="200"/>
    </w:pPr>
  </w:style>
  <w:style w:type="character" w:customStyle="1" w:styleId="41">
    <w:name w:val="未处理的提及1"/>
    <w:basedOn w:val="26"/>
    <w:semiHidden/>
    <w:unhideWhenUsed/>
    <w:qFormat/>
    <w:uiPriority w:val="99"/>
    <w:rPr>
      <w:rFonts w:ascii="宋体" w:hAnsi="宋体" w:eastAsia="宋体" w:cs="宋体"/>
      <w:b/>
      <w:bCs/>
      <w:color w:val="605E5C"/>
      <w:sz w:val="24"/>
      <w:szCs w:val="24"/>
      <w:shd w:val="clear" w:color="auto" w:fill="E1DFDD"/>
    </w:rPr>
  </w:style>
  <w:style w:type="paragraph" w:customStyle="1" w:styleId="42">
    <w:name w:val="图"/>
    <w:basedOn w:val="1"/>
    <w:qFormat/>
    <w:uiPriority w:val="0"/>
    <w:pPr>
      <w:wordWrap w:val="0"/>
      <w:spacing w:before="120" w:after="0" w:line="240" w:lineRule="auto"/>
      <w:jc w:val="center"/>
    </w:pPr>
  </w:style>
  <w:style w:type="paragraph" w:customStyle="1" w:styleId="43">
    <w:name w:val="注"/>
    <w:basedOn w:val="1"/>
    <w:qFormat/>
    <w:uiPriority w:val="0"/>
    <w:pPr>
      <w:spacing w:line="480" w:lineRule="exact"/>
      <w:jc w:val="center"/>
    </w:pPr>
    <w:rPr>
      <w:rFonts w:ascii="宋体" w:hAnsi="宋体" w:eastAsia="宋体"/>
    </w:rPr>
  </w:style>
  <w:style w:type="paragraph" w:customStyle="1" w:styleId="44">
    <w:name w:val="文章的正文"/>
    <w:basedOn w:val="1"/>
    <w:qFormat/>
    <w:uiPriority w:val="0"/>
    <w:pPr>
      <w:wordWrap w:val="0"/>
      <w:spacing w:line="360" w:lineRule="auto"/>
      <w:ind w:firstLine="200" w:firstLineChars="200"/>
      <w:jc w:val="both"/>
    </w:pPr>
    <w:rPr>
      <w:rFonts w:ascii="Times New Roman" w:hAnsi="Times New Roman" w:eastAsia="宋体" w:cs="Times New Roman"/>
      <w:sz w:val="24"/>
      <w:szCs w:val="28"/>
    </w:rPr>
  </w:style>
  <w:style w:type="character" w:customStyle="1" w:styleId="45">
    <w:name w:val="标题 5 字符"/>
    <w:basedOn w:val="26"/>
    <w:link w:val="6"/>
    <w:uiPriority w:val="9"/>
    <w:rPr>
      <w:rFonts w:eastAsia="黑体"/>
      <w:bCs/>
      <w:kern w:val="2"/>
      <w:sz w:val="28"/>
      <w:szCs w:val="32"/>
    </w:rPr>
  </w:style>
  <w:style w:type="character" w:customStyle="1" w:styleId="46">
    <w:name w:val="katex-mathml"/>
    <w:basedOn w:val="26"/>
    <w:uiPriority w:val="0"/>
  </w:style>
  <w:style w:type="character" w:customStyle="1" w:styleId="47">
    <w:name w:val="mord"/>
    <w:basedOn w:val="26"/>
    <w:uiPriority w:val="0"/>
  </w:style>
  <w:style w:type="character" w:customStyle="1" w:styleId="48">
    <w:name w:val="vlist-s"/>
    <w:basedOn w:val="26"/>
    <w:uiPriority w:val="0"/>
  </w:style>
  <w:style w:type="character" w:customStyle="1" w:styleId="49">
    <w:name w:val="mrel"/>
    <w:basedOn w:val="26"/>
    <w:uiPriority w:val="0"/>
  </w:style>
  <w:style w:type="character" w:customStyle="1" w:styleId="50">
    <w:name w:val="mbin"/>
    <w:basedOn w:val="26"/>
    <w:uiPriority w:val="0"/>
  </w:style>
  <w:style w:type="character" w:customStyle="1" w:styleId="51">
    <w:name w:val="mopen"/>
    <w:basedOn w:val="26"/>
    <w:uiPriority w:val="0"/>
  </w:style>
  <w:style w:type="character" w:customStyle="1" w:styleId="52">
    <w:name w:val="mclose"/>
    <w:basedOn w:val="26"/>
    <w:uiPriority w:val="0"/>
  </w:style>
  <w:style w:type="character" w:styleId="53">
    <w:name w:val="Placeholder Text"/>
    <w:basedOn w:val="26"/>
    <w:unhideWhenUsed/>
    <w:uiPriority w:val="99"/>
    <w:rPr>
      <w:color w:val="666666"/>
    </w:rPr>
  </w:style>
  <w:style w:type="character" w:customStyle="1" w:styleId="54">
    <w:name w:val="Unresolved Mention"/>
    <w:basedOn w:val="26"/>
    <w:semiHidden/>
    <w:unhideWhenUsed/>
    <w:uiPriority w:val="99"/>
    <w:rPr>
      <w:color w:val="605E5C"/>
      <w:shd w:val="clear" w:color="auto" w:fill="E1DFDD"/>
    </w:rPr>
  </w:style>
  <w:style w:type="paragraph" w:customStyle="1" w:styleId="55">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paragraph" w:customStyle="1" w:styleId="56">
    <w:name w:val="图片"/>
    <w:basedOn w:val="1"/>
    <w:link w:val="57"/>
    <w:qFormat/>
    <w:uiPriority w:val="0"/>
    <w:pPr>
      <w:jc w:val="center"/>
    </w:pPr>
    <w:rPr>
      <w:sz w:val="24"/>
    </w:rPr>
  </w:style>
  <w:style w:type="character" w:customStyle="1" w:styleId="57">
    <w:name w:val="图片 字符"/>
    <w:basedOn w:val="26"/>
    <w:link w:val="56"/>
    <w:uiPriority w:val="0"/>
    <w:rPr>
      <w:kern w:val="2"/>
      <w:sz w:val="24"/>
      <w:szCs w:val="22"/>
    </w:rPr>
  </w:style>
  <w:style w:type="paragraph" w:customStyle="1" w:styleId="58">
    <w:name w:val="71e7dc79-1ff7-45e8-997d-0ebda3762b91"/>
    <w:basedOn w:val="3"/>
    <w:next w:val="59"/>
    <w:link w:val="60"/>
    <w:uiPriority w:val="0"/>
    <w:pPr>
      <w:adjustRightInd w:val="0"/>
      <w:spacing w:before="0" w:after="0" w:line="288" w:lineRule="auto"/>
    </w:pPr>
    <w:rPr>
      <w:rFonts w:ascii="微软雅黑" w:hAnsi="微软雅黑" w:eastAsia="微软雅黑"/>
      <w:color w:val="000000"/>
    </w:rPr>
  </w:style>
  <w:style w:type="paragraph" w:customStyle="1" w:styleId="59">
    <w:name w:val="acbfdd8b-e11b-4d36-88ff-6049b138f862"/>
    <w:basedOn w:val="9"/>
    <w:link w:val="61"/>
    <w:uiPriority w:val="0"/>
    <w:pPr>
      <w:adjustRightInd w:val="0"/>
      <w:spacing w:after="0" w:line="288" w:lineRule="auto"/>
      <w:jc w:val="left"/>
    </w:pPr>
    <w:rPr>
      <w:rFonts w:ascii="微软雅黑" w:hAnsi="微软雅黑" w:eastAsia="微软雅黑"/>
      <w:color w:val="000000"/>
      <w:sz w:val="22"/>
    </w:rPr>
  </w:style>
  <w:style w:type="character" w:customStyle="1" w:styleId="60">
    <w:name w:val="71e7dc79-1ff7-45e8-997d-0ebda3762b91 字符"/>
    <w:basedOn w:val="57"/>
    <w:link w:val="58"/>
    <w:uiPriority w:val="0"/>
    <w:rPr>
      <w:rFonts w:ascii="微软雅黑" w:hAnsi="微软雅黑" w:eastAsia="微软雅黑" w:cstheme="majorBidi"/>
      <w:b/>
      <w:bCs/>
      <w:color w:val="000000"/>
      <w:kern w:val="2"/>
      <w:sz w:val="28"/>
      <w:szCs w:val="28"/>
    </w:rPr>
  </w:style>
  <w:style w:type="character" w:customStyle="1" w:styleId="61">
    <w:name w:val="acbfdd8b-e11b-4d36-88ff-6049b138f862 字符"/>
    <w:basedOn w:val="57"/>
    <w:link w:val="59"/>
    <w:uiPriority w:val="0"/>
    <w:rPr>
      <w:rFonts w:ascii="微软雅黑" w:hAnsi="微软雅黑" w:eastAsia="微软雅黑"/>
      <w:color w:val="000000"/>
      <w:kern w:val="2"/>
      <w:sz w:val="22"/>
      <w:szCs w:val="22"/>
    </w:rPr>
  </w:style>
  <w:style w:type="character" w:customStyle="1" w:styleId="62">
    <w:name w:val="正文文本 字符"/>
    <w:basedOn w:val="26"/>
    <w:link w:val="9"/>
    <w:semiHidden/>
    <w:uiPriority w:val="99"/>
    <w:rPr>
      <w:kern w:val="2"/>
      <w:sz w:val="21"/>
      <w:szCs w:val="22"/>
    </w:rPr>
  </w:style>
  <w:style w:type="character" w:customStyle="1" w:styleId="63">
    <w:name w:val="mpunct"/>
    <w:basedOn w:val="26"/>
    <w:uiPriority w:val="0"/>
  </w:style>
  <w:style w:type="character" w:customStyle="1" w:styleId="64">
    <w:name w:val="mop"/>
    <w:basedOn w:val="26"/>
    <w:uiPriority w:val="0"/>
  </w:style>
  <w:style w:type="character" w:customStyle="1" w:styleId="65">
    <w:name w:val="脚注文本 字符"/>
    <w:basedOn w:val="26"/>
    <w:link w:val="17"/>
    <w:semiHidden/>
    <w:uiPriority w:val="99"/>
    <w:rPr>
      <w:kern w:val="2"/>
      <w:sz w:val="18"/>
      <w:szCs w:val="18"/>
    </w:rPr>
  </w:style>
  <w:style w:type="character" w:customStyle="1" w:styleId="66">
    <w:name w:val="ms-1"/>
    <w:basedOn w:val="26"/>
    <w:uiPriority w:val="0"/>
  </w:style>
  <w:style w:type="character" w:customStyle="1" w:styleId="67">
    <w:name w:val="max-w-full"/>
    <w:basedOn w:val="26"/>
    <w:uiPriority w:val="0"/>
  </w:style>
  <w:style w:type="paragraph" w:styleId="68">
    <w:name w:val="No Spacing"/>
    <w:qFormat/>
    <w:uiPriority w:val="99"/>
    <w:pPr>
      <w:widowControl w:val="0"/>
      <w:ind w:firstLine="200" w:firstLineChars="200"/>
      <w:jc w:val="both"/>
    </w:pPr>
    <w:rPr>
      <w:rFonts w:ascii="Times New Roman" w:hAnsi="Times New Roman" w:eastAsia="宋体" w:cs="Times New Roman"/>
      <w:kern w:val="2"/>
      <w:sz w:val="24"/>
      <w:szCs w:val="24"/>
      <w:lang w:val="en-US" w:eastAsia="zh-CN" w:bidi="ar-SA"/>
    </w:rPr>
  </w:style>
  <w:style w:type="paragraph" w:customStyle="1" w:styleId="69">
    <w:name w:val="大标题"/>
    <w:link w:val="71"/>
    <w:qFormat/>
    <w:uiPriority w:val="0"/>
    <w:pPr>
      <w:spacing w:line="360" w:lineRule="auto"/>
      <w:jc w:val="center"/>
    </w:pPr>
    <w:rPr>
      <w:rFonts w:ascii="黑体" w:hAnsi="宋体" w:eastAsia="黑体" w:cs="Times New Roman"/>
      <w:b/>
      <w:bCs/>
      <w:kern w:val="2"/>
      <w:sz w:val="84"/>
      <w:szCs w:val="84"/>
      <w:lang w:val="en-US" w:eastAsia="zh-CN" w:bidi="ar-SA"/>
    </w:rPr>
  </w:style>
  <w:style w:type="paragraph" w:customStyle="1" w:styleId="70">
    <w:name w:val="封面标签"/>
    <w:link w:val="72"/>
    <w:qFormat/>
    <w:uiPriority w:val="0"/>
    <w:pPr>
      <w:ind w:left="800" w:leftChars="800"/>
    </w:pPr>
    <w:rPr>
      <w:rFonts w:ascii="黑体" w:hAnsi="Times New Roman" w:eastAsia="黑体" w:cs="Times New Roman"/>
      <w:b/>
      <w:bCs/>
      <w:spacing w:val="20"/>
      <w:w w:val="90"/>
      <w:kern w:val="2"/>
      <w:sz w:val="24"/>
      <w:szCs w:val="24"/>
      <w:lang w:val="en-US" w:eastAsia="zh-CN" w:bidi="ar-SA"/>
    </w:rPr>
  </w:style>
  <w:style w:type="character" w:customStyle="1" w:styleId="71">
    <w:name w:val="大标题 字符"/>
    <w:link w:val="69"/>
    <w:uiPriority w:val="0"/>
    <w:rPr>
      <w:rFonts w:ascii="黑体" w:hAnsi="宋体" w:eastAsia="黑体" w:cs="Times New Roman"/>
      <w:b/>
      <w:bCs/>
      <w:kern w:val="2"/>
      <w:sz w:val="84"/>
      <w:szCs w:val="84"/>
    </w:rPr>
  </w:style>
  <w:style w:type="character" w:customStyle="1" w:styleId="72">
    <w:name w:val="封面标签 字符"/>
    <w:link w:val="70"/>
    <w:uiPriority w:val="0"/>
    <w:rPr>
      <w:rFonts w:ascii="黑体" w:hAnsi="Times New Roman" w:eastAsia="黑体" w:cs="Times New Roman"/>
      <w:b/>
      <w:bCs/>
      <w:spacing w:val="20"/>
      <w:w w:val="90"/>
      <w:kern w:val="2"/>
      <w:sz w:val="24"/>
      <w:szCs w:val="24"/>
    </w:rPr>
  </w:style>
  <w:style w:type="paragraph" w:customStyle="1" w:styleId="73">
    <w:name w:val="表格标题"/>
    <w:link w:val="75"/>
    <w:qFormat/>
    <w:uiPriority w:val="0"/>
    <w:pPr>
      <w:spacing w:line="400" w:lineRule="atLeast"/>
      <w:jc w:val="center"/>
    </w:pPr>
    <w:rPr>
      <w:rFonts w:ascii="宋体" w:hAnsi="宋体" w:eastAsia="宋体" w:cs="宋体"/>
      <w:b/>
      <w:bCs/>
      <w:color w:val="000000"/>
      <w:sz w:val="24"/>
      <w:szCs w:val="24"/>
      <w:lang w:val="en-US" w:eastAsia="zh-CN" w:bidi="ar-SA"/>
    </w:rPr>
  </w:style>
  <w:style w:type="paragraph" w:customStyle="1" w:styleId="74">
    <w:name w:val="表格文字"/>
    <w:basedOn w:val="73"/>
    <w:link w:val="77"/>
    <w:qFormat/>
    <w:uiPriority w:val="0"/>
    <w:pPr>
      <w:spacing w:line="360" w:lineRule="atLeast"/>
    </w:pPr>
    <w:rPr>
      <w:b w:val="0"/>
      <w:bCs w:val="0"/>
    </w:rPr>
  </w:style>
  <w:style w:type="character" w:customStyle="1" w:styleId="75">
    <w:name w:val="表格标题 字符"/>
    <w:link w:val="73"/>
    <w:uiPriority w:val="0"/>
    <w:rPr>
      <w:rFonts w:ascii="宋体" w:hAnsi="宋体" w:eastAsia="宋体" w:cs="宋体"/>
      <w:b/>
      <w:bCs/>
      <w:color w:val="000000"/>
      <w:sz w:val="24"/>
      <w:szCs w:val="24"/>
    </w:rPr>
  </w:style>
  <w:style w:type="paragraph" w:customStyle="1" w:styleId="76">
    <w:name w:val="表格标签"/>
    <w:link w:val="78"/>
    <w:qFormat/>
    <w:uiPriority w:val="0"/>
    <w:rPr>
      <w:rFonts w:ascii="宋体" w:hAnsi="宋体" w:eastAsia="宋体" w:cs="宋体"/>
      <w:b/>
      <w:color w:val="000000"/>
      <w:sz w:val="24"/>
      <w:szCs w:val="24"/>
      <w:lang w:val="en-US" w:eastAsia="zh-CN" w:bidi="ar-SA"/>
    </w:rPr>
  </w:style>
  <w:style w:type="character" w:customStyle="1" w:styleId="77">
    <w:name w:val="表格文字 字符"/>
    <w:link w:val="74"/>
    <w:uiPriority w:val="0"/>
    <w:rPr>
      <w:rFonts w:ascii="宋体" w:hAnsi="宋体" w:eastAsia="宋体" w:cs="宋体"/>
      <w:color w:val="000000"/>
      <w:sz w:val="24"/>
      <w:szCs w:val="24"/>
    </w:rPr>
  </w:style>
  <w:style w:type="character" w:customStyle="1" w:styleId="78">
    <w:name w:val="表格标签 字符"/>
    <w:link w:val="76"/>
    <w:uiPriority w:val="0"/>
    <w:rPr>
      <w:rFonts w:ascii="宋体" w:hAnsi="宋体" w:eastAsia="宋体" w:cs="宋体"/>
      <w:b/>
      <w:color w:val="000000"/>
      <w:sz w:val="24"/>
      <w:szCs w:val="24"/>
    </w:rPr>
  </w:style>
  <w:style w:type="paragraph" w:customStyle="1" w:styleId="79">
    <w:name w:val="msonormal"/>
    <w:basedOn w:val="1"/>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80">
    <w:name w:val="semi-icon"/>
    <w:basedOn w:val="26"/>
    <w:uiPriority w:val="0"/>
  </w:style>
  <w:style w:type="character" w:customStyle="1" w:styleId="81">
    <w:name w:val="HTML 预设格式 字符"/>
    <w:basedOn w:val="26"/>
    <w:link w:val="21"/>
    <w:semiHidden/>
    <w:uiPriority w:val="99"/>
    <w:rPr>
      <w:rFonts w:ascii="宋体" w:hAnsi="宋体" w:eastAsia="宋体" w:cs="宋体"/>
      <w:sz w:val="24"/>
      <w:szCs w:val="24"/>
    </w:rPr>
  </w:style>
  <w:style w:type="character" w:customStyle="1" w:styleId="82">
    <w:name w:val="token"/>
    <w:basedOn w:val="26"/>
    <w:uiPriority w:val="0"/>
  </w:style>
  <w:style w:type="table" w:customStyle="1" w:styleId="83">
    <w:name w:val="样式1"/>
    <w:basedOn w:val="24"/>
    <w:uiPriority w:val="99"/>
    <w:pPr>
      <w:spacing w:line="320" w:lineRule="exact"/>
    </w:pPr>
    <w:rPr>
      <w:rFonts w:ascii="宋体" w:hAnsi="宋体" w:eastAsia="宋体" w:cs="宋体"/>
      <w:b/>
      <w:bCs/>
      <w:sz w:val="24"/>
      <w:szCs w:val="24"/>
    </w:rPr>
    <w:tblPr>
      <w:tblBorders>
        <w:top w:val="single" w:color="auto" w:sz="12" w:space="0"/>
        <w:bottom w:val="single" w:color="auto" w:sz="12" w:space="0"/>
      </w:tblBorders>
    </w:tblPr>
    <w:tcPr>
      <w:shd w:val="clear" w:color="auto" w:fill="auto"/>
    </w:tcPr>
    <w:tblStylePr w:type="firstRow">
      <w:rPr>
        <w:b/>
      </w:rPr>
      <w:tcPr>
        <w:tcBorders>
          <w:bottom w:val="single" w:color="auto" w:sz="18" w:space="0"/>
        </w:tcBorders>
        <w:shd w:val="clear" w:color="auto" w:fill="auto"/>
      </w:tcPr>
    </w:tblStylePr>
  </w:style>
  <w:style w:type="paragraph" w:customStyle="1" w:styleId="84">
    <w:name w:val="17babae4-54f0-44fa-a444-1068224df0ac"/>
    <w:basedOn w:val="23"/>
    <w:next w:val="1"/>
    <w:link w:val="85"/>
    <w:uiPriority w:val="0"/>
    <w:pPr>
      <w:widowControl/>
      <w:autoSpaceDE w:val="0"/>
      <w:autoSpaceDN w:val="0"/>
      <w:adjustRightInd w:val="0"/>
      <w:spacing w:before="0" w:after="0" w:line="288" w:lineRule="auto"/>
    </w:pPr>
    <w:rPr>
      <w:rFonts w:ascii="微软雅黑" w:hAnsi="微软雅黑" w:eastAsia="微软雅黑"/>
      <w:color w:val="000000"/>
      <w:spacing w:val="-5"/>
      <w:kern w:val="0"/>
      <w:sz w:val="40"/>
      <w:szCs w:val="40"/>
    </w:rPr>
  </w:style>
  <w:style w:type="character" w:customStyle="1" w:styleId="85">
    <w:name w:val="17babae4-54f0-44fa-a444-1068224df0ac 字符"/>
    <w:basedOn w:val="26"/>
    <w:link w:val="84"/>
    <w:uiPriority w:val="0"/>
    <w:rPr>
      <w:rFonts w:ascii="微软雅黑" w:hAnsi="微软雅黑" w:eastAsia="微软雅黑" w:cstheme="majorBidi"/>
      <w:b/>
      <w:bCs/>
      <w:color w:val="000000"/>
      <w:spacing w:val="-5"/>
      <w:sz w:val="40"/>
      <w:szCs w:val="40"/>
    </w:rPr>
  </w:style>
  <w:style w:type="paragraph" w:customStyle="1" w:styleId="86">
    <w:name w:val="正文内容"/>
    <w:basedOn w:val="9"/>
    <w:qFormat/>
    <w:uiPriority w:val="0"/>
    <w:pPr>
      <w:wordWrap w:val="0"/>
      <w:autoSpaceDE w:val="0"/>
      <w:autoSpaceDN w:val="0"/>
      <w:spacing w:after="0" w:line="360" w:lineRule="auto"/>
      <w:ind w:firstLine="460" w:firstLineChars="200"/>
    </w:pPr>
    <w:rPr>
      <w:rFonts w:ascii="宋体" w:hAnsi="宋体" w:eastAsia="宋体" w:cs="宋体"/>
      <w:spacing w:val="-5"/>
      <w:kern w:val="0"/>
      <w:sz w:val="24"/>
      <w:szCs w:val="24"/>
    </w:rPr>
  </w:style>
  <w:style w:type="character" w:customStyle="1" w:styleId="87">
    <w:name w:val="标题 字符"/>
    <w:basedOn w:val="26"/>
    <w:link w:val="23"/>
    <w:uiPriority w:val="10"/>
    <w:rPr>
      <w:rFonts w:asciiTheme="majorHAnsi" w:hAnsiTheme="majorHAnsi" w:eastAsiaTheme="majorEastAsia" w:cstheme="majorBidi"/>
      <w:b/>
      <w:bCs/>
      <w:kern w:val="2"/>
      <w:sz w:val="32"/>
      <w:szCs w:val="32"/>
    </w:rPr>
  </w:style>
  <w:style w:type="paragraph" w:customStyle="1" w:styleId="88">
    <w:name w:val="参考文献"/>
    <w:qFormat/>
    <w:uiPriority w:val="0"/>
    <w:pPr>
      <w:wordWrap w:val="0"/>
      <w:spacing w:before="60" w:after="60" w:line="440" w:lineRule="exact"/>
      <w:jc w:val="both"/>
    </w:pPr>
    <w:rPr>
      <w:rFonts w:ascii="Times New Roman" w:hAnsi="Times New Roman" w:cs="Times New Roman" w:eastAsiaTheme="minorEastAsia"/>
      <w:sz w:val="24"/>
      <w:szCs w:val="24"/>
      <w:lang w:val="en-US" w:eastAsia="zh-CN" w:bidi="ar-SA"/>
    </w:rPr>
  </w:style>
  <w:style w:type="paragraph" w:customStyle="1" w:styleId="89">
    <w:name w:val="图注"/>
    <w:qFormat/>
    <w:uiPriority w:val="0"/>
    <w:pPr>
      <w:wordWrap w:val="0"/>
      <w:spacing w:before="0" w:after="0" w:line="240" w:lineRule="auto"/>
      <w:jc w:val="center"/>
    </w:pPr>
    <w:rPr>
      <w:rFonts w:ascii="Times New Roman" w:hAnsi="Times New Roman" w:cs="Times New Roman" w:eastAsiaTheme="minorEastAsia"/>
      <w:sz w:val="20"/>
      <w:szCs w:val="20"/>
      <w:lang w:val="en-US" w:eastAsia="zh-CN" w:bidi="ar-SA"/>
    </w:rPr>
  </w:style>
  <w:style w:type="paragraph" w:customStyle="1" w:styleId="90">
    <w:name w:val="表注"/>
    <w:basedOn w:val="1"/>
    <w:qFormat/>
    <w:uiPriority w:val="0"/>
    <w:pPr>
      <w:wordWrap w:val="0"/>
      <w:spacing w:before="0" w:after="0" w:line="240" w:lineRule="auto"/>
      <w:jc w:val="center"/>
    </w:pPr>
    <w:rPr>
      <w:rFonts w:ascii="Times New Roman" w:hAnsi="Times New Roman" w:cs="Times New Roman"/>
      <w:sz w:val="20"/>
      <w:szCs w:val="20"/>
    </w:rPr>
  </w:style>
  <w:style w:type="paragraph" w:customStyle="1" w:styleId="91">
    <w:name w:val="摘要标题"/>
    <w:basedOn w:val="1"/>
    <w:qFormat/>
    <w:uiPriority w:val="0"/>
    <w:pPr>
      <w:wordWrap w:val="0"/>
      <w:spacing w:before="0" w:after="0" w:line="240" w:lineRule="auto"/>
      <w:jc w:val="center"/>
    </w:pPr>
    <w:rPr>
      <w:rFonts w:ascii="宋体" w:hAnsi="宋体" w:eastAsia="宋体" w:cs="宋体"/>
      <w:b/>
      <w:bCs/>
      <w:sz w:val="36"/>
      <w:szCs w:val="36"/>
    </w:rPr>
  </w:style>
  <w:style w:type="paragraph" w:customStyle="1" w:styleId="92">
    <w:name w:val="Abstract Title"/>
    <w:basedOn w:val="1"/>
    <w:qFormat/>
    <w:uiPriority w:val="0"/>
    <w:pPr>
      <w:wordWrap w:val="0"/>
      <w:spacing w:before="0" w:after="0" w:line="240" w:lineRule="auto"/>
      <w:jc w:val="center"/>
    </w:pPr>
    <w:rPr>
      <w:rFonts w:ascii="Times New Roman" w:hAnsi="Times New Roman" w:cs="Times New Roman"/>
      <w:b/>
      <w:bCs/>
      <w:sz w:val="36"/>
      <w:szCs w:val="36"/>
    </w:rPr>
  </w:style>
  <w:style w:type="paragraph" w:customStyle="1" w:styleId="93">
    <w:name w:val="摘要"/>
    <w:basedOn w:val="1"/>
    <w:qFormat/>
    <w:uiPriority w:val="0"/>
    <w:pPr>
      <w:wordWrap w:val="0"/>
      <w:spacing w:line="360" w:lineRule="auto"/>
      <w:ind w:firstLine="200" w:firstLineChars="200"/>
      <w:jc w:val="both"/>
    </w:pPr>
    <w:rPr>
      <w:rFonts w:ascii="宋体" w:hAnsi="宋体" w:eastAsia="宋体" w:cs="宋体"/>
      <w:sz w:val="24"/>
      <w:szCs w:val="24"/>
    </w:rPr>
  </w:style>
  <w:style w:type="paragraph" w:customStyle="1" w:styleId="94">
    <w:name w:val="Abstract"/>
    <w:basedOn w:val="1"/>
    <w:qFormat/>
    <w:uiPriority w:val="0"/>
    <w:pPr>
      <w:wordWrap w:val="0"/>
      <w:spacing w:line="440" w:lineRule="exact"/>
      <w:ind w:firstLine="200" w:firstLineChars="200"/>
      <w:jc w:val="both"/>
    </w:pPr>
    <w:rPr>
      <w:rFonts w:ascii="Times New Roman" w:hAnsi="Times New Roman" w:eastAsia="Times New Roman" w:cs="Times New Roman"/>
      <w:sz w:val="24"/>
      <w:szCs w:val="24"/>
    </w:rPr>
  </w:style>
  <w:style w:type="paragraph" w:customStyle="1" w:styleId="95">
    <w:name w:val="关键词"/>
    <w:basedOn w:val="1"/>
    <w:qFormat/>
    <w:uiPriority w:val="0"/>
    <w:pPr>
      <w:wordWrap w:val="0"/>
      <w:spacing w:line="360" w:lineRule="auto"/>
      <w:ind w:firstLine="0" w:firstLineChars="0"/>
      <w:jc w:val="both"/>
    </w:pPr>
    <w:rPr>
      <w:rFonts w:ascii="宋体" w:hAnsi="宋体" w:eastAsia="宋体" w:cs="宋体"/>
      <w:sz w:val="24"/>
      <w:szCs w:val="24"/>
    </w:rPr>
  </w:style>
  <w:style w:type="paragraph" w:customStyle="1" w:styleId="96">
    <w:name w:val="Keywords"/>
    <w:basedOn w:val="1"/>
    <w:qFormat/>
    <w:uiPriority w:val="0"/>
    <w:pPr>
      <w:wordWrap w:val="0"/>
      <w:spacing w:line="440" w:lineRule="exact"/>
      <w:ind w:firstLine="0" w:firstLineChars="0"/>
      <w:jc w:val="both"/>
    </w:pPr>
    <w:rPr>
      <w:rFonts w:ascii="Times New Roman" w:hAnsi="Times New Roman" w:eastAsia="Times New Roman" w:cs="Times New Roman"/>
      <w:sz w:val="24"/>
      <w:szCs w:val="24"/>
    </w:rPr>
  </w:style>
  <w:style w:type="paragraph" w:customStyle="1" w:styleId="97">
    <w:name w:val="Source Code"/>
    <w:basedOn w:val="1"/>
    <w:qFormat/>
    <w:uiPriority w:val="0"/>
    <w:pPr>
      <w:wordWrap w:val="0"/>
      <w:spacing w:line="440" w:lineRule="exact"/>
      <w:ind w:firstLine="0" w:firstLineChars="0"/>
      <w:jc w:val="left"/>
    </w:pPr>
    <w:rPr>
      <w:rFonts w:ascii="宋体" w:hAnsi="宋体" w:eastAsia="宋体" w:cs="宋体"/>
      <w:color w:val="000000"/>
      <w:sz w:val="24"/>
      <w:szCs w:val="24"/>
    </w:rPr>
  </w:style>
  <w:style w:type="paragraph" w:customStyle="1" w:styleId="98">
    <w:name w:val="Verbatim Char"/>
    <w:qFormat/>
    <w:uiPriority w:val="0"/>
    <w:rPr>
      <w:rFonts w:ascii="宋体" w:hAnsi="宋体" w:eastAsia="宋体" w:cs="宋体"/>
      <w:color w:val="000000"/>
      <w:sz w:val="24"/>
      <w:szCs w:val="24"/>
      <w:lang w:val="en-US" w:eastAsia="zh-CN" w:bidi="ar-SA"/>
    </w:rPr>
  </w:style>
  <w:style w:type="paragraph" w:customStyle="1" w:styleId="99">
    <w:name w:val="Decimal List"/>
    <w:qFormat/>
    <w:uiPriority w:val="0"/>
    <w:pPr>
      <w:numPr>
        <w:ilvl w:val="0"/>
        <w:numId w:val="2"/>
      </w:numPr>
      <w:spacing w:before="0" w:after="0" w:line="440" w:lineRule="exact"/>
      <w:ind w:left="0" w:leftChars="0" w:firstLine="0" w:firstLineChars="0"/>
      <w:jc w:val="both"/>
    </w:pPr>
    <w:rPr>
      <w:rFonts w:ascii="Times New Roman" w:hAnsi="Times New Roman" w:eastAsia="宋体" w:cs="Times New Roman"/>
      <w:sz w:val="24"/>
      <w:szCs w:val="24"/>
      <w:lang w:val="en-US" w:eastAsia="zh-CN" w:bidi="ar-SA"/>
    </w:rPr>
  </w:style>
  <w:style w:type="paragraph" w:customStyle="1" w:styleId="100">
    <w:name w:val="Bullet List"/>
    <w:qFormat/>
    <w:uiPriority w:val="0"/>
    <w:pPr>
      <w:numPr>
        <w:ilvl w:val="0"/>
        <w:numId w:val="3"/>
      </w:numPr>
      <w:spacing w:before="0" w:after="0" w:line="440" w:lineRule="exact"/>
      <w:ind w:left="0" w:leftChars="0" w:firstLine="0" w:firstLineChars="0"/>
      <w:jc w:val="both"/>
    </w:pPr>
    <w:rPr>
      <w:rFonts w:ascii="Times New Roman" w:hAnsi="Times New Roman" w:eastAsia="宋体" w:cs="Times New Roman"/>
      <w:sz w:val="24"/>
      <w:szCs w:val="24"/>
      <w:lang w:val="en-US" w:eastAsia="zh-CN" w:bidi="ar-SA"/>
    </w:rPr>
  </w:style>
  <w:style w:type="paragraph" w:customStyle="1" w:styleId="101">
    <w:name w:val="Paren Decimal List"/>
    <w:qFormat/>
    <w:uiPriority w:val="0"/>
    <w:pPr>
      <w:numPr>
        <w:ilvl w:val="0"/>
        <w:numId w:val="4"/>
      </w:numPr>
      <w:spacing w:before="0" w:after="0" w:line="440" w:lineRule="exact"/>
      <w:ind w:left="0" w:leftChars="0" w:firstLine="0" w:firstLineChars="0"/>
      <w:jc w:val="both"/>
    </w:pPr>
    <w:rPr>
      <w:rFonts w:ascii="Times New Roman" w:hAnsi="Times New Roman" w:eastAsia="宋体" w:cs="Times New Roman"/>
      <w:sz w:val="24"/>
      <w:szCs w:val="24"/>
      <w:lang w:val="en-US" w:eastAsia="zh-CN" w:bidi="ar-SA"/>
    </w:rPr>
  </w:style>
  <w:style w:type="paragraph" w:customStyle="1" w:styleId="102">
    <w:name w:val="Circled Number List"/>
    <w:qFormat/>
    <w:uiPriority w:val="0"/>
    <w:pPr>
      <w:numPr>
        <w:ilvl w:val="0"/>
        <w:numId w:val="5"/>
      </w:numPr>
      <w:spacing w:before="0" w:after="0" w:line="440" w:lineRule="exact"/>
      <w:ind w:left="0" w:leftChars="0" w:firstLine="0" w:firstLineChars="0"/>
      <w:jc w:val="both"/>
    </w:pPr>
    <w:rPr>
      <w:rFonts w:ascii="Times New Roman" w:hAnsi="Times New Roman" w:eastAsia="宋体" w:cs="Times New Roman"/>
      <w:sz w:val="24"/>
      <w:szCs w:val="24"/>
      <w:lang w:val="en-US" w:eastAsia="zh-CN" w:bidi="ar-SA"/>
    </w:rPr>
  </w:style>
  <w:style w:type="paragraph" w:customStyle="1" w:styleId="103">
    <w:name w:val="Chinese Counting List"/>
    <w:qFormat/>
    <w:uiPriority w:val="0"/>
    <w:pPr>
      <w:numPr>
        <w:ilvl w:val="0"/>
        <w:numId w:val="6"/>
      </w:numPr>
      <w:spacing w:before="0" w:after="0" w:line="440" w:lineRule="exact"/>
      <w:ind w:left="0" w:leftChars="0" w:firstLine="0" w:firstLineChars="0"/>
      <w:jc w:val="both"/>
    </w:pPr>
    <w:rPr>
      <w:rFonts w:ascii="Times New Roman" w:hAnsi="Times New Roman" w:eastAsia="宋体" w:cs="Times New Roman"/>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13015</Words>
  <Characters>23299</Characters>
  <Lines>1059</Lines>
  <Paragraphs>1008</Paragraphs>
  <TotalTime>0</TotalTime>
  <ScaleCrop>false</ScaleCrop>
  <LinksUpToDate>false</LinksUpToDate>
  <CharactersWithSpaces>35306</CharactersWithSpaces>
  <Application>WPS Office_12.1.26055.26055_F1E327BC-269C-435d-A152-05C5408002CA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2026-08-30T16:31:00Z</dcterms:created>
  <dc:creator>janxland</dc:creator>
  <dc:description>+wx:janxland</dc:description>
  <cp:lastModifiedBy>Janxland</cp:lastModifiedBy>
  <dcterms:modified xsi:type="dcterms:W3CDTF">2026-08-30T16:37:03Z</dcterms:modified>
  <dc:title>移动互联网时代跨境支付内部控制与审计风险调查-hutb-gongke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pandoc 3.10.2</vt:lpwstr>
  </property>
  <property fmtid="{D5CDD505-2E9C-101B-9397-08002B2CF9AE}" pid="3" name="viewport">
    <vt:lpwstr>width=device-width, initial-scale=1.0, user-scalable=yes</vt:lpwstr>
  </property>
  <property fmtid="{D5CDD505-2E9C-101B-9397-08002B2CF9AE}" pid="4" name="KSOProductBuildVer">
    <vt:lpwstr>2052-12.1.26055.26055</vt:lpwstr>
  </property>
  <property fmtid="{D5CDD505-2E9C-101B-9397-08002B2CF9AE}" pid="5" name="ICV">
    <vt:lpwstr>DAFC01C3153E9C3A9DEA936A965100B2_42</vt:lpwstr>
  </property>
</Properties>
</file>