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60D" w:rsidRPr="00820D27" w:rsidRDefault="00A3160D" w:rsidP="00A3160D">
      <w:pPr>
        <w:jc w:val="right"/>
        <w:rPr>
          <w:rFonts w:ascii="Times New Roman" w:hAnsi="Times New Roman"/>
          <w:sz w:val="24"/>
          <w:szCs w:val="24"/>
        </w:rPr>
      </w:pPr>
      <w:r w:rsidRPr="00820D27">
        <w:rPr>
          <w:rFonts w:ascii="Times New Roman" w:hAnsi="Times New Roman"/>
          <w:sz w:val="24"/>
          <w:szCs w:val="24"/>
        </w:rPr>
        <w:t xml:space="preserve">Příloha č. 8 k zákonu č. </w:t>
      </w:r>
      <w:proofErr w:type="gramStart"/>
      <w:r w:rsidR="00D7702F">
        <w:rPr>
          <w:rFonts w:ascii="Times New Roman" w:hAnsi="Times New Roman"/>
          <w:sz w:val="24"/>
          <w:szCs w:val="24"/>
        </w:rPr>
        <w:t>…..</w:t>
      </w:r>
      <w:bookmarkStart w:id="0" w:name="_GoBack"/>
      <w:bookmarkEnd w:id="0"/>
      <w:r w:rsidRPr="00820D27">
        <w:rPr>
          <w:rFonts w:ascii="Times New Roman" w:hAnsi="Times New Roman"/>
          <w:sz w:val="24"/>
          <w:szCs w:val="24"/>
        </w:rPr>
        <w:t xml:space="preserve"> </w:t>
      </w:r>
      <w:r>
        <w:rPr>
          <w:rFonts w:ascii="Times New Roman" w:hAnsi="Times New Roman"/>
          <w:sz w:val="24"/>
          <w:szCs w:val="24"/>
        </w:rPr>
        <w:t>/2019</w:t>
      </w:r>
      <w:proofErr w:type="gramEnd"/>
      <w:r w:rsidRPr="00820D27">
        <w:rPr>
          <w:rFonts w:ascii="Times New Roman" w:hAnsi="Times New Roman"/>
          <w:sz w:val="24"/>
          <w:szCs w:val="24"/>
        </w:rPr>
        <w:t xml:space="preserve"> Sb.</w:t>
      </w:r>
    </w:p>
    <w:p w:rsidR="00A3160D" w:rsidRPr="000F5B3A" w:rsidRDefault="00A3160D" w:rsidP="00A3160D">
      <w:pPr>
        <w:rPr>
          <w:rFonts w:ascii="Times New Roman" w:hAnsi="Times New Roman"/>
          <w:b/>
          <w:sz w:val="24"/>
          <w:szCs w:val="24"/>
        </w:rPr>
      </w:pPr>
      <w:r>
        <w:rPr>
          <w:rFonts w:ascii="Times New Roman" w:hAnsi="Times New Roman"/>
          <w:b/>
          <w:sz w:val="24"/>
          <w:szCs w:val="24"/>
        </w:rPr>
        <w:t xml:space="preserve">                      </w:t>
      </w:r>
      <w:r w:rsidRPr="000F5B3A">
        <w:rPr>
          <w:rFonts w:ascii="Times New Roman" w:hAnsi="Times New Roman"/>
          <w:b/>
          <w:sz w:val="24"/>
          <w:szCs w:val="24"/>
        </w:rPr>
        <w:t>Postup pro stanovení výše příspěvku na výkon státní správy</w:t>
      </w:r>
    </w:p>
    <w:p w:rsidR="00A3160D" w:rsidRPr="000F5B3A" w:rsidRDefault="00A3160D" w:rsidP="00A3160D">
      <w:pPr>
        <w:widowControl w:val="0"/>
        <w:autoSpaceDE w:val="0"/>
        <w:autoSpaceDN w:val="0"/>
        <w:adjustRightInd w:val="0"/>
        <w:spacing w:after="0" w:line="240" w:lineRule="auto"/>
        <w:jc w:val="center"/>
        <w:rPr>
          <w:rFonts w:ascii="Times New Roman" w:hAnsi="Times New Roman"/>
          <w:b/>
          <w:bCs/>
          <w:sz w:val="24"/>
          <w:szCs w:val="24"/>
        </w:rPr>
      </w:pPr>
      <w:r w:rsidRPr="000F5B3A">
        <w:rPr>
          <w:rFonts w:ascii="Times New Roman" w:hAnsi="Times New Roman"/>
          <w:b/>
          <w:bCs/>
          <w:sz w:val="24"/>
          <w:szCs w:val="24"/>
        </w:rPr>
        <w:t xml:space="preserve">jednotlivým obcím a hlavnímu městu Praze </w:t>
      </w:r>
    </w:p>
    <w:p w:rsidR="00A3160D" w:rsidRPr="000F5B3A" w:rsidRDefault="00A3160D" w:rsidP="00A3160D">
      <w:pPr>
        <w:widowControl w:val="0"/>
        <w:autoSpaceDE w:val="0"/>
        <w:autoSpaceDN w:val="0"/>
        <w:adjustRightInd w:val="0"/>
        <w:spacing w:after="0" w:line="240" w:lineRule="auto"/>
        <w:rPr>
          <w:rFonts w:ascii="Times New Roman" w:hAnsi="Times New Roman"/>
          <w:b/>
          <w:bCs/>
          <w:sz w:val="24"/>
          <w:szCs w:val="24"/>
        </w:rPr>
      </w:pPr>
    </w:p>
    <w:p w:rsidR="00A3160D" w:rsidRPr="000F5B3A" w:rsidRDefault="00A3160D" w:rsidP="00A3160D">
      <w:pPr>
        <w:widowControl w:val="0"/>
        <w:numPr>
          <w:ilvl w:val="0"/>
          <w:numId w:val="1"/>
        </w:numPr>
        <w:autoSpaceDE w:val="0"/>
        <w:autoSpaceDN w:val="0"/>
        <w:adjustRightInd w:val="0"/>
        <w:spacing w:after="0" w:line="240" w:lineRule="auto"/>
        <w:ind w:left="284" w:hanging="284"/>
        <w:jc w:val="both"/>
        <w:rPr>
          <w:rFonts w:ascii="Times New Roman" w:hAnsi="Times New Roman"/>
          <w:b/>
          <w:bCs/>
          <w:sz w:val="24"/>
          <w:szCs w:val="24"/>
        </w:rPr>
      </w:pPr>
      <w:r w:rsidRPr="000F5B3A">
        <w:rPr>
          <w:rFonts w:ascii="Times New Roman" w:hAnsi="Times New Roman"/>
          <w:b/>
          <w:bCs/>
          <w:sz w:val="24"/>
          <w:szCs w:val="24"/>
        </w:rPr>
        <w:t>Postup pro stanovení výše příspěvku na výkon státní správy jednotlivým obcím</w:t>
      </w:r>
      <w:r w:rsidRPr="000F5B3A">
        <w:rPr>
          <w:rFonts w:ascii="Times New Roman" w:hAnsi="Times New Roman"/>
          <w:bCs/>
          <w:sz w:val="20"/>
          <w:szCs w:val="20"/>
          <w:vertAlign w:val="superscript"/>
        </w:rPr>
        <w:t>1)</w:t>
      </w:r>
      <w:r w:rsidRPr="000F5B3A">
        <w:rPr>
          <w:rFonts w:ascii="Times New Roman" w:hAnsi="Times New Roman"/>
          <w:b/>
          <w:bCs/>
          <w:sz w:val="24"/>
          <w:szCs w:val="24"/>
        </w:rPr>
        <w:t xml:space="preserve"> </w:t>
      </w:r>
    </w:p>
    <w:p w:rsidR="00A3160D" w:rsidRPr="000F5B3A" w:rsidRDefault="00A3160D" w:rsidP="00A3160D">
      <w:pPr>
        <w:widowControl w:val="0"/>
        <w:autoSpaceDE w:val="0"/>
        <w:autoSpaceDN w:val="0"/>
        <w:adjustRightInd w:val="0"/>
        <w:spacing w:after="0" w:line="240" w:lineRule="auto"/>
        <w:ind w:left="1080"/>
        <w:jc w:val="both"/>
        <w:rPr>
          <w:rFonts w:ascii="Times New Roman" w:hAnsi="Times New Roman"/>
          <w:b/>
          <w:bCs/>
          <w:sz w:val="24"/>
          <w:szCs w:val="24"/>
        </w:rPr>
      </w:pPr>
    </w:p>
    <w:p w:rsidR="00A3160D" w:rsidRPr="000F5B3A" w:rsidRDefault="00A3160D" w:rsidP="00A3160D">
      <w:pPr>
        <w:widowControl w:val="0"/>
        <w:autoSpaceDE w:val="0"/>
        <w:autoSpaceDN w:val="0"/>
        <w:adjustRightInd w:val="0"/>
        <w:spacing w:after="0" w:line="240" w:lineRule="auto"/>
        <w:jc w:val="both"/>
        <w:rPr>
          <w:rFonts w:ascii="Times New Roman" w:hAnsi="Times New Roman"/>
          <w:b/>
          <w:bCs/>
          <w:sz w:val="24"/>
          <w:szCs w:val="24"/>
        </w:rPr>
      </w:pPr>
      <w:r w:rsidRPr="000F5B3A">
        <w:rPr>
          <w:rFonts w:ascii="Times New Roman" w:hAnsi="Times New Roman"/>
          <w:b/>
          <w:bCs/>
          <w:sz w:val="24"/>
          <w:szCs w:val="24"/>
        </w:rPr>
        <w:t xml:space="preserve">A) Obce (s výjimkou obcí s rozšířenou působností) </w:t>
      </w:r>
    </w:p>
    <w:p w:rsidR="00A3160D" w:rsidRPr="000F5B3A" w:rsidRDefault="00A3160D" w:rsidP="00A3160D">
      <w:pPr>
        <w:widowControl w:val="0"/>
        <w:autoSpaceDE w:val="0"/>
        <w:autoSpaceDN w:val="0"/>
        <w:adjustRightInd w:val="0"/>
        <w:spacing w:after="0" w:line="240" w:lineRule="auto"/>
        <w:rPr>
          <w:rFonts w:ascii="Arial" w:hAnsi="Arial" w:cs="Arial"/>
          <w:b/>
          <w:bCs/>
          <w:sz w:val="16"/>
          <w:szCs w:val="16"/>
        </w:rPr>
      </w:pPr>
      <w:r w:rsidRPr="000F5B3A">
        <w:rPr>
          <w:rFonts w:ascii="Arial" w:hAnsi="Arial" w:cs="Arial"/>
          <w:b/>
          <w:bCs/>
          <w:sz w:val="16"/>
          <w:szCs w:val="16"/>
        </w:rPr>
        <w:t xml:space="preserve"> </w:t>
      </w:r>
    </w:p>
    <w:p w:rsidR="00A3160D" w:rsidRPr="00D26773"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A77D25">
        <w:rPr>
          <w:rFonts w:ascii="Times New Roman" w:hAnsi="Times New Roman"/>
          <w:sz w:val="20"/>
          <w:szCs w:val="20"/>
        </w:rPr>
        <w:t>Výše příspěvku (P) se stanoví jako součet částek vypočítaných podle rozsahu působnosti na základě níže uvedeného vzorce</w:t>
      </w:r>
      <w:r>
        <w:rPr>
          <w:rFonts w:ascii="Times New Roman" w:hAnsi="Times New Roman"/>
          <w:sz w:val="20"/>
          <w:szCs w:val="20"/>
        </w:rPr>
        <w:t>.</w:t>
      </w:r>
      <w:r w:rsidRPr="00A77D25">
        <w:rPr>
          <w:rFonts w:ascii="Times New Roman" w:hAnsi="Times New Roman"/>
          <w:sz w:val="20"/>
          <w:szCs w:val="20"/>
        </w:rPr>
        <w:t xml:space="preserve"> </w:t>
      </w:r>
      <w:r>
        <w:rPr>
          <w:rFonts w:ascii="Times New Roman" w:hAnsi="Times New Roman"/>
          <w:sz w:val="20"/>
          <w:szCs w:val="20"/>
          <w:vertAlign w:val="superscript"/>
        </w:rPr>
        <w:t>2)</w:t>
      </w:r>
      <w:r w:rsidRPr="00A77D25">
        <w:rPr>
          <w:rFonts w:ascii="Times New Roman" w:hAnsi="Times New Roman"/>
          <w:sz w:val="20"/>
          <w:szCs w:val="20"/>
          <w:vertAlign w:val="superscript"/>
        </w:rPr>
        <w:t>3)</w:t>
      </w:r>
      <w:r>
        <w:rPr>
          <w:rFonts w:ascii="Times New Roman" w:hAnsi="Times New Roman"/>
          <w:sz w:val="20"/>
          <w:szCs w:val="20"/>
        </w:rPr>
        <w:t xml:space="preserve"> </w:t>
      </w:r>
      <w:r w:rsidRPr="00A77D25">
        <w:rPr>
          <w:rFonts w:ascii="Times New Roman" w:hAnsi="Times New Roman"/>
          <w:sz w:val="20"/>
          <w:szCs w:val="20"/>
        </w:rPr>
        <w:t>U některých obcí se navíc přičte částka uveden</w:t>
      </w:r>
      <w:r>
        <w:rPr>
          <w:rFonts w:ascii="Times New Roman" w:hAnsi="Times New Roman"/>
          <w:sz w:val="20"/>
          <w:szCs w:val="20"/>
        </w:rPr>
        <w:t>á</w:t>
      </w:r>
      <w:r w:rsidRPr="00A77D25">
        <w:rPr>
          <w:rFonts w:ascii="Times New Roman" w:hAnsi="Times New Roman"/>
          <w:sz w:val="20"/>
          <w:szCs w:val="20"/>
        </w:rPr>
        <w:t xml:space="preserve"> v </w:t>
      </w:r>
      <w:proofErr w:type="gramStart"/>
      <w:r w:rsidRPr="00A77D25">
        <w:rPr>
          <w:rFonts w:ascii="Times New Roman" w:hAnsi="Times New Roman"/>
          <w:sz w:val="20"/>
          <w:szCs w:val="20"/>
        </w:rPr>
        <w:t xml:space="preserve">části </w:t>
      </w:r>
      <w:r>
        <w:rPr>
          <w:rFonts w:ascii="Times New Roman" w:hAnsi="Times New Roman"/>
          <w:sz w:val="20"/>
          <w:szCs w:val="20"/>
        </w:rPr>
        <w:t>1.</w:t>
      </w:r>
      <w:r w:rsidRPr="00A77D25">
        <w:rPr>
          <w:rFonts w:ascii="Times New Roman" w:hAnsi="Times New Roman"/>
          <w:sz w:val="20"/>
          <w:szCs w:val="20"/>
        </w:rPr>
        <w:t>D</w:t>
      </w:r>
      <w:r>
        <w:rPr>
          <w:rFonts w:ascii="Times New Roman" w:hAnsi="Times New Roman"/>
          <w:sz w:val="20"/>
          <w:szCs w:val="20"/>
        </w:rPr>
        <w:t xml:space="preserve">) </w:t>
      </w:r>
      <w:r w:rsidRPr="00D26773">
        <w:rPr>
          <w:rFonts w:ascii="Times New Roman" w:hAnsi="Times New Roman"/>
          <w:sz w:val="20"/>
          <w:szCs w:val="20"/>
        </w:rPr>
        <w:t>a</w:t>
      </w:r>
      <w:r w:rsidR="00962A30" w:rsidRPr="00D26773">
        <w:rPr>
          <w:rFonts w:ascii="Times New Roman" w:hAnsi="Times New Roman"/>
          <w:sz w:val="20"/>
          <w:szCs w:val="20"/>
        </w:rPr>
        <w:t xml:space="preserve"> </w:t>
      </w:r>
      <w:r w:rsidRPr="00D26773">
        <w:rPr>
          <w:rFonts w:ascii="Times New Roman" w:hAnsi="Times New Roman"/>
          <w:sz w:val="20"/>
          <w:szCs w:val="20"/>
        </w:rPr>
        <w:t>1.H).</w:t>
      </w:r>
      <w:proofErr w:type="gramEnd"/>
    </w:p>
    <w:p w:rsidR="00A3160D" w:rsidRPr="00635CB8" w:rsidRDefault="00A3160D" w:rsidP="00A3160D">
      <w:pPr>
        <w:widowControl w:val="0"/>
        <w:autoSpaceDE w:val="0"/>
        <w:autoSpaceDN w:val="0"/>
        <w:adjustRightInd w:val="0"/>
        <w:spacing w:after="0" w:line="240" w:lineRule="auto"/>
        <w:jc w:val="both"/>
        <w:rPr>
          <w:rFonts w:ascii="Times New Roman" w:hAnsi="Times New Roman"/>
          <w:sz w:val="20"/>
          <w:szCs w:val="20"/>
        </w:rPr>
      </w:pPr>
    </w:p>
    <w:tbl>
      <w:tblPr>
        <w:tblW w:w="9072" w:type="dxa"/>
        <w:tblLayout w:type="fixed"/>
        <w:tblCellMar>
          <w:left w:w="0" w:type="dxa"/>
          <w:right w:w="0" w:type="dxa"/>
        </w:tblCellMar>
        <w:tblLook w:val="0000" w:firstRow="0" w:lastRow="0" w:firstColumn="0" w:lastColumn="0" w:noHBand="0" w:noVBand="0"/>
      </w:tblPr>
      <w:tblGrid>
        <w:gridCol w:w="9072"/>
      </w:tblGrid>
      <w:tr w:rsidR="00A3160D" w:rsidRPr="000F5B3A" w:rsidTr="008E31EF">
        <w:trPr>
          <w:trHeight w:val="211"/>
        </w:trPr>
        <w:tc>
          <w:tcPr>
            <w:tcW w:w="9072" w:type="dxa"/>
            <w:tcBorders>
              <w:top w:val="nil"/>
              <w:left w:val="nil"/>
              <w:bottom w:val="nil"/>
              <w:right w:val="nil"/>
            </w:tcBorders>
            <w:vAlign w:val="bottom"/>
          </w:tcPr>
          <w:p w:rsidR="00A3160D" w:rsidRPr="000F5B3A" w:rsidRDefault="00A3160D" w:rsidP="008E31EF">
            <w:pPr>
              <w:widowControl w:val="0"/>
              <w:autoSpaceDE w:val="0"/>
              <w:autoSpaceDN w:val="0"/>
              <w:adjustRightInd w:val="0"/>
              <w:spacing w:after="0" w:line="240" w:lineRule="auto"/>
              <w:rPr>
                <w:rFonts w:ascii="Times New Roman" w:hAnsi="Times New Roman"/>
                <w:i/>
                <w:sz w:val="20"/>
                <w:szCs w:val="20"/>
              </w:rPr>
            </w:pPr>
            <w:r w:rsidRPr="000F5B3A">
              <w:rPr>
                <w:rFonts w:ascii="Times New Roman" w:hAnsi="Times New Roman"/>
                <w:i/>
                <w:sz w:val="20"/>
                <w:szCs w:val="20"/>
              </w:rPr>
              <w:t>Vzorec:</w:t>
            </w:r>
          </w:p>
          <w:p w:rsidR="00A3160D" w:rsidRDefault="00A3160D" w:rsidP="008E31EF">
            <w:pPr>
              <w:widowControl w:val="0"/>
              <w:autoSpaceDE w:val="0"/>
              <w:autoSpaceDN w:val="0"/>
              <w:adjustRightInd w:val="0"/>
              <w:spacing w:after="0" w:line="240" w:lineRule="auto"/>
              <w:ind w:left="4253" w:hanging="992"/>
              <w:rPr>
                <w:rFonts w:ascii="Times New Roman" w:hAnsi="Times New Roman"/>
                <w:i/>
                <w:sz w:val="20"/>
                <w:szCs w:val="20"/>
              </w:rPr>
            </w:pPr>
          </w:p>
          <w:p w:rsidR="00A3160D" w:rsidRPr="00A77D25" w:rsidRDefault="00A3160D" w:rsidP="008E31EF">
            <w:pPr>
              <w:widowControl w:val="0"/>
              <w:autoSpaceDE w:val="0"/>
              <w:autoSpaceDN w:val="0"/>
              <w:adjustRightInd w:val="0"/>
              <w:spacing w:after="0" w:line="240" w:lineRule="auto"/>
              <w:ind w:left="4253" w:hanging="992"/>
              <w:rPr>
                <w:rFonts w:ascii="Times New Roman" w:hAnsi="Times New Roman"/>
                <w:sz w:val="20"/>
                <w:szCs w:val="20"/>
              </w:rPr>
            </w:pPr>
          </w:p>
          <w:p w:rsidR="00A3160D" w:rsidRPr="00A77D25" w:rsidRDefault="00A3160D" w:rsidP="008E31EF">
            <w:pPr>
              <w:widowControl w:val="0"/>
              <w:autoSpaceDE w:val="0"/>
              <w:autoSpaceDN w:val="0"/>
              <w:adjustRightInd w:val="0"/>
              <w:spacing w:after="0" w:line="240" w:lineRule="auto"/>
              <w:ind w:left="4253" w:hanging="992"/>
              <w:rPr>
                <w:rFonts w:ascii="Times New Roman" w:hAnsi="Times New Roman"/>
                <w:sz w:val="20"/>
                <w:szCs w:val="20"/>
              </w:rPr>
            </w:pPr>
            <w:r w:rsidRPr="00A77D25">
              <w:rPr>
                <w:rFonts w:ascii="Times New Roman" w:hAnsi="Times New Roman"/>
                <w:sz w:val="20"/>
                <w:szCs w:val="20"/>
              </w:rPr>
              <w:t xml:space="preserve">            </w:t>
            </w:r>
            <w:r>
              <w:rPr>
                <w:rFonts w:ascii="Times New Roman" w:hAnsi="Times New Roman"/>
                <w:sz w:val="20"/>
                <w:szCs w:val="20"/>
              </w:rPr>
              <w:t xml:space="preserve">      </w:t>
            </w:r>
            <w:r w:rsidRPr="00A77D25">
              <w:rPr>
                <w:rFonts w:ascii="Times New Roman" w:hAnsi="Times New Roman"/>
                <w:sz w:val="20"/>
                <w:szCs w:val="20"/>
              </w:rPr>
              <w:t>B</w:t>
            </w:r>
          </w:p>
          <w:p w:rsidR="00A3160D" w:rsidRPr="00A77D25" w:rsidRDefault="00A3160D" w:rsidP="008E31EF">
            <w:pPr>
              <w:widowControl w:val="0"/>
              <w:autoSpaceDE w:val="0"/>
              <w:autoSpaceDN w:val="0"/>
              <w:adjustRightInd w:val="0"/>
              <w:spacing w:after="0" w:line="240" w:lineRule="auto"/>
              <w:ind w:left="4253" w:hanging="992"/>
              <w:rPr>
                <w:rFonts w:ascii="Times New Roman" w:hAnsi="Times New Roman"/>
                <w:sz w:val="20"/>
                <w:szCs w:val="20"/>
              </w:rPr>
            </w:pPr>
            <w:r w:rsidRPr="00A77D25">
              <w:rPr>
                <w:rFonts w:ascii="Times New Roman" w:hAnsi="Times New Roman"/>
                <w:sz w:val="20"/>
                <w:szCs w:val="20"/>
              </w:rPr>
              <w:t>P = -----------------</w:t>
            </w:r>
            <w:r>
              <w:rPr>
                <w:rFonts w:ascii="Times New Roman" w:hAnsi="Times New Roman"/>
                <w:sz w:val="20"/>
                <w:szCs w:val="20"/>
              </w:rPr>
              <w:t>-------</w:t>
            </w:r>
            <w:r w:rsidRPr="00A77D25">
              <w:rPr>
                <w:rFonts w:ascii="Times New Roman" w:hAnsi="Times New Roman"/>
                <w:sz w:val="20"/>
                <w:szCs w:val="20"/>
              </w:rPr>
              <w:t xml:space="preserve"> </w:t>
            </w:r>
            <w:r>
              <w:rPr>
                <w:rFonts w:ascii="Times New Roman" w:hAnsi="Times New Roman"/>
                <w:sz w:val="20"/>
                <w:szCs w:val="20"/>
              </w:rPr>
              <w:t xml:space="preserve">  </w:t>
            </w:r>
            <w:r w:rsidRPr="00A77D25">
              <w:rPr>
                <w:rFonts w:ascii="Times New Roman" w:hAnsi="Times New Roman"/>
                <w:sz w:val="20"/>
                <w:szCs w:val="20"/>
              </w:rPr>
              <w:t>x SO</w:t>
            </w:r>
          </w:p>
          <w:p w:rsidR="00A3160D" w:rsidRPr="00A77D25" w:rsidRDefault="00A3160D" w:rsidP="008E31EF">
            <w:pPr>
              <w:widowControl w:val="0"/>
              <w:autoSpaceDE w:val="0"/>
              <w:autoSpaceDN w:val="0"/>
              <w:adjustRightInd w:val="0"/>
              <w:spacing w:after="0" w:line="240" w:lineRule="auto"/>
              <w:ind w:left="4253" w:hanging="992"/>
              <w:rPr>
                <w:rFonts w:ascii="Times New Roman" w:hAnsi="Times New Roman"/>
                <w:sz w:val="20"/>
                <w:szCs w:val="20"/>
              </w:rPr>
            </w:pPr>
            <w:r w:rsidRPr="00A77D25">
              <w:rPr>
                <w:rFonts w:ascii="Times New Roman" w:hAnsi="Times New Roman"/>
                <w:sz w:val="20"/>
                <w:szCs w:val="20"/>
              </w:rPr>
              <w:t xml:space="preserve">    </w:t>
            </w:r>
            <w:r>
              <w:rPr>
                <w:rFonts w:ascii="Times New Roman" w:hAnsi="Times New Roman"/>
                <w:sz w:val="20"/>
                <w:szCs w:val="20"/>
              </w:rPr>
              <w:t xml:space="preserve">   </w:t>
            </w:r>
            <w:r w:rsidRPr="00A77D25">
              <w:rPr>
                <w:rFonts w:ascii="Times New Roman" w:hAnsi="Times New Roman"/>
                <w:sz w:val="20"/>
                <w:szCs w:val="20"/>
              </w:rPr>
              <w:t>A + odmocnina (SO)</w:t>
            </w:r>
          </w:p>
          <w:p w:rsidR="00A3160D" w:rsidRPr="000F5B3A" w:rsidRDefault="00A3160D" w:rsidP="008E31EF">
            <w:pPr>
              <w:widowControl w:val="0"/>
              <w:autoSpaceDE w:val="0"/>
              <w:autoSpaceDN w:val="0"/>
              <w:adjustRightInd w:val="0"/>
              <w:spacing w:after="0" w:line="240" w:lineRule="auto"/>
              <w:ind w:left="4253" w:hanging="992"/>
              <w:rPr>
                <w:rFonts w:ascii="Times New Roman" w:hAnsi="Times New Roman"/>
                <w:i/>
                <w:sz w:val="20"/>
                <w:szCs w:val="20"/>
              </w:rPr>
            </w:pPr>
          </w:p>
          <w:p w:rsidR="00A3160D" w:rsidRPr="000F5B3A" w:rsidRDefault="00A3160D" w:rsidP="008E31EF">
            <w:pPr>
              <w:widowControl w:val="0"/>
              <w:autoSpaceDE w:val="0"/>
              <w:autoSpaceDN w:val="0"/>
              <w:adjustRightInd w:val="0"/>
              <w:spacing w:after="0" w:line="240" w:lineRule="auto"/>
              <w:rPr>
                <w:rFonts w:ascii="Times New Roman" w:hAnsi="Times New Roman"/>
                <w:i/>
                <w:sz w:val="20"/>
                <w:szCs w:val="20"/>
              </w:rPr>
            </w:pPr>
          </w:p>
        </w:tc>
      </w:tr>
    </w:tbl>
    <w:p w:rsidR="00A3160D" w:rsidRPr="000F5B3A" w:rsidRDefault="00A3160D" w:rsidP="00A3160D">
      <w:pPr>
        <w:widowControl w:val="0"/>
        <w:autoSpaceDE w:val="0"/>
        <w:autoSpaceDN w:val="0"/>
        <w:adjustRightInd w:val="0"/>
        <w:spacing w:after="0" w:line="240" w:lineRule="auto"/>
        <w:jc w:val="both"/>
        <w:rPr>
          <w:rFonts w:ascii="Times New Roman" w:hAnsi="Times New Roman"/>
          <w:sz w:val="20"/>
          <w:szCs w:val="20"/>
        </w:rPr>
      </w:pPr>
    </w:p>
    <w:p w:rsidR="00A3160D" w:rsidRPr="000F5B3A"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F5B3A">
        <w:rPr>
          <w:rFonts w:ascii="Times New Roman" w:hAnsi="Times New Roman"/>
          <w:sz w:val="20"/>
          <w:szCs w:val="20"/>
        </w:rPr>
        <w:t>Výše příspěvku</w:t>
      </w:r>
      <w:r w:rsidRPr="000F5B3A">
        <w:rPr>
          <w:rFonts w:ascii="Times New Roman" w:hAnsi="Times New Roman"/>
          <w:sz w:val="20"/>
          <w:szCs w:val="20"/>
          <w:vertAlign w:val="superscript"/>
        </w:rPr>
        <w:t>4)</w:t>
      </w:r>
      <w:r w:rsidRPr="000F5B3A">
        <w:rPr>
          <w:rFonts w:ascii="Times New Roman" w:hAnsi="Times New Roman"/>
          <w:sz w:val="20"/>
          <w:szCs w:val="20"/>
        </w:rPr>
        <w:t xml:space="preserve"> je závislá: </w:t>
      </w:r>
    </w:p>
    <w:p w:rsidR="00A3160D" w:rsidRPr="000F5B3A" w:rsidRDefault="00A3160D" w:rsidP="00A3160D">
      <w:pPr>
        <w:widowControl w:val="0"/>
        <w:autoSpaceDE w:val="0"/>
        <w:autoSpaceDN w:val="0"/>
        <w:adjustRightInd w:val="0"/>
        <w:spacing w:after="0" w:line="240" w:lineRule="auto"/>
        <w:ind w:left="284"/>
        <w:jc w:val="both"/>
        <w:rPr>
          <w:rFonts w:ascii="Times New Roman" w:hAnsi="Times New Roman"/>
          <w:sz w:val="20"/>
          <w:szCs w:val="20"/>
        </w:rPr>
      </w:pPr>
      <w:r w:rsidRPr="000F5B3A">
        <w:rPr>
          <w:rFonts w:ascii="Times New Roman" w:hAnsi="Times New Roman"/>
          <w:sz w:val="20"/>
          <w:szCs w:val="20"/>
        </w:rPr>
        <w:t xml:space="preserve">- na rozsahu přenesené působnosti k výkonu státní správy, </w:t>
      </w:r>
    </w:p>
    <w:p w:rsidR="00A3160D" w:rsidRPr="000F5B3A" w:rsidRDefault="00A3160D" w:rsidP="00A3160D">
      <w:pPr>
        <w:widowControl w:val="0"/>
        <w:autoSpaceDE w:val="0"/>
        <w:autoSpaceDN w:val="0"/>
        <w:adjustRightInd w:val="0"/>
        <w:spacing w:after="0" w:line="240" w:lineRule="auto"/>
        <w:ind w:left="284"/>
        <w:jc w:val="both"/>
        <w:rPr>
          <w:rFonts w:ascii="Times New Roman" w:hAnsi="Times New Roman"/>
          <w:sz w:val="20"/>
          <w:szCs w:val="20"/>
        </w:rPr>
      </w:pPr>
      <w:r w:rsidRPr="000F5B3A">
        <w:rPr>
          <w:rFonts w:ascii="Times New Roman" w:hAnsi="Times New Roman"/>
          <w:sz w:val="20"/>
          <w:szCs w:val="20"/>
        </w:rPr>
        <w:t>- na velikosti správního obvodu (SO)</w:t>
      </w:r>
      <w:r w:rsidRPr="000F5B3A">
        <w:rPr>
          <w:rFonts w:ascii="Times New Roman" w:hAnsi="Times New Roman"/>
          <w:sz w:val="20"/>
          <w:szCs w:val="20"/>
          <w:vertAlign w:val="superscript"/>
        </w:rPr>
        <w:t>5)</w:t>
      </w:r>
      <w:r w:rsidRPr="000F5B3A">
        <w:rPr>
          <w:rFonts w:ascii="Times New Roman" w:hAnsi="Times New Roman"/>
          <w:sz w:val="20"/>
          <w:szCs w:val="20"/>
        </w:rPr>
        <w:t xml:space="preserve"> vyjádřené počtem obyvatel. </w:t>
      </w:r>
    </w:p>
    <w:p w:rsidR="00A3160D" w:rsidRPr="000F5B3A" w:rsidRDefault="00A3160D" w:rsidP="00A3160D">
      <w:pPr>
        <w:widowControl w:val="0"/>
        <w:autoSpaceDE w:val="0"/>
        <w:autoSpaceDN w:val="0"/>
        <w:adjustRightInd w:val="0"/>
        <w:spacing w:after="0" w:line="240" w:lineRule="auto"/>
        <w:rPr>
          <w:rFonts w:ascii="Times New Roman" w:hAnsi="Times New Roman"/>
          <w:sz w:val="20"/>
          <w:szCs w:val="20"/>
        </w:rPr>
      </w:pPr>
      <w:r w:rsidRPr="000F5B3A">
        <w:rPr>
          <w:rFonts w:ascii="Times New Roman" w:hAnsi="Times New Roman"/>
          <w:sz w:val="20"/>
          <w:szCs w:val="20"/>
        </w:rPr>
        <w:t xml:space="preserve"> </w:t>
      </w:r>
    </w:p>
    <w:p w:rsidR="00A3160D" w:rsidRPr="00635CB8"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A77D25">
        <w:rPr>
          <w:rFonts w:ascii="Times New Roman" w:hAnsi="Times New Roman"/>
          <w:sz w:val="20"/>
          <w:szCs w:val="20"/>
        </w:rPr>
        <w:t>Hodnoty koeficientů "A" a "B" jsou stanoveny v závislosti na rozsahu přenesené působnosti k výkonu státní správy a na celkovém objemu finančních prostředků pro daný rozsah působnosti (např. u obce, která je stavebním úřadem, se sčítají dvě částky vypočítané na základě dosazení koeficientů "A" a "B" uvedených v</w:t>
      </w:r>
      <w:r>
        <w:rPr>
          <w:rFonts w:ascii="Times New Roman" w:hAnsi="Times New Roman"/>
          <w:sz w:val="20"/>
          <w:szCs w:val="20"/>
        </w:rPr>
        <w:t> </w:t>
      </w:r>
      <w:r w:rsidRPr="00A77D25">
        <w:rPr>
          <w:rFonts w:ascii="Times New Roman" w:hAnsi="Times New Roman"/>
          <w:sz w:val="20"/>
          <w:szCs w:val="20"/>
        </w:rPr>
        <w:t xml:space="preserve">tabulce v řádcích 1 a </w:t>
      </w:r>
      <w:r>
        <w:rPr>
          <w:rFonts w:ascii="Times New Roman" w:hAnsi="Times New Roman"/>
          <w:sz w:val="20"/>
          <w:szCs w:val="20"/>
        </w:rPr>
        <w:t>3</w:t>
      </w:r>
      <w:r w:rsidRPr="00A77D25">
        <w:rPr>
          <w:rFonts w:ascii="Times New Roman" w:hAnsi="Times New Roman"/>
          <w:sz w:val="20"/>
          <w:szCs w:val="20"/>
        </w:rPr>
        <w:t xml:space="preserve"> do výše uvedeného vzorce).</w:t>
      </w:r>
    </w:p>
    <w:p w:rsidR="00A3160D" w:rsidRPr="00635CB8" w:rsidRDefault="00A3160D" w:rsidP="00A3160D">
      <w:pPr>
        <w:widowControl w:val="0"/>
        <w:autoSpaceDE w:val="0"/>
        <w:autoSpaceDN w:val="0"/>
        <w:adjustRightInd w:val="0"/>
        <w:spacing w:after="0" w:line="240" w:lineRule="auto"/>
        <w:jc w:val="both"/>
        <w:rPr>
          <w:rFonts w:ascii="Times New Roman" w:hAnsi="Times New Roman"/>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2268"/>
        <w:gridCol w:w="2409"/>
      </w:tblGrid>
      <w:tr w:rsidR="00A3160D" w:rsidRPr="00635CB8" w:rsidTr="008E31EF">
        <w:trPr>
          <w:trHeight w:val="460"/>
        </w:trPr>
        <w:tc>
          <w:tcPr>
            <w:tcW w:w="43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3160D" w:rsidRPr="00635CB8" w:rsidRDefault="00A3160D" w:rsidP="008E31EF">
            <w:pPr>
              <w:widowControl w:val="0"/>
              <w:autoSpaceDE w:val="0"/>
              <w:autoSpaceDN w:val="0"/>
              <w:adjustRightInd w:val="0"/>
              <w:spacing w:after="0" w:line="240" w:lineRule="auto"/>
              <w:jc w:val="center"/>
              <w:rPr>
                <w:rFonts w:ascii="Times New Roman" w:hAnsi="Times New Roman"/>
                <w:b/>
                <w:sz w:val="20"/>
                <w:szCs w:val="20"/>
              </w:rPr>
            </w:pPr>
            <w:r w:rsidRPr="00635CB8">
              <w:rPr>
                <w:rFonts w:ascii="Times New Roman" w:hAnsi="Times New Roman"/>
                <w:b/>
                <w:sz w:val="20"/>
                <w:szCs w:val="20"/>
              </w:rPr>
              <w:t>Rozsah působnosti</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3160D" w:rsidRPr="00635CB8" w:rsidRDefault="00A3160D" w:rsidP="008E31EF">
            <w:pPr>
              <w:widowControl w:val="0"/>
              <w:autoSpaceDE w:val="0"/>
              <w:autoSpaceDN w:val="0"/>
              <w:adjustRightInd w:val="0"/>
              <w:spacing w:after="0" w:line="240" w:lineRule="auto"/>
              <w:jc w:val="center"/>
              <w:rPr>
                <w:rFonts w:ascii="Times New Roman" w:hAnsi="Times New Roman"/>
                <w:b/>
                <w:sz w:val="20"/>
                <w:szCs w:val="20"/>
              </w:rPr>
            </w:pPr>
            <w:r w:rsidRPr="00635CB8">
              <w:rPr>
                <w:rFonts w:ascii="Times New Roman" w:hAnsi="Times New Roman"/>
                <w:b/>
                <w:sz w:val="20"/>
                <w:szCs w:val="20"/>
              </w:rPr>
              <w:t>A</w:t>
            </w:r>
          </w:p>
        </w:tc>
        <w:tc>
          <w:tcPr>
            <w:tcW w:w="240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3160D" w:rsidRPr="00635CB8" w:rsidRDefault="00A3160D" w:rsidP="008E31EF">
            <w:pPr>
              <w:widowControl w:val="0"/>
              <w:autoSpaceDE w:val="0"/>
              <w:autoSpaceDN w:val="0"/>
              <w:adjustRightInd w:val="0"/>
              <w:spacing w:after="0" w:line="240" w:lineRule="auto"/>
              <w:jc w:val="center"/>
              <w:rPr>
                <w:rFonts w:ascii="Times New Roman" w:hAnsi="Times New Roman"/>
                <w:b/>
                <w:sz w:val="20"/>
                <w:szCs w:val="20"/>
              </w:rPr>
            </w:pPr>
            <w:r w:rsidRPr="00635CB8">
              <w:rPr>
                <w:rFonts w:ascii="Times New Roman" w:hAnsi="Times New Roman"/>
                <w:b/>
                <w:sz w:val="20"/>
                <w:szCs w:val="20"/>
              </w:rPr>
              <w:t>B</w:t>
            </w:r>
          </w:p>
        </w:tc>
      </w:tr>
      <w:tr w:rsidR="00A3160D" w:rsidRPr="00635CB8" w:rsidTr="008E31EF">
        <w:trPr>
          <w:trHeight w:val="460"/>
        </w:trPr>
        <w:tc>
          <w:tcPr>
            <w:tcW w:w="4395" w:type="dxa"/>
            <w:tcBorders>
              <w:top w:val="single" w:sz="4" w:space="0" w:color="auto"/>
              <w:left w:val="single" w:sz="4" w:space="0" w:color="auto"/>
              <w:bottom w:val="single" w:sz="4" w:space="0" w:color="auto"/>
              <w:right w:val="single" w:sz="4" w:space="0" w:color="auto"/>
            </w:tcBorders>
            <w:vAlign w:val="center"/>
            <w:hideMark/>
          </w:tcPr>
          <w:p w:rsidR="00A3160D" w:rsidRPr="00635CB8" w:rsidRDefault="00A3160D" w:rsidP="008E31EF">
            <w:pPr>
              <w:widowControl w:val="0"/>
              <w:autoSpaceDE w:val="0"/>
              <w:autoSpaceDN w:val="0"/>
              <w:adjustRightInd w:val="0"/>
              <w:spacing w:after="0" w:line="240" w:lineRule="auto"/>
              <w:rPr>
                <w:rFonts w:ascii="Times New Roman" w:hAnsi="Times New Roman"/>
                <w:sz w:val="20"/>
                <w:szCs w:val="20"/>
              </w:rPr>
            </w:pPr>
            <w:r w:rsidRPr="00635CB8">
              <w:rPr>
                <w:rFonts w:ascii="Times New Roman" w:hAnsi="Times New Roman"/>
                <w:sz w:val="20"/>
                <w:szCs w:val="20"/>
              </w:rPr>
              <w:t>Základní působnost</w:t>
            </w:r>
          </w:p>
        </w:tc>
        <w:tc>
          <w:tcPr>
            <w:tcW w:w="2268" w:type="dxa"/>
            <w:tcBorders>
              <w:top w:val="single" w:sz="4" w:space="0" w:color="auto"/>
              <w:left w:val="single" w:sz="4" w:space="0" w:color="auto"/>
              <w:bottom w:val="single" w:sz="4" w:space="0" w:color="auto"/>
              <w:right w:val="single" w:sz="4" w:space="0" w:color="auto"/>
            </w:tcBorders>
            <w:vAlign w:val="center"/>
          </w:tcPr>
          <w:p w:rsidR="00A3160D" w:rsidRPr="00A77D25" w:rsidRDefault="00A3160D" w:rsidP="008E31EF">
            <w:pPr>
              <w:widowControl w:val="0"/>
              <w:autoSpaceDE w:val="0"/>
              <w:autoSpaceDN w:val="0"/>
              <w:adjustRightInd w:val="0"/>
              <w:spacing w:after="0"/>
              <w:jc w:val="center"/>
              <w:rPr>
                <w:rFonts w:ascii="Times New Roman" w:hAnsi="Times New Roman"/>
                <w:sz w:val="20"/>
                <w:szCs w:val="20"/>
              </w:rPr>
            </w:pPr>
            <w:r w:rsidRPr="00A77D25">
              <w:rPr>
                <w:rFonts w:ascii="Times New Roman" w:hAnsi="Times New Roman"/>
                <w:sz w:val="20"/>
                <w:szCs w:val="20"/>
              </w:rPr>
              <w:t>29,52309608</w:t>
            </w:r>
          </w:p>
        </w:tc>
        <w:tc>
          <w:tcPr>
            <w:tcW w:w="2409" w:type="dxa"/>
            <w:tcBorders>
              <w:top w:val="single" w:sz="4" w:space="0" w:color="auto"/>
              <w:left w:val="single" w:sz="4" w:space="0" w:color="auto"/>
              <w:bottom w:val="single" w:sz="4" w:space="0" w:color="auto"/>
              <w:right w:val="single" w:sz="4" w:space="0" w:color="auto"/>
            </w:tcBorders>
            <w:vAlign w:val="center"/>
          </w:tcPr>
          <w:p w:rsidR="00A3160D" w:rsidRPr="00A77D25" w:rsidRDefault="00A3160D" w:rsidP="008E31EF">
            <w:pPr>
              <w:widowControl w:val="0"/>
              <w:autoSpaceDE w:val="0"/>
              <w:autoSpaceDN w:val="0"/>
              <w:adjustRightInd w:val="0"/>
              <w:spacing w:after="0"/>
              <w:jc w:val="center"/>
              <w:rPr>
                <w:rFonts w:ascii="Times New Roman" w:hAnsi="Times New Roman"/>
                <w:sz w:val="20"/>
                <w:szCs w:val="20"/>
              </w:rPr>
            </w:pPr>
            <w:r w:rsidRPr="00A77D25">
              <w:rPr>
                <w:rFonts w:ascii="Times New Roman" w:hAnsi="Times New Roman"/>
                <w:sz w:val="20"/>
                <w:szCs w:val="20"/>
              </w:rPr>
              <w:t>6830500,486</w:t>
            </w:r>
          </w:p>
        </w:tc>
      </w:tr>
      <w:tr w:rsidR="00A3160D" w:rsidRPr="00635CB8" w:rsidTr="008E31EF">
        <w:trPr>
          <w:trHeight w:val="460"/>
        </w:trPr>
        <w:tc>
          <w:tcPr>
            <w:tcW w:w="4395" w:type="dxa"/>
            <w:tcBorders>
              <w:top w:val="single" w:sz="4" w:space="0" w:color="auto"/>
              <w:left w:val="single" w:sz="4" w:space="0" w:color="auto"/>
              <w:bottom w:val="single" w:sz="4" w:space="0" w:color="auto"/>
              <w:right w:val="single" w:sz="4" w:space="0" w:color="auto"/>
            </w:tcBorders>
            <w:vAlign w:val="center"/>
            <w:hideMark/>
          </w:tcPr>
          <w:p w:rsidR="00A3160D" w:rsidRPr="00635CB8" w:rsidRDefault="00A3160D" w:rsidP="008E31EF">
            <w:pPr>
              <w:widowControl w:val="0"/>
              <w:autoSpaceDE w:val="0"/>
              <w:autoSpaceDN w:val="0"/>
              <w:adjustRightInd w:val="0"/>
              <w:spacing w:after="0" w:line="240" w:lineRule="auto"/>
              <w:rPr>
                <w:rFonts w:ascii="Times New Roman" w:hAnsi="Times New Roman"/>
                <w:sz w:val="20"/>
                <w:szCs w:val="20"/>
              </w:rPr>
            </w:pPr>
            <w:r w:rsidRPr="00635CB8">
              <w:rPr>
                <w:rFonts w:ascii="Times New Roman" w:hAnsi="Times New Roman"/>
                <w:sz w:val="20"/>
                <w:szCs w:val="20"/>
              </w:rPr>
              <w:t>Působnost matričního úřadu</w:t>
            </w:r>
          </w:p>
        </w:tc>
        <w:tc>
          <w:tcPr>
            <w:tcW w:w="2268" w:type="dxa"/>
            <w:tcBorders>
              <w:top w:val="single" w:sz="4" w:space="0" w:color="auto"/>
              <w:left w:val="single" w:sz="4" w:space="0" w:color="auto"/>
              <w:bottom w:val="single" w:sz="4" w:space="0" w:color="auto"/>
              <w:right w:val="single" w:sz="4" w:space="0" w:color="auto"/>
            </w:tcBorders>
            <w:vAlign w:val="center"/>
          </w:tcPr>
          <w:p w:rsidR="00A3160D" w:rsidRPr="00A77D25" w:rsidRDefault="00A3160D" w:rsidP="008E31EF">
            <w:pPr>
              <w:widowControl w:val="0"/>
              <w:autoSpaceDE w:val="0"/>
              <w:autoSpaceDN w:val="0"/>
              <w:adjustRightInd w:val="0"/>
              <w:spacing w:after="0"/>
              <w:jc w:val="center"/>
              <w:rPr>
                <w:rFonts w:ascii="Times New Roman" w:hAnsi="Times New Roman"/>
                <w:sz w:val="20"/>
                <w:szCs w:val="20"/>
              </w:rPr>
            </w:pPr>
            <w:r w:rsidRPr="00A77D25">
              <w:rPr>
                <w:rFonts w:ascii="Times New Roman" w:hAnsi="Times New Roman"/>
                <w:sz w:val="20"/>
                <w:szCs w:val="20"/>
              </w:rPr>
              <w:t>293,6217957</w:t>
            </w:r>
          </w:p>
        </w:tc>
        <w:tc>
          <w:tcPr>
            <w:tcW w:w="2409" w:type="dxa"/>
            <w:tcBorders>
              <w:top w:val="single" w:sz="4" w:space="0" w:color="auto"/>
              <w:left w:val="single" w:sz="4" w:space="0" w:color="auto"/>
              <w:bottom w:val="single" w:sz="4" w:space="0" w:color="auto"/>
              <w:right w:val="single" w:sz="4" w:space="0" w:color="auto"/>
            </w:tcBorders>
            <w:vAlign w:val="center"/>
          </w:tcPr>
          <w:p w:rsidR="00A3160D" w:rsidRPr="00A77D25" w:rsidRDefault="00A3160D" w:rsidP="008E31EF">
            <w:pPr>
              <w:widowControl w:val="0"/>
              <w:autoSpaceDE w:val="0"/>
              <w:autoSpaceDN w:val="0"/>
              <w:adjustRightInd w:val="0"/>
              <w:spacing w:after="0"/>
              <w:jc w:val="center"/>
              <w:rPr>
                <w:rFonts w:ascii="Times New Roman" w:hAnsi="Times New Roman"/>
                <w:sz w:val="20"/>
                <w:szCs w:val="20"/>
              </w:rPr>
            </w:pPr>
            <w:r w:rsidRPr="00A77D25">
              <w:rPr>
                <w:rFonts w:ascii="Times New Roman" w:hAnsi="Times New Roman"/>
                <w:sz w:val="20"/>
                <w:szCs w:val="20"/>
              </w:rPr>
              <w:t>15415649,93</w:t>
            </w:r>
          </w:p>
        </w:tc>
      </w:tr>
      <w:tr w:rsidR="00A3160D" w:rsidRPr="00635CB8" w:rsidTr="008E31EF">
        <w:trPr>
          <w:trHeight w:val="460"/>
        </w:trPr>
        <w:tc>
          <w:tcPr>
            <w:tcW w:w="4395" w:type="dxa"/>
            <w:tcBorders>
              <w:top w:val="single" w:sz="4" w:space="0" w:color="auto"/>
              <w:left w:val="single" w:sz="4" w:space="0" w:color="auto"/>
              <w:bottom w:val="single" w:sz="4" w:space="0" w:color="auto"/>
              <w:right w:val="single" w:sz="4" w:space="0" w:color="auto"/>
            </w:tcBorders>
            <w:vAlign w:val="center"/>
            <w:hideMark/>
          </w:tcPr>
          <w:p w:rsidR="00A3160D" w:rsidRPr="00635CB8" w:rsidRDefault="00A3160D" w:rsidP="008E31EF">
            <w:pPr>
              <w:widowControl w:val="0"/>
              <w:autoSpaceDE w:val="0"/>
              <w:autoSpaceDN w:val="0"/>
              <w:adjustRightInd w:val="0"/>
              <w:spacing w:after="0" w:line="240" w:lineRule="auto"/>
              <w:rPr>
                <w:rFonts w:ascii="Times New Roman" w:hAnsi="Times New Roman"/>
                <w:sz w:val="20"/>
                <w:szCs w:val="20"/>
              </w:rPr>
            </w:pPr>
            <w:r w:rsidRPr="00635CB8">
              <w:rPr>
                <w:rFonts w:ascii="Times New Roman" w:hAnsi="Times New Roman"/>
                <w:sz w:val="20"/>
                <w:szCs w:val="20"/>
              </w:rPr>
              <w:t>Působnost stavebního úřadu</w:t>
            </w:r>
          </w:p>
        </w:tc>
        <w:tc>
          <w:tcPr>
            <w:tcW w:w="2268" w:type="dxa"/>
            <w:tcBorders>
              <w:top w:val="single" w:sz="4" w:space="0" w:color="auto"/>
              <w:left w:val="single" w:sz="4" w:space="0" w:color="auto"/>
              <w:bottom w:val="single" w:sz="4" w:space="0" w:color="auto"/>
              <w:right w:val="single" w:sz="4" w:space="0" w:color="auto"/>
            </w:tcBorders>
            <w:vAlign w:val="center"/>
          </w:tcPr>
          <w:p w:rsidR="00A3160D" w:rsidRPr="00A77D25" w:rsidRDefault="00A3160D" w:rsidP="008E31EF">
            <w:pPr>
              <w:widowControl w:val="0"/>
              <w:autoSpaceDE w:val="0"/>
              <w:autoSpaceDN w:val="0"/>
              <w:adjustRightInd w:val="0"/>
              <w:spacing w:after="0"/>
              <w:jc w:val="center"/>
              <w:rPr>
                <w:rFonts w:ascii="Times New Roman" w:hAnsi="Times New Roman"/>
                <w:sz w:val="20"/>
                <w:szCs w:val="20"/>
              </w:rPr>
            </w:pPr>
            <w:r w:rsidRPr="00A77D25">
              <w:rPr>
                <w:rFonts w:ascii="Times New Roman" w:hAnsi="Times New Roman"/>
                <w:sz w:val="20"/>
                <w:szCs w:val="20"/>
              </w:rPr>
              <w:t>64,48822021</w:t>
            </w:r>
          </w:p>
        </w:tc>
        <w:tc>
          <w:tcPr>
            <w:tcW w:w="2409" w:type="dxa"/>
            <w:tcBorders>
              <w:top w:val="single" w:sz="4" w:space="0" w:color="auto"/>
              <w:left w:val="single" w:sz="4" w:space="0" w:color="auto"/>
              <w:bottom w:val="single" w:sz="4" w:space="0" w:color="auto"/>
              <w:right w:val="single" w:sz="4" w:space="0" w:color="auto"/>
            </w:tcBorders>
            <w:vAlign w:val="center"/>
          </w:tcPr>
          <w:p w:rsidR="00A3160D" w:rsidRPr="00A77D25" w:rsidRDefault="00A3160D" w:rsidP="008E31EF">
            <w:pPr>
              <w:widowControl w:val="0"/>
              <w:autoSpaceDE w:val="0"/>
              <w:autoSpaceDN w:val="0"/>
              <w:adjustRightInd w:val="0"/>
              <w:spacing w:after="0"/>
              <w:jc w:val="center"/>
              <w:rPr>
                <w:rFonts w:ascii="Times New Roman" w:hAnsi="Times New Roman"/>
                <w:sz w:val="20"/>
                <w:szCs w:val="20"/>
              </w:rPr>
            </w:pPr>
            <w:r w:rsidRPr="00A77D25">
              <w:rPr>
                <w:rFonts w:ascii="Times New Roman" w:hAnsi="Times New Roman"/>
                <w:sz w:val="20"/>
                <w:szCs w:val="20"/>
              </w:rPr>
              <w:t>13651966,35</w:t>
            </w:r>
          </w:p>
        </w:tc>
      </w:tr>
      <w:tr w:rsidR="00A3160D" w:rsidRPr="00635CB8" w:rsidTr="008E31EF">
        <w:trPr>
          <w:trHeight w:val="460"/>
        </w:trPr>
        <w:tc>
          <w:tcPr>
            <w:tcW w:w="4395" w:type="dxa"/>
            <w:tcBorders>
              <w:top w:val="single" w:sz="4" w:space="0" w:color="auto"/>
              <w:left w:val="single" w:sz="4" w:space="0" w:color="auto"/>
              <w:bottom w:val="single" w:sz="4" w:space="0" w:color="auto"/>
              <w:right w:val="single" w:sz="4" w:space="0" w:color="auto"/>
            </w:tcBorders>
            <w:vAlign w:val="center"/>
            <w:hideMark/>
          </w:tcPr>
          <w:p w:rsidR="00A3160D" w:rsidRPr="00635CB8" w:rsidRDefault="00A3160D" w:rsidP="008E31EF">
            <w:pPr>
              <w:widowControl w:val="0"/>
              <w:autoSpaceDE w:val="0"/>
              <w:autoSpaceDN w:val="0"/>
              <w:adjustRightInd w:val="0"/>
              <w:spacing w:after="0" w:line="240" w:lineRule="auto"/>
              <w:rPr>
                <w:rFonts w:ascii="Times New Roman" w:hAnsi="Times New Roman"/>
                <w:sz w:val="20"/>
                <w:szCs w:val="20"/>
              </w:rPr>
            </w:pPr>
            <w:r w:rsidRPr="00635CB8">
              <w:rPr>
                <w:rFonts w:ascii="Times New Roman" w:hAnsi="Times New Roman"/>
                <w:sz w:val="20"/>
                <w:szCs w:val="20"/>
              </w:rPr>
              <w:t>Působnost pověřeného obecního úřadu</w:t>
            </w:r>
          </w:p>
        </w:tc>
        <w:tc>
          <w:tcPr>
            <w:tcW w:w="2268" w:type="dxa"/>
            <w:tcBorders>
              <w:top w:val="single" w:sz="4" w:space="0" w:color="auto"/>
              <w:left w:val="single" w:sz="4" w:space="0" w:color="auto"/>
              <w:bottom w:val="single" w:sz="4" w:space="0" w:color="auto"/>
              <w:right w:val="single" w:sz="4" w:space="0" w:color="auto"/>
            </w:tcBorders>
            <w:vAlign w:val="center"/>
          </w:tcPr>
          <w:p w:rsidR="00A3160D" w:rsidRPr="00A77D25" w:rsidRDefault="00A3160D" w:rsidP="008E31EF">
            <w:pPr>
              <w:widowControl w:val="0"/>
              <w:autoSpaceDE w:val="0"/>
              <w:autoSpaceDN w:val="0"/>
              <w:adjustRightInd w:val="0"/>
              <w:spacing w:after="0"/>
              <w:jc w:val="center"/>
              <w:rPr>
                <w:rFonts w:ascii="Times New Roman" w:hAnsi="Times New Roman"/>
                <w:sz w:val="20"/>
                <w:szCs w:val="20"/>
              </w:rPr>
            </w:pPr>
            <w:r w:rsidRPr="00A77D25">
              <w:rPr>
                <w:rFonts w:ascii="Times New Roman" w:hAnsi="Times New Roman"/>
                <w:sz w:val="20"/>
                <w:szCs w:val="20"/>
              </w:rPr>
              <w:t>252,8424683</w:t>
            </w:r>
          </w:p>
        </w:tc>
        <w:tc>
          <w:tcPr>
            <w:tcW w:w="2409" w:type="dxa"/>
            <w:tcBorders>
              <w:top w:val="single" w:sz="4" w:space="0" w:color="auto"/>
              <w:left w:val="single" w:sz="4" w:space="0" w:color="auto"/>
              <w:bottom w:val="single" w:sz="4" w:space="0" w:color="auto"/>
              <w:right w:val="single" w:sz="4" w:space="0" w:color="auto"/>
            </w:tcBorders>
            <w:vAlign w:val="center"/>
          </w:tcPr>
          <w:p w:rsidR="00A3160D" w:rsidRPr="00A77D25" w:rsidRDefault="00A3160D" w:rsidP="008E31EF">
            <w:pPr>
              <w:widowControl w:val="0"/>
              <w:autoSpaceDE w:val="0"/>
              <w:autoSpaceDN w:val="0"/>
              <w:adjustRightInd w:val="0"/>
              <w:spacing w:after="0"/>
              <w:jc w:val="center"/>
              <w:rPr>
                <w:rFonts w:ascii="Times New Roman" w:hAnsi="Times New Roman"/>
                <w:sz w:val="20"/>
                <w:szCs w:val="20"/>
              </w:rPr>
            </w:pPr>
            <w:r w:rsidRPr="00A77D25">
              <w:rPr>
                <w:rFonts w:ascii="Times New Roman" w:hAnsi="Times New Roman"/>
                <w:sz w:val="20"/>
                <w:szCs w:val="20"/>
              </w:rPr>
              <w:t>27427070,52</w:t>
            </w:r>
          </w:p>
        </w:tc>
      </w:tr>
    </w:tbl>
    <w:p w:rsidR="00A3160D" w:rsidRPr="00635CB8" w:rsidRDefault="00A3160D" w:rsidP="00A3160D">
      <w:pPr>
        <w:widowControl w:val="0"/>
        <w:autoSpaceDE w:val="0"/>
        <w:autoSpaceDN w:val="0"/>
        <w:adjustRightInd w:val="0"/>
        <w:spacing w:after="0" w:line="240" w:lineRule="auto"/>
        <w:jc w:val="both"/>
        <w:rPr>
          <w:rFonts w:ascii="Times New Roman" w:hAnsi="Times New Roman"/>
          <w:sz w:val="20"/>
          <w:szCs w:val="20"/>
        </w:rPr>
      </w:pPr>
    </w:p>
    <w:p w:rsidR="00A3160D" w:rsidRPr="00635CB8" w:rsidRDefault="00A3160D" w:rsidP="00A3160D">
      <w:pPr>
        <w:widowControl w:val="0"/>
        <w:autoSpaceDE w:val="0"/>
        <w:autoSpaceDN w:val="0"/>
        <w:adjustRightInd w:val="0"/>
        <w:spacing w:after="0" w:line="240" w:lineRule="auto"/>
        <w:jc w:val="both"/>
        <w:rPr>
          <w:rFonts w:ascii="Times New Roman" w:hAnsi="Times New Roman"/>
          <w:i/>
          <w:sz w:val="20"/>
          <w:szCs w:val="20"/>
        </w:rPr>
      </w:pPr>
      <w:r w:rsidRPr="00635CB8">
        <w:rPr>
          <w:rFonts w:ascii="Times New Roman" w:hAnsi="Times New Roman"/>
          <w:i/>
          <w:sz w:val="20"/>
          <w:szCs w:val="20"/>
          <w:vertAlign w:val="superscript"/>
        </w:rPr>
        <w:t>1)</w:t>
      </w:r>
      <w:r w:rsidRPr="00635CB8">
        <w:rPr>
          <w:rFonts w:ascii="Times New Roman" w:hAnsi="Times New Roman"/>
          <w:i/>
          <w:sz w:val="20"/>
          <w:szCs w:val="20"/>
        </w:rPr>
        <w:t xml:space="preserve"> </w:t>
      </w:r>
      <w:hyperlink r:id="rId9" w:history="1">
        <w:r w:rsidRPr="00635CB8">
          <w:rPr>
            <w:rFonts w:ascii="Times New Roman" w:hAnsi="Times New Roman"/>
            <w:i/>
            <w:sz w:val="20"/>
            <w:szCs w:val="20"/>
            <w:u w:val="single"/>
          </w:rPr>
          <w:t>§ 62 zákona č. 128/2000 Sb.</w:t>
        </w:r>
      </w:hyperlink>
      <w:r w:rsidRPr="00635CB8">
        <w:rPr>
          <w:rFonts w:ascii="Times New Roman" w:hAnsi="Times New Roman"/>
          <w:i/>
          <w:sz w:val="20"/>
          <w:szCs w:val="20"/>
        </w:rPr>
        <w:t>, o obcích (obecní zřízení</w:t>
      </w:r>
      <w:r w:rsidR="00D26773">
        <w:rPr>
          <w:rFonts w:ascii="Times New Roman" w:hAnsi="Times New Roman"/>
          <w:i/>
          <w:sz w:val="20"/>
          <w:szCs w:val="20"/>
        </w:rPr>
        <w:t>).</w:t>
      </w:r>
      <w:r w:rsidRPr="00635CB8">
        <w:rPr>
          <w:rFonts w:ascii="Times New Roman" w:hAnsi="Times New Roman"/>
          <w:i/>
          <w:sz w:val="20"/>
          <w:szCs w:val="20"/>
        </w:rPr>
        <w:t xml:space="preserve"> </w:t>
      </w:r>
    </w:p>
    <w:p w:rsidR="00A3160D" w:rsidRPr="00A77D25" w:rsidRDefault="00A3160D" w:rsidP="00A3160D">
      <w:pPr>
        <w:widowControl w:val="0"/>
        <w:autoSpaceDE w:val="0"/>
        <w:autoSpaceDN w:val="0"/>
        <w:adjustRightInd w:val="0"/>
        <w:spacing w:after="0" w:line="240" w:lineRule="auto"/>
        <w:jc w:val="both"/>
        <w:rPr>
          <w:rFonts w:ascii="Times New Roman" w:hAnsi="Times New Roman"/>
          <w:i/>
          <w:sz w:val="20"/>
          <w:szCs w:val="20"/>
        </w:rPr>
      </w:pPr>
      <w:r w:rsidRPr="00635CB8">
        <w:rPr>
          <w:rFonts w:ascii="Times New Roman" w:hAnsi="Times New Roman"/>
          <w:i/>
          <w:sz w:val="20"/>
          <w:szCs w:val="20"/>
          <w:vertAlign w:val="superscript"/>
        </w:rPr>
        <w:t>2)</w:t>
      </w:r>
      <w:r w:rsidRPr="00635CB8">
        <w:rPr>
          <w:rFonts w:ascii="Times New Roman" w:hAnsi="Times New Roman"/>
          <w:i/>
          <w:sz w:val="20"/>
          <w:szCs w:val="20"/>
        </w:rPr>
        <w:t xml:space="preserve"> </w:t>
      </w:r>
      <w:r w:rsidRPr="00A77D25">
        <w:rPr>
          <w:rFonts w:ascii="Times New Roman" w:hAnsi="Times New Roman"/>
          <w:i/>
          <w:sz w:val="20"/>
          <w:szCs w:val="20"/>
        </w:rPr>
        <w:t xml:space="preserve">Do vzorce se dosazuje počet obyvatel správního obvodu vyjádřený v tisících. U základní působnosti, kde správní obvod je menší než 300 obyvatel, je pro účely výpočtu příspěvku podle vzorce stanoven správní obvod na 300 obyvatel. </w:t>
      </w:r>
    </w:p>
    <w:p w:rsidR="00A3160D" w:rsidRPr="000F5B3A" w:rsidRDefault="00A3160D" w:rsidP="00A3160D">
      <w:pPr>
        <w:widowControl w:val="0"/>
        <w:autoSpaceDE w:val="0"/>
        <w:autoSpaceDN w:val="0"/>
        <w:adjustRightInd w:val="0"/>
        <w:spacing w:after="0" w:line="240" w:lineRule="auto"/>
        <w:jc w:val="both"/>
        <w:rPr>
          <w:rFonts w:ascii="Times New Roman" w:hAnsi="Times New Roman"/>
          <w:i/>
          <w:sz w:val="20"/>
          <w:szCs w:val="20"/>
        </w:rPr>
      </w:pPr>
      <w:r w:rsidRPr="000F5B3A">
        <w:rPr>
          <w:rFonts w:ascii="Times New Roman" w:hAnsi="Times New Roman"/>
          <w:i/>
          <w:sz w:val="20"/>
          <w:szCs w:val="20"/>
          <w:vertAlign w:val="superscript"/>
        </w:rPr>
        <w:t>3)</w:t>
      </w:r>
      <w:r w:rsidRPr="000F5B3A">
        <w:rPr>
          <w:rFonts w:ascii="Times New Roman" w:hAnsi="Times New Roman"/>
          <w:i/>
          <w:sz w:val="20"/>
          <w:szCs w:val="20"/>
        </w:rPr>
        <w:t xml:space="preserve"> Příspěvky se podle rozsahu působnosti obce sčítají. </w:t>
      </w:r>
    </w:p>
    <w:p w:rsidR="00A3160D" w:rsidRPr="000F5B3A" w:rsidRDefault="00A3160D" w:rsidP="00A3160D">
      <w:pPr>
        <w:widowControl w:val="0"/>
        <w:autoSpaceDE w:val="0"/>
        <w:autoSpaceDN w:val="0"/>
        <w:adjustRightInd w:val="0"/>
        <w:spacing w:after="0" w:line="240" w:lineRule="auto"/>
        <w:jc w:val="both"/>
        <w:rPr>
          <w:rFonts w:ascii="Times New Roman" w:hAnsi="Times New Roman"/>
          <w:i/>
          <w:sz w:val="20"/>
          <w:szCs w:val="20"/>
        </w:rPr>
      </w:pPr>
      <w:r w:rsidRPr="000F5B3A">
        <w:rPr>
          <w:rFonts w:ascii="Times New Roman" w:hAnsi="Times New Roman"/>
          <w:i/>
          <w:sz w:val="20"/>
          <w:szCs w:val="20"/>
          <w:vertAlign w:val="superscript"/>
        </w:rPr>
        <w:t>4)</w:t>
      </w:r>
      <w:r w:rsidRPr="000F5B3A">
        <w:rPr>
          <w:rFonts w:ascii="Times New Roman" w:hAnsi="Times New Roman"/>
          <w:i/>
          <w:sz w:val="20"/>
          <w:szCs w:val="20"/>
        </w:rPr>
        <w:t xml:space="preserve"> Pro rok 20</w:t>
      </w:r>
      <w:r>
        <w:rPr>
          <w:rFonts w:ascii="Times New Roman" w:hAnsi="Times New Roman"/>
          <w:i/>
          <w:sz w:val="20"/>
          <w:szCs w:val="20"/>
        </w:rPr>
        <w:t>20</w:t>
      </w:r>
      <w:r w:rsidRPr="000F5B3A">
        <w:rPr>
          <w:rFonts w:ascii="Times New Roman" w:hAnsi="Times New Roman"/>
          <w:i/>
          <w:sz w:val="20"/>
          <w:szCs w:val="20"/>
        </w:rPr>
        <w:t xml:space="preserve"> byl celkový objem příspěvku</w:t>
      </w:r>
      <w:r>
        <w:rPr>
          <w:rFonts w:ascii="Times New Roman" w:hAnsi="Times New Roman"/>
          <w:i/>
          <w:sz w:val="20"/>
          <w:szCs w:val="20"/>
        </w:rPr>
        <w:t xml:space="preserve"> valorizován o 4,64 </w:t>
      </w:r>
      <w:r w:rsidRPr="000F5B3A">
        <w:rPr>
          <w:rFonts w:ascii="Times New Roman" w:hAnsi="Times New Roman"/>
          <w:i/>
          <w:sz w:val="20"/>
          <w:szCs w:val="20"/>
        </w:rPr>
        <w:t>%</w:t>
      </w:r>
      <w:r>
        <w:rPr>
          <w:rFonts w:ascii="Times New Roman" w:hAnsi="Times New Roman"/>
          <w:i/>
          <w:sz w:val="20"/>
          <w:szCs w:val="20"/>
        </w:rPr>
        <w:t xml:space="preserve"> dle jednotlivých působností, vyjma matriční působnosti</w:t>
      </w:r>
      <w:r w:rsidRPr="000F5B3A">
        <w:rPr>
          <w:rFonts w:ascii="Times New Roman" w:hAnsi="Times New Roman"/>
          <w:i/>
          <w:sz w:val="20"/>
          <w:szCs w:val="20"/>
        </w:rPr>
        <w:t xml:space="preserve">. Zohledněna byla </w:t>
      </w:r>
      <w:r>
        <w:rPr>
          <w:rFonts w:ascii="Times New Roman" w:hAnsi="Times New Roman"/>
          <w:i/>
          <w:sz w:val="20"/>
          <w:szCs w:val="20"/>
        </w:rPr>
        <w:t>i  </w:t>
      </w:r>
      <w:r w:rsidRPr="000F5B3A">
        <w:rPr>
          <w:rFonts w:ascii="Times New Roman" w:hAnsi="Times New Roman"/>
          <w:i/>
          <w:sz w:val="20"/>
          <w:szCs w:val="20"/>
        </w:rPr>
        <w:t xml:space="preserve">meziroční změna počtu obyvatel. </w:t>
      </w:r>
      <w:r>
        <w:rPr>
          <w:rFonts w:ascii="Times New Roman" w:hAnsi="Times New Roman"/>
          <w:i/>
          <w:sz w:val="20"/>
          <w:szCs w:val="20"/>
        </w:rPr>
        <w:t xml:space="preserve"> </w:t>
      </w:r>
    </w:p>
    <w:p w:rsidR="00A3160D" w:rsidRPr="00635CB8" w:rsidRDefault="00A3160D" w:rsidP="00A3160D">
      <w:pPr>
        <w:widowControl w:val="0"/>
        <w:autoSpaceDE w:val="0"/>
        <w:autoSpaceDN w:val="0"/>
        <w:adjustRightInd w:val="0"/>
        <w:spacing w:after="0" w:line="240" w:lineRule="auto"/>
        <w:jc w:val="both"/>
        <w:rPr>
          <w:rFonts w:ascii="Times New Roman" w:hAnsi="Times New Roman"/>
          <w:i/>
          <w:sz w:val="20"/>
          <w:szCs w:val="20"/>
        </w:rPr>
      </w:pPr>
      <w:r w:rsidRPr="000F5B3A">
        <w:rPr>
          <w:rFonts w:ascii="Times New Roman" w:hAnsi="Times New Roman"/>
          <w:i/>
          <w:sz w:val="20"/>
          <w:szCs w:val="20"/>
          <w:vertAlign w:val="superscript"/>
        </w:rPr>
        <w:t>5)</w:t>
      </w:r>
      <w:r w:rsidRPr="000F5B3A">
        <w:rPr>
          <w:rFonts w:ascii="Times New Roman" w:hAnsi="Times New Roman"/>
          <w:i/>
          <w:sz w:val="20"/>
          <w:szCs w:val="20"/>
        </w:rPr>
        <w:t xml:space="preserve"> </w:t>
      </w:r>
      <w:r w:rsidRPr="00A77D25">
        <w:rPr>
          <w:rFonts w:ascii="Times New Roman" w:hAnsi="Times New Roman"/>
          <w:i/>
          <w:sz w:val="20"/>
          <w:szCs w:val="20"/>
        </w:rPr>
        <w:t>Velikost správních obvodů je propočtena na počty obyvatel obcí podle bilance obyvatel České republiky k</w:t>
      </w:r>
      <w:r>
        <w:rPr>
          <w:rFonts w:ascii="Times New Roman" w:hAnsi="Times New Roman"/>
          <w:i/>
          <w:sz w:val="20"/>
          <w:szCs w:val="20"/>
        </w:rPr>
        <w:t> </w:t>
      </w:r>
      <w:r w:rsidRPr="00A77D25">
        <w:rPr>
          <w:rFonts w:ascii="Times New Roman" w:hAnsi="Times New Roman"/>
          <w:i/>
          <w:sz w:val="20"/>
          <w:szCs w:val="20"/>
        </w:rPr>
        <w:t>1.</w:t>
      </w:r>
      <w:r>
        <w:rPr>
          <w:rFonts w:ascii="Times New Roman" w:hAnsi="Times New Roman"/>
          <w:i/>
          <w:sz w:val="20"/>
          <w:szCs w:val="20"/>
        </w:rPr>
        <w:t> </w:t>
      </w:r>
      <w:r w:rsidRPr="00A77D25">
        <w:rPr>
          <w:rFonts w:ascii="Times New Roman" w:hAnsi="Times New Roman"/>
          <w:i/>
          <w:sz w:val="20"/>
          <w:szCs w:val="20"/>
        </w:rPr>
        <w:t>1.</w:t>
      </w:r>
      <w:r>
        <w:rPr>
          <w:rFonts w:ascii="Times New Roman" w:hAnsi="Times New Roman"/>
          <w:i/>
          <w:sz w:val="20"/>
          <w:szCs w:val="20"/>
        </w:rPr>
        <w:t> </w:t>
      </w:r>
      <w:r w:rsidRPr="00A77D25">
        <w:rPr>
          <w:rFonts w:ascii="Times New Roman" w:hAnsi="Times New Roman"/>
          <w:i/>
          <w:sz w:val="20"/>
          <w:szCs w:val="20"/>
        </w:rPr>
        <w:t xml:space="preserve">2019 vydané Českým statistickým úřadem, podle vyhlášky </w:t>
      </w:r>
      <w:r w:rsidRPr="00AA733C">
        <w:rPr>
          <w:rFonts w:ascii="Times New Roman" w:hAnsi="Times New Roman"/>
          <w:i/>
          <w:sz w:val="20"/>
          <w:szCs w:val="20"/>
          <w:u w:val="single"/>
        </w:rPr>
        <w:t>č. 388/2002 Sb</w:t>
      </w:r>
      <w:r w:rsidRPr="00A77D25">
        <w:rPr>
          <w:rFonts w:ascii="Times New Roman" w:hAnsi="Times New Roman"/>
          <w:i/>
          <w:sz w:val="20"/>
          <w:szCs w:val="20"/>
        </w:rPr>
        <w:t>., o stanovení správních obvodů obcí</w:t>
      </w:r>
      <w:r>
        <w:rPr>
          <w:rFonts w:ascii="Times New Roman" w:hAnsi="Times New Roman"/>
          <w:i/>
          <w:sz w:val="20"/>
          <w:szCs w:val="20"/>
        </w:rPr>
        <w:t> </w:t>
      </w:r>
      <w:r w:rsidRPr="00A77D25">
        <w:rPr>
          <w:rFonts w:ascii="Times New Roman" w:hAnsi="Times New Roman"/>
          <w:i/>
          <w:sz w:val="20"/>
          <w:szCs w:val="20"/>
        </w:rPr>
        <w:t xml:space="preserve"> s</w:t>
      </w:r>
      <w:r>
        <w:rPr>
          <w:rFonts w:ascii="Times New Roman" w:hAnsi="Times New Roman"/>
          <w:i/>
          <w:sz w:val="20"/>
          <w:szCs w:val="20"/>
        </w:rPr>
        <w:t> </w:t>
      </w:r>
      <w:r w:rsidRPr="00A77D25">
        <w:rPr>
          <w:rFonts w:ascii="Times New Roman" w:hAnsi="Times New Roman"/>
          <w:i/>
          <w:sz w:val="20"/>
          <w:szCs w:val="20"/>
        </w:rPr>
        <w:t>pověřeným obecním úřadem a správních obvodů obcí s rozšířenou působností, ve znění pozdějších předpisů</w:t>
      </w:r>
      <w:r w:rsidR="00D26773">
        <w:rPr>
          <w:rFonts w:ascii="Times New Roman" w:hAnsi="Times New Roman"/>
          <w:i/>
          <w:sz w:val="20"/>
          <w:szCs w:val="20"/>
        </w:rPr>
        <w:t>,</w:t>
      </w:r>
      <w:r w:rsidRPr="00A77D25">
        <w:rPr>
          <w:rFonts w:ascii="Times New Roman" w:hAnsi="Times New Roman"/>
          <w:i/>
          <w:sz w:val="20"/>
          <w:szCs w:val="20"/>
        </w:rPr>
        <w:t xml:space="preserve"> </w:t>
      </w:r>
      <w:r>
        <w:rPr>
          <w:rFonts w:ascii="Times New Roman" w:hAnsi="Times New Roman"/>
          <w:i/>
          <w:sz w:val="20"/>
          <w:szCs w:val="20"/>
        </w:rPr>
        <w:t> </w:t>
      </w:r>
      <w:r w:rsidRPr="00A77D25">
        <w:rPr>
          <w:rFonts w:ascii="Times New Roman" w:hAnsi="Times New Roman"/>
          <w:i/>
          <w:sz w:val="20"/>
          <w:szCs w:val="20"/>
        </w:rPr>
        <w:t xml:space="preserve">a vyhlášky </w:t>
      </w:r>
      <w:r w:rsidRPr="00A77D25">
        <w:rPr>
          <w:rFonts w:ascii="Times New Roman" w:hAnsi="Times New Roman"/>
          <w:i/>
          <w:sz w:val="20"/>
          <w:szCs w:val="20"/>
          <w:u w:val="single"/>
        </w:rPr>
        <w:t>č. 207/2001 Sb</w:t>
      </w:r>
      <w:r w:rsidRPr="00A77D25">
        <w:rPr>
          <w:rFonts w:ascii="Times New Roman" w:hAnsi="Times New Roman"/>
          <w:i/>
          <w:sz w:val="20"/>
          <w:szCs w:val="20"/>
        </w:rPr>
        <w:t>., kterou se provádí zákon č</w:t>
      </w:r>
      <w:r w:rsidRPr="00A77D25">
        <w:rPr>
          <w:rFonts w:ascii="Times New Roman" w:hAnsi="Times New Roman"/>
          <w:i/>
          <w:sz w:val="20"/>
          <w:szCs w:val="20"/>
          <w:u w:val="single"/>
        </w:rPr>
        <w:t>. 301/2000 Sb</w:t>
      </w:r>
      <w:r w:rsidRPr="00A77D25">
        <w:rPr>
          <w:rFonts w:ascii="Times New Roman" w:hAnsi="Times New Roman"/>
          <w:i/>
          <w:sz w:val="20"/>
          <w:szCs w:val="20"/>
        </w:rPr>
        <w:t>., o matrikách, jménu a</w:t>
      </w:r>
      <w:r>
        <w:rPr>
          <w:rFonts w:ascii="Times New Roman" w:hAnsi="Times New Roman"/>
          <w:i/>
          <w:sz w:val="20"/>
          <w:szCs w:val="20"/>
        </w:rPr>
        <w:t> </w:t>
      </w:r>
      <w:r w:rsidRPr="00A77D25">
        <w:rPr>
          <w:rFonts w:ascii="Times New Roman" w:hAnsi="Times New Roman"/>
          <w:i/>
          <w:sz w:val="20"/>
          <w:szCs w:val="20"/>
        </w:rPr>
        <w:t>příjmení a</w:t>
      </w:r>
      <w:r>
        <w:rPr>
          <w:rFonts w:ascii="Times New Roman" w:hAnsi="Times New Roman"/>
          <w:i/>
          <w:sz w:val="20"/>
          <w:szCs w:val="20"/>
        </w:rPr>
        <w:t> </w:t>
      </w:r>
      <w:r w:rsidRPr="00A77D25">
        <w:rPr>
          <w:rFonts w:ascii="Times New Roman" w:hAnsi="Times New Roman"/>
          <w:i/>
          <w:sz w:val="20"/>
          <w:szCs w:val="20"/>
        </w:rPr>
        <w:t>o</w:t>
      </w:r>
      <w:r>
        <w:rPr>
          <w:rFonts w:ascii="Times New Roman" w:hAnsi="Times New Roman"/>
          <w:i/>
          <w:sz w:val="20"/>
          <w:szCs w:val="20"/>
        </w:rPr>
        <w:t> </w:t>
      </w:r>
      <w:r w:rsidRPr="00A77D25">
        <w:rPr>
          <w:rFonts w:ascii="Times New Roman" w:hAnsi="Times New Roman"/>
          <w:i/>
          <w:sz w:val="20"/>
          <w:szCs w:val="20"/>
        </w:rPr>
        <w:t>změně některých souvisejících zákonů, ve znění pozdějších předpisů.</w:t>
      </w:r>
    </w:p>
    <w:p w:rsidR="00A3160D" w:rsidRPr="00635CB8" w:rsidRDefault="00A3160D" w:rsidP="00A3160D">
      <w:pPr>
        <w:widowControl w:val="0"/>
        <w:autoSpaceDE w:val="0"/>
        <w:autoSpaceDN w:val="0"/>
        <w:adjustRightInd w:val="0"/>
        <w:spacing w:after="0" w:line="240" w:lineRule="auto"/>
        <w:rPr>
          <w:rFonts w:ascii="Arial" w:hAnsi="Arial" w:cs="Arial"/>
          <w:sz w:val="20"/>
          <w:szCs w:val="20"/>
        </w:rPr>
      </w:pPr>
    </w:p>
    <w:p w:rsidR="00A3160D"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F5B3A">
        <w:rPr>
          <w:rFonts w:ascii="Times New Roman" w:hAnsi="Times New Roman"/>
          <w:sz w:val="20"/>
          <w:szCs w:val="20"/>
        </w:rPr>
        <w:t xml:space="preserve">Celková částka příspěvku zjištěná výše uvedeným propočtem se dle matematických zásad zaokrouhluje na celé stokoruny. </w:t>
      </w:r>
    </w:p>
    <w:p w:rsidR="00D26773" w:rsidRDefault="00D26773" w:rsidP="00A3160D">
      <w:pPr>
        <w:widowControl w:val="0"/>
        <w:autoSpaceDE w:val="0"/>
        <w:autoSpaceDN w:val="0"/>
        <w:adjustRightInd w:val="0"/>
        <w:spacing w:after="0" w:line="240" w:lineRule="auto"/>
        <w:jc w:val="both"/>
        <w:rPr>
          <w:rFonts w:ascii="Times New Roman" w:hAnsi="Times New Roman"/>
          <w:sz w:val="20"/>
          <w:szCs w:val="20"/>
        </w:rPr>
      </w:pPr>
    </w:p>
    <w:p w:rsidR="00D26773" w:rsidRDefault="00D26773" w:rsidP="00A3160D">
      <w:pPr>
        <w:widowControl w:val="0"/>
        <w:autoSpaceDE w:val="0"/>
        <w:autoSpaceDN w:val="0"/>
        <w:adjustRightInd w:val="0"/>
        <w:spacing w:after="0" w:line="240" w:lineRule="auto"/>
        <w:jc w:val="both"/>
        <w:rPr>
          <w:rFonts w:ascii="Times New Roman" w:hAnsi="Times New Roman"/>
          <w:sz w:val="20"/>
          <w:szCs w:val="20"/>
        </w:rPr>
      </w:pPr>
    </w:p>
    <w:p w:rsidR="00A3160D" w:rsidRPr="000F5B3A" w:rsidRDefault="00A3160D" w:rsidP="00A3160D">
      <w:pPr>
        <w:widowControl w:val="0"/>
        <w:autoSpaceDE w:val="0"/>
        <w:autoSpaceDN w:val="0"/>
        <w:adjustRightInd w:val="0"/>
        <w:spacing w:after="0" w:line="240" w:lineRule="auto"/>
        <w:jc w:val="both"/>
        <w:rPr>
          <w:rFonts w:ascii="Times New Roman" w:hAnsi="Times New Roman"/>
          <w:b/>
          <w:bCs/>
          <w:sz w:val="24"/>
          <w:szCs w:val="24"/>
        </w:rPr>
      </w:pPr>
      <w:r w:rsidRPr="000F5B3A">
        <w:rPr>
          <w:rFonts w:ascii="Times New Roman" w:hAnsi="Times New Roman"/>
          <w:b/>
          <w:bCs/>
          <w:sz w:val="24"/>
          <w:szCs w:val="24"/>
        </w:rPr>
        <w:lastRenderedPageBreak/>
        <w:t xml:space="preserve">B) Obce s rozšířenou působností </w:t>
      </w:r>
    </w:p>
    <w:p w:rsidR="00A3160D" w:rsidRPr="000F5B3A" w:rsidRDefault="00A3160D" w:rsidP="00A3160D">
      <w:pPr>
        <w:widowControl w:val="0"/>
        <w:autoSpaceDE w:val="0"/>
        <w:autoSpaceDN w:val="0"/>
        <w:adjustRightInd w:val="0"/>
        <w:spacing w:after="0" w:line="240" w:lineRule="auto"/>
        <w:rPr>
          <w:rFonts w:ascii="Arial" w:hAnsi="Arial" w:cs="Arial"/>
          <w:b/>
          <w:bCs/>
          <w:sz w:val="20"/>
          <w:szCs w:val="20"/>
        </w:rPr>
      </w:pPr>
      <w:r w:rsidRPr="000F5B3A">
        <w:rPr>
          <w:rFonts w:ascii="Arial" w:hAnsi="Arial" w:cs="Arial"/>
          <w:b/>
          <w:bCs/>
          <w:sz w:val="20"/>
          <w:szCs w:val="20"/>
        </w:rPr>
        <w:t xml:space="preserve"> </w:t>
      </w:r>
    </w:p>
    <w:p w:rsidR="00A3160D" w:rsidRPr="000F5B3A" w:rsidRDefault="00A3160D" w:rsidP="00A3160D">
      <w:pPr>
        <w:widowControl w:val="0"/>
        <w:tabs>
          <w:tab w:val="left" w:pos="5670"/>
        </w:tabs>
        <w:overflowPunct w:val="0"/>
        <w:autoSpaceDE w:val="0"/>
        <w:autoSpaceDN w:val="0"/>
        <w:adjustRightInd w:val="0"/>
        <w:spacing w:after="120" w:line="254" w:lineRule="auto"/>
        <w:ind w:right="102"/>
        <w:jc w:val="both"/>
        <w:rPr>
          <w:rFonts w:ascii="Times New Roman" w:hAnsi="Times New Roman"/>
          <w:i/>
          <w:sz w:val="20"/>
          <w:szCs w:val="20"/>
        </w:rPr>
      </w:pPr>
      <w:r w:rsidRPr="00816662">
        <w:rPr>
          <w:rFonts w:ascii="Times New Roman" w:hAnsi="Times New Roman"/>
          <w:sz w:val="20"/>
          <w:szCs w:val="20"/>
        </w:rPr>
        <w:t>Výše příspěvku se stanoví jako součet částek vypočtených podle vzorce 1 a vzorce 2.</w:t>
      </w:r>
      <w:r w:rsidRPr="00816662">
        <w:rPr>
          <w:rFonts w:ascii="Times New Roman" w:hAnsi="Times New Roman"/>
          <w:sz w:val="20"/>
          <w:szCs w:val="20"/>
          <w:vertAlign w:val="superscript"/>
        </w:rPr>
        <w:t>3)6)7)</w:t>
      </w:r>
      <w:r>
        <w:rPr>
          <w:rFonts w:ascii="Times New Roman" w:hAnsi="Times New Roman"/>
          <w:sz w:val="20"/>
          <w:szCs w:val="20"/>
        </w:rPr>
        <w:t xml:space="preserve"> </w:t>
      </w:r>
      <w:r w:rsidRPr="00816662">
        <w:rPr>
          <w:rFonts w:ascii="Times New Roman" w:hAnsi="Times New Roman"/>
          <w:sz w:val="20"/>
          <w:szCs w:val="20"/>
        </w:rPr>
        <w:t xml:space="preserve">Navíc se přičte částka uvedená v </w:t>
      </w:r>
      <w:proofErr w:type="gramStart"/>
      <w:r w:rsidRPr="00816662">
        <w:rPr>
          <w:rFonts w:ascii="Times New Roman" w:hAnsi="Times New Roman"/>
          <w:sz w:val="20"/>
          <w:szCs w:val="20"/>
        </w:rPr>
        <w:t xml:space="preserve">části </w:t>
      </w:r>
      <w:r>
        <w:rPr>
          <w:rFonts w:ascii="Times New Roman" w:hAnsi="Times New Roman"/>
          <w:sz w:val="20"/>
          <w:szCs w:val="20"/>
        </w:rPr>
        <w:t>1.</w:t>
      </w:r>
      <w:r w:rsidRPr="00816662">
        <w:rPr>
          <w:rFonts w:ascii="Times New Roman" w:hAnsi="Times New Roman"/>
          <w:sz w:val="20"/>
          <w:szCs w:val="20"/>
        </w:rPr>
        <w:t xml:space="preserve">F), </w:t>
      </w:r>
      <w:r>
        <w:rPr>
          <w:rFonts w:ascii="Times New Roman" w:hAnsi="Times New Roman"/>
          <w:sz w:val="20"/>
          <w:szCs w:val="20"/>
        </w:rPr>
        <w:t>1.</w:t>
      </w:r>
      <w:r w:rsidRPr="00816662">
        <w:rPr>
          <w:rFonts w:ascii="Times New Roman" w:hAnsi="Times New Roman"/>
          <w:sz w:val="20"/>
          <w:szCs w:val="20"/>
        </w:rPr>
        <w:t xml:space="preserve">G), </w:t>
      </w:r>
      <w:r>
        <w:rPr>
          <w:rFonts w:ascii="Times New Roman" w:hAnsi="Times New Roman"/>
          <w:sz w:val="20"/>
          <w:szCs w:val="20"/>
        </w:rPr>
        <w:t>1.</w:t>
      </w:r>
      <w:r w:rsidRPr="00816662">
        <w:rPr>
          <w:rFonts w:ascii="Times New Roman" w:hAnsi="Times New Roman"/>
          <w:sz w:val="20"/>
          <w:szCs w:val="20"/>
        </w:rPr>
        <w:t xml:space="preserve">H) a </w:t>
      </w:r>
      <w:r>
        <w:rPr>
          <w:rFonts w:ascii="Times New Roman" w:hAnsi="Times New Roman"/>
          <w:sz w:val="20"/>
          <w:szCs w:val="20"/>
        </w:rPr>
        <w:t>1.</w:t>
      </w:r>
      <w:r w:rsidRPr="00816662">
        <w:rPr>
          <w:rFonts w:ascii="Times New Roman" w:hAnsi="Times New Roman"/>
          <w:sz w:val="20"/>
          <w:szCs w:val="20"/>
        </w:rPr>
        <w:t>I) za</w:t>
      </w:r>
      <w:proofErr w:type="gramEnd"/>
      <w:r w:rsidRPr="00816662">
        <w:rPr>
          <w:rFonts w:ascii="Times New Roman" w:hAnsi="Times New Roman"/>
          <w:sz w:val="20"/>
          <w:szCs w:val="20"/>
        </w:rPr>
        <w:t xml:space="preserve"> výkonové složky příspěvku a u některých obcí se přičte i částka uvedená </w:t>
      </w:r>
      <w:r>
        <w:rPr>
          <w:rFonts w:ascii="Times New Roman" w:hAnsi="Times New Roman"/>
          <w:sz w:val="20"/>
          <w:szCs w:val="20"/>
        </w:rPr>
        <w:t> </w:t>
      </w:r>
      <w:r w:rsidRPr="00816662">
        <w:rPr>
          <w:rFonts w:ascii="Times New Roman" w:hAnsi="Times New Roman"/>
          <w:sz w:val="20"/>
          <w:szCs w:val="20"/>
        </w:rPr>
        <w:t xml:space="preserve">v části </w:t>
      </w:r>
      <w:r>
        <w:rPr>
          <w:rFonts w:ascii="Times New Roman" w:hAnsi="Times New Roman"/>
          <w:sz w:val="20"/>
          <w:szCs w:val="20"/>
        </w:rPr>
        <w:t>1.</w:t>
      </w:r>
      <w:r w:rsidRPr="00816662">
        <w:rPr>
          <w:rFonts w:ascii="Times New Roman" w:hAnsi="Times New Roman"/>
          <w:sz w:val="20"/>
          <w:szCs w:val="20"/>
        </w:rPr>
        <w:t>C)</w:t>
      </w:r>
      <w:r w:rsidR="00D26773">
        <w:rPr>
          <w:rFonts w:ascii="Times New Roman" w:hAnsi="Times New Roman"/>
          <w:sz w:val="20"/>
          <w:szCs w:val="20"/>
        </w:rPr>
        <w:t>,</w:t>
      </w:r>
      <w:r w:rsidR="00870883" w:rsidRPr="00870883">
        <w:rPr>
          <w:rFonts w:ascii="Times New Roman" w:hAnsi="Times New Roman"/>
          <w:sz w:val="20"/>
          <w:szCs w:val="20"/>
        </w:rPr>
        <w:t xml:space="preserve"> </w:t>
      </w:r>
      <w:r>
        <w:rPr>
          <w:rFonts w:ascii="Times New Roman" w:hAnsi="Times New Roman"/>
          <w:sz w:val="20"/>
          <w:szCs w:val="20"/>
        </w:rPr>
        <w:t>1.</w:t>
      </w:r>
      <w:r w:rsidRPr="00816662">
        <w:rPr>
          <w:rFonts w:ascii="Times New Roman" w:hAnsi="Times New Roman"/>
          <w:sz w:val="20"/>
          <w:szCs w:val="20"/>
        </w:rPr>
        <w:t>D) a</w:t>
      </w:r>
      <w:r w:rsidR="00C35E1E">
        <w:rPr>
          <w:rFonts w:ascii="Times New Roman" w:hAnsi="Times New Roman"/>
          <w:sz w:val="20"/>
          <w:szCs w:val="20"/>
        </w:rPr>
        <w:t xml:space="preserve"> </w:t>
      </w:r>
      <w:r>
        <w:rPr>
          <w:rFonts w:ascii="Times New Roman" w:hAnsi="Times New Roman"/>
          <w:sz w:val="20"/>
          <w:szCs w:val="20"/>
        </w:rPr>
        <w:t>1.</w:t>
      </w:r>
      <w:r w:rsidRPr="00816662">
        <w:rPr>
          <w:rFonts w:ascii="Times New Roman" w:hAnsi="Times New Roman"/>
          <w:sz w:val="20"/>
          <w:szCs w:val="20"/>
        </w:rPr>
        <w:t>E).</w:t>
      </w:r>
    </w:p>
    <w:p w:rsidR="00A3160D" w:rsidRDefault="00A3160D" w:rsidP="00A3160D">
      <w:pPr>
        <w:widowControl w:val="0"/>
        <w:tabs>
          <w:tab w:val="left" w:pos="5670"/>
        </w:tabs>
        <w:overflowPunct w:val="0"/>
        <w:autoSpaceDE w:val="0"/>
        <w:autoSpaceDN w:val="0"/>
        <w:adjustRightInd w:val="0"/>
        <w:spacing w:after="120" w:line="254" w:lineRule="auto"/>
        <w:ind w:right="102" w:firstLine="284"/>
        <w:jc w:val="both"/>
        <w:rPr>
          <w:rFonts w:ascii="Times New Roman" w:hAnsi="Times New Roman"/>
          <w:i/>
          <w:sz w:val="20"/>
          <w:szCs w:val="20"/>
        </w:rPr>
        <w:sectPr w:rsidR="00A3160D" w:rsidSect="005B2141">
          <w:headerReference w:type="default" r:id="rId10"/>
          <w:footerReference w:type="default" r:id="rId11"/>
          <w:headerReference w:type="first" r:id="rId12"/>
          <w:pgSz w:w="11907" w:h="16840" w:code="9"/>
          <w:pgMar w:top="1418" w:right="1418" w:bottom="1418" w:left="1418" w:header="709" w:footer="709" w:gutter="0"/>
          <w:pgNumType w:start="67"/>
          <w:cols w:space="708"/>
          <w:noEndnote/>
          <w:docGrid w:linePitch="299"/>
        </w:sectPr>
      </w:pPr>
    </w:p>
    <w:p w:rsidR="00A3160D" w:rsidRPr="000F5B3A" w:rsidRDefault="00A3160D" w:rsidP="00A3160D">
      <w:pPr>
        <w:widowControl w:val="0"/>
        <w:tabs>
          <w:tab w:val="left" w:pos="5670"/>
        </w:tabs>
        <w:overflowPunct w:val="0"/>
        <w:autoSpaceDE w:val="0"/>
        <w:autoSpaceDN w:val="0"/>
        <w:adjustRightInd w:val="0"/>
        <w:spacing w:after="120" w:line="254" w:lineRule="auto"/>
        <w:ind w:right="102" w:firstLine="284"/>
        <w:jc w:val="both"/>
        <w:rPr>
          <w:rFonts w:ascii="Times New Roman" w:hAnsi="Times New Roman"/>
          <w:i/>
          <w:sz w:val="20"/>
          <w:szCs w:val="20"/>
        </w:rPr>
      </w:pPr>
      <w:r w:rsidRPr="000F5B3A">
        <w:rPr>
          <w:rFonts w:ascii="Times New Roman" w:hAnsi="Times New Roman"/>
          <w:i/>
          <w:sz w:val="20"/>
          <w:szCs w:val="20"/>
        </w:rPr>
        <w:lastRenderedPageBreak/>
        <w:t xml:space="preserve">Vzorec 1: </w:t>
      </w:r>
      <w:r w:rsidRPr="000F5B3A">
        <w:rPr>
          <w:rFonts w:ascii="Times New Roman" w:hAnsi="Times New Roman"/>
          <w:i/>
          <w:sz w:val="20"/>
          <w:szCs w:val="20"/>
        </w:rPr>
        <w:tab/>
      </w:r>
    </w:p>
    <w:p w:rsidR="00A3160D" w:rsidRPr="00816662" w:rsidRDefault="00A3160D" w:rsidP="00A3160D">
      <w:pPr>
        <w:widowControl w:val="0"/>
        <w:tabs>
          <w:tab w:val="left" w:pos="5670"/>
        </w:tabs>
        <w:overflowPunct w:val="0"/>
        <w:autoSpaceDE w:val="0"/>
        <w:autoSpaceDN w:val="0"/>
        <w:adjustRightInd w:val="0"/>
        <w:spacing w:after="0" w:line="255" w:lineRule="auto"/>
        <w:ind w:right="100" w:firstLine="284"/>
        <w:jc w:val="both"/>
        <w:rPr>
          <w:rFonts w:ascii="Times New Roman" w:hAnsi="Times New Roman"/>
          <w:i/>
          <w:sz w:val="20"/>
          <w:szCs w:val="20"/>
        </w:rPr>
      </w:pPr>
      <w:r w:rsidRPr="00816662">
        <w:rPr>
          <w:rFonts w:ascii="Times New Roman" w:hAnsi="Times New Roman"/>
          <w:i/>
          <w:sz w:val="20"/>
          <w:szCs w:val="20"/>
        </w:rPr>
        <w:t xml:space="preserve">            </w:t>
      </w:r>
      <w:r>
        <w:rPr>
          <w:rFonts w:ascii="Times New Roman" w:hAnsi="Times New Roman"/>
          <w:i/>
          <w:sz w:val="20"/>
          <w:szCs w:val="20"/>
        </w:rPr>
        <w:t xml:space="preserve">       </w:t>
      </w:r>
      <w:r w:rsidRPr="00816662">
        <w:rPr>
          <w:rFonts w:ascii="Times New Roman" w:hAnsi="Times New Roman"/>
          <w:i/>
          <w:sz w:val="20"/>
          <w:szCs w:val="20"/>
        </w:rPr>
        <w:t xml:space="preserve"> B</w:t>
      </w:r>
    </w:p>
    <w:p w:rsidR="00A3160D" w:rsidRPr="00816662" w:rsidRDefault="00A3160D" w:rsidP="00A3160D">
      <w:pPr>
        <w:widowControl w:val="0"/>
        <w:tabs>
          <w:tab w:val="left" w:pos="5670"/>
        </w:tabs>
        <w:overflowPunct w:val="0"/>
        <w:autoSpaceDE w:val="0"/>
        <w:autoSpaceDN w:val="0"/>
        <w:adjustRightInd w:val="0"/>
        <w:spacing w:after="0" w:line="255" w:lineRule="auto"/>
        <w:ind w:right="100" w:firstLine="284"/>
        <w:jc w:val="both"/>
        <w:rPr>
          <w:rFonts w:ascii="Times New Roman" w:hAnsi="Times New Roman"/>
          <w:i/>
          <w:sz w:val="20"/>
          <w:szCs w:val="20"/>
        </w:rPr>
      </w:pPr>
      <w:r w:rsidRPr="00816662">
        <w:rPr>
          <w:rFonts w:ascii="Times New Roman" w:hAnsi="Times New Roman"/>
          <w:i/>
          <w:sz w:val="20"/>
          <w:szCs w:val="20"/>
        </w:rPr>
        <w:t>P</w:t>
      </w:r>
      <w:r w:rsidRPr="00236ED1">
        <w:rPr>
          <w:rFonts w:ascii="Times New Roman" w:hAnsi="Times New Roman"/>
          <w:i/>
          <w:sz w:val="20"/>
          <w:szCs w:val="20"/>
          <w:vertAlign w:val="subscript"/>
        </w:rPr>
        <w:t>1</w:t>
      </w:r>
      <w:r w:rsidRPr="00816662">
        <w:rPr>
          <w:rFonts w:ascii="Times New Roman" w:hAnsi="Times New Roman"/>
          <w:i/>
          <w:sz w:val="20"/>
          <w:szCs w:val="20"/>
        </w:rPr>
        <w:t xml:space="preserve"> = -----------------</w:t>
      </w:r>
      <w:r>
        <w:rPr>
          <w:rFonts w:ascii="Times New Roman" w:hAnsi="Times New Roman"/>
          <w:i/>
          <w:sz w:val="20"/>
          <w:szCs w:val="20"/>
        </w:rPr>
        <w:t xml:space="preserve">-------- </w:t>
      </w:r>
      <w:r w:rsidRPr="00816662">
        <w:rPr>
          <w:rFonts w:ascii="Times New Roman" w:hAnsi="Times New Roman"/>
          <w:i/>
          <w:sz w:val="20"/>
          <w:szCs w:val="20"/>
        </w:rPr>
        <w:t>x SO</w:t>
      </w:r>
      <w:r>
        <w:rPr>
          <w:rFonts w:ascii="Times New Roman" w:hAnsi="Times New Roman"/>
          <w:i/>
          <w:sz w:val="20"/>
          <w:szCs w:val="20"/>
        </w:rPr>
        <w:tab/>
      </w:r>
    </w:p>
    <w:p w:rsidR="00A3160D" w:rsidRPr="00816662" w:rsidRDefault="00A3160D" w:rsidP="00A3160D">
      <w:pPr>
        <w:widowControl w:val="0"/>
        <w:tabs>
          <w:tab w:val="left" w:pos="5670"/>
        </w:tabs>
        <w:overflowPunct w:val="0"/>
        <w:autoSpaceDE w:val="0"/>
        <w:autoSpaceDN w:val="0"/>
        <w:adjustRightInd w:val="0"/>
        <w:spacing w:after="0" w:line="255" w:lineRule="auto"/>
        <w:ind w:right="100" w:firstLine="284"/>
        <w:jc w:val="both"/>
        <w:rPr>
          <w:rFonts w:ascii="Times New Roman" w:hAnsi="Times New Roman"/>
          <w:i/>
          <w:sz w:val="20"/>
          <w:szCs w:val="20"/>
        </w:rPr>
      </w:pPr>
      <w:r w:rsidRPr="00816662">
        <w:rPr>
          <w:rFonts w:ascii="Times New Roman" w:hAnsi="Times New Roman"/>
          <w:i/>
          <w:sz w:val="20"/>
          <w:szCs w:val="20"/>
        </w:rPr>
        <w:t xml:space="preserve">    </w:t>
      </w:r>
      <w:r>
        <w:rPr>
          <w:rFonts w:ascii="Times New Roman" w:hAnsi="Times New Roman"/>
          <w:i/>
          <w:sz w:val="20"/>
          <w:szCs w:val="20"/>
        </w:rPr>
        <w:t xml:space="preserve">   </w:t>
      </w:r>
      <w:r w:rsidRPr="00816662">
        <w:rPr>
          <w:rFonts w:ascii="Times New Roman" w:hAnsi="Times New Roman"/>
          <w:i/>
          <w:sz w:val="20"/>
          <w:szCs w:val="20"/>
        </w:rPr>
        <w:t xml:space="preserve"> A + </w:t>
      </w:r>
      <w:proofErr w:type="gramStart"/>
      <w:r w:rsidRPr="00816662">
        <w:rPr>
          <w:rFonts w:ascii="Times New Roman" w:hAnsi="Times New Roman"/>
          <w:i/>
          <w:sz w:val="20"/>
          <w:szCs w:val="20"/>
        </w:rPr>
        <w:t>odmocnina(SO</w:t>
      </w:r>
      <w:proofErr w:type="gramEnd"/>
      <w:r w:rsidRPr="00816662">
        <w:rPr>
          <w:rFonts w:ascii="Times New Roman" w:hAnsi="Times New Roman"/>
          <w:i/>
          <w:sz w:val="20"/>
          <w:szCs w:val="20"/>
        </w:rPr>
        <w:t>)</w:t>
      </w:r>
    </w:p>
    <w:p w:rsidR="00A3160D" w:rsidRPr="000F5B3A" w:rsidRDefault="00A3160D" w:rsidP="00A3160D">
      <w:pPr>
        <w:widowControl w:val="0"/>
        <w:tabs>
          <w:tab w:val="left" w:pos="5670"/>
        </w:tabs>
        <w:overflowPunct w:val="0"/>
        <w:autoSpaceDE w:val="0"/>
        <w:autoSpaceDN w:val="0"/>
        <w:adjustRightInd w:val="0"/>
        <w:spacing w:after="0" w:line="255" w:lineRule="auto"/>
        <w:ind w:right="100" w:firstLine="284"/>
        <w:jc w:val="both"/>
        <w:rPr>
          <w:rFonts w:ascii="Times New Roman" w:hAnsi="Times New Roman"/>
          <w:i/>
          <w:sz w:val="20"/>
          <w:szCs w:val="20"/>
        </w:rPr>
      </w:pPr>
      <w:r w:rsidRPr="000F5B3A">
        <w:rPr>
          <w:rFonts w:ascii="Times New Roman" w:hAnsi="Times New Roman"/>
          <w:i/>
          <w:sz w:val="20"/>
          <w:szCs w:val="20"/>
        </w:rPr>
        <w:tab/>
      </w:r>
    </w:p>
    <w:p w:rsidR="00A3160D" w:rsidRDefault="00A3160D" w:rsidP="00A3160D">
      <w:pPr>
        <w:widowControl w:val="0"/>
        <w:autoSpaceDE w:val="0"/>
        <w:autoSpaceDN w:val="0"/>
        <w:adjustRightInd w:val="0"/>
        <w:spacing w:after="0" w:line="240" w:lineRule="auto"/>
        <w:jc w:val="both"/>
        <w:rPr>
          <w:rFonts w:ascii="Times New Roman" w:hAnsi="Times New Roman"/>
          <w:i/>
          <w:sz w:val="20"/>
          <w:szCs w:val="20"/>
        </w:rPr>
      </w:pPr>
      <w:r>
        <w:rPr>
          <w:rFonts w:ascii="Times New Roman" w:hAnsi="Times New Roman"/>
          <w:i/>
          <w:sz w:val="20"/>
          <w:szCs w:val="20"/>
        </w:rPr>
        <w:lastRenderedPageBreak/>
        <w:t xml:space="preserve">    </w:t>
      </w:r>
      <w:r w:rsidRPr="000F5B3A">
        <w:rPr>
          <w:rFonts w:ascii="Times New Roman" w:hAnsi="Times New Roman"/>
          <w:i/>
          <w:sz w:val="20"/>
          <w:szCs w:val="20"/>
        </w:rPr>
        <w:t>Vzorec 2:</w:t>
      </w:r>
    </w:p>
    <w:p w:rsidR="00A3160D" w:rsidRPr="00AA733C" w:rsidRDefault="00A3160D" w:rsidP="00A3160D">
      <w:pPr>
        <w:widowControl w:val="0"/>
        <w:autoSpaceDE w:val="0"/>
        <w:autoSpaceDN w:val="0"/>
        <w:adjustRightInd w:val="0"/>
        <w:spacing w:after="0" w:line="240" w:lineRule="auto"/>
        <w:jc w:val="both"/>
        <w:rPr>
          <w:rFonts w:ascii="Times New Roman" w:hAnsi="Times New Roman"/>
          <w:i/>
          <w:sz w:val="20"/>
          <w:szCs w:val="20"/>
        </w:rPr>
      </w:pPr>
    </w:p>
    <w:p w:rsidR="00A3160D" w:rsidRPr="00AA733C" w:rsidRDefault="00A3160D" w:rsidP="00A3160D">
      <w:pPr>
        <w:widowControl w:val="0"/>
        <w:autoSpaceDE w:val="0"/>
        <w:autoSpaceDN w:val="0"/>
        <w:adjustRightInd w:val="0"/>
        <w:spacing w:after="0" w:line="240" w:lineRule="auto"/>
        <w:jc w:val="both"/>
        <w:rPr>
          <w:rFonts w:ascii="Times New Roman" w:hAnsi="Times New Roman"/>
          <w:i/>
          <w:sz w:val="20"/>
          <w:szCs w:val="20"/>
        </w:rPr>
      </w:pPr>
      <w:r w:rsidRPr="00AA733C">
        <w:rPr>
          <w:rFonts w:ascii="Times New Roman" w:hAnsi="Times New Roman"/>
          <w:i/>
          <w:sz w:val="20"/>
          <w:szCs w:val="20"/>
        </w:rPr>
        <w:t xml:space="preserve">                      </w:t>
      </w:r>
      <w:r>
        <w:rPr>
          <w:rFonts w:ascii="Times New Roman" w:hAnsi="Times New Roman"/>
          <w:i/>
          <w:sz w:val="20"/>
          <w:szCs w:val="20"/>
        </w:rPr>
        <w:t xml:space="preserve">        </w:t>
      </w:r>
      <w:r w:rsidRPr="00AA733C">
        <w:rPr>
          <w:rFonts w:ascii="Times New Roman" w:hAnsi="Times New Roman"/>
          <w:i/>
          <w:sz w:val="20"/>
          <w:szCs w:val="20"/>
        </w:rPr>
        <w:t>SC</w:t>
      </w:r>
    </w:p>
    <w:p w:rsidR="00A3160D" w:rsidRPr="00AA733C" w:rsidRDefault="00A3160D" w:rsidP="00A3160D">
      <w:pPr>
        <w:widowControl w:val="0"/>
        <w:autoSpaceDE w:val="0"/>
        <w:autoSpaceDN w:val="0"/>
        <w:adjustRightInd w:val="0"/>
        <w:spacing w:after="0" w:line="240" w:lineRule="auto"/>
        <w:jc w:val="both"/>
        <w:rPr>
          <w:rFonts w:ascii="Times New Roman" w:hAnsi="Times New Roman"/>
          <w:i/>
          <w:sz w:val="20"/>
          <w:szCs w:val="20"/>
        </w:rPr>
      </w:pPr>
      <w:r w:rsidRPr="00AA733C">
        <w:rPr>
          <w:rFonts w:ascii="Times New Roman" w:hAnsi="Times New Roman"/>
          <w:i/>
          <w:sz w:val="20"/>
          <w:szCs w:val="20"/>
        </w:rPr>
        <w:t xml:space="preserve">     </w:t>
      </w:r>
      <w:proofErr w:type="gramStart"/>
      <w:r>
        <w:rPr>
          <w:rFonts w:ascii="Times New Roman" w:hAnsi="Times New Roman"/>
          <w:i/>
          <w:sz w:val="20"/>
          <w:szCs w:val="20"/>
        </w:rPr>
        <w:t>P</w:t>
      </w:r>
      <w:r w:rsidRPr="00236ED1">
        <w:rPr>
          <w:rFonts w:ascii="Times New Roman" w:hAnsi="Times New Roman"/>
          <w:i/>
          <w:sz w:val="20"/>
          <w:szCs w:val="20"/>
          <w:vertAlign w:val="subscript"/>
        </w:rPr>
        <w:t xml:space="preserve">2 </w:t>
      </w:r>
      <w:r>
        <w:rPr>
          <w:rFonts w:ascii="Times New Roman" w:hAnsi="Times New Roman"/>
          <w:i/>
          <w:sz w:val="20"/>
          <w:szCs w:val="20"/>
        </w:rPr>
        <w:t>= C x  (1 -  -</w:t>
      </w:r>
      <w:r w:rsidRPr="00AA733C">
        <w:rPr>
          <w:rFonts w:ascii="Times New Roman" w:hAnsi="Times New Roman"/>
          <w:i/>
          <w:sz w:val="20"/>
          <w:szCs w:val="20"/>
        </w:rPr>
        <w:t>----)  x SO</w:t>
      </w:r>
      <w:proofErr w:type="gramEnd"/>
    </w:p>
    <w:p w:rsidR="00A3160D" w:rsidRDefault="00A3160D" w:rsidP="00A3160D">
      <w:pPr>
        <w:widowControl w:val="0"/>
        <w:autoSpaceDE w:val="0"/>
        <w:autoSpaceDN w:val="0"/>
        <w:adjustRightInd w:val="0"/>
        <w:spacing w:after="0" w:line="240" w:lineRule="auto"/>
        <w:jc w:val="both"/>
        <w:rPr>
          <w:rFonts w:ascii="Times New Roman" w:hAnsi="Times New Roman"/>
          <w:sz w:val="20"/>
          <w:szCs w:val="20"/>
        </w:rPr>
        <w:sectPr w:rsidR="00A3160D" w:rsidSect="00236ED1">
          <w:type w:val="continuous"/>
          <w:pgSz w:w="11907" w:h="16840" w:code="9"/>
          <w:pgMar w:top="1418" w:right="1418" w:bottom="1418" w:left="1418" w:header="709" w:footer="709" w:gutter="0"/>
          <w:pgNumType w:start="68"/>
          <w:cols w:num="2" w:space="708"/>
          <w:noEndnote/>
          <w:docGrid w:linePitch="299"/>
        </w:sectPr>
      </w:pPr>
      <w:r w:rsidRPr="00AA733C">
        <w:rPr>
          <w:rFonts w:ascii="Times New Roman" w:hAnsi="Times New Roman"/>
          <w:i/>
          <w:sz w:val="20"/>
          <w:szCs w:val="20"/>
        </w:rPr>
        <w:t xml:space="preserve">                      </w:t>
      </w:r>
      <w:r>
        <w:rPr>
          <w:rFonts w:ascii="Times New Roman" w:hAnsi="Times New Roman"/>
          <w:i/>
          <w:sz w:val="20"/>
          <w:szCs w:val="20"/>
        </w:rPr>
        <w:t xml:space="preserve">      </w:t>
      </w:r>
      <w:r w:rsidRPr="00AA733C">
        <w:rPr>
          <w:rFonts w:ascii="Times New Roman" w:hAnsi="Times New Roman"/>
          <w:i/>
          <w:sz w:val="20"/>
          <w:szCs w:val="20"/>
        </w:rPr>
        <w:t>SO</w:t>
      </w:r>
    </w:p>
    <w:p w:rsidR="00A3160D" w:rsidRPr="000F5B3A"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F5B3A">
        <w:rPr>
          <w:rFonts w:ascii="Times New Roman" w:hAnsi="Times New Roman"/>
          <w:sz w:val="20"/>
          <w:szCs w:val="20"/>
        </w:rPr>
        <w:lastRenderedPageBreak/>
        <w:t>Výše příspěvku</w:t>
      </w:r>
      <w:r w:rsidRPr="000F5B3A">
        <w:rPr>
          <w:rFonts w:ascii="Times New Roman" w:hAnsi="Times New Roman"/>
          <w:sz w:val="20"/>
          <w:szCs w:val="20"/>
          <w:vertAlign w:val="superscript"/>
        </w:rPr>
        <w:t>8)</w:t>
      </w:r>
      <w:r w:rsidRPr="000F5B3A">
        <w:rPr>
          <w:rFonts w:ascii="Times New Roman" w:hAnsi="Times New Roman"/>
          <w:sz w:val="20"/>
          <w:szCs w:val="20"/>
        </w:rPr>
        <w:t xml:space="preserve"> je závislá: </w:t>
      </w:r>
    </w:p>
    <w:p w:rsidR="00A3160D" w:rsidRPr="000F5B3A"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F5B3A">
        <w:rPr>
          <w:rFonts w:ascii="Times New Roman" w:hAnsi="Times New Roman"/>
          <w:sz w:val="20"/>
          <w:szCs w:val="20"/>
        </w:rPr>
        <w:t xml:space="preserve">- na rozsahu přenesené působnosti k výkonu státní správy, </w:t>
      </w:r>
    </w:p>
    <w:p w:rsidR="00A3160D" w:rsidRPr="000F5B3A"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F5B3A">
        <w:rPr>
          <w:rFonts w:ascii="Times New Roman" w:hAnsi="Times New Roman"/>
          <w:sz w:val="20"/>
          <w:szCs w:val="20"/>
        </w:rPr>
        <w:t>- na velikosti správního obvodu (SO)</w:t>
      </w:r>
      <w:r w:rsidRPr="000F5B3A">
        <w:rPr>
          <w:rFonts w:ascii="Times New Roman" w:hAnsi="Times New Roman"/>
          <w:sz w:val="20"/>
          <w:szCs w:val="20"/>
          <w:vertAlign w:val="superscript"/>
        </w:rPr>
        <w:t>5)</w:t>
      </w:r>
      <w:r w:rsidRPr="000F5B3A">
        <w:rPr>
          <w:rFonts w:ascii="Times New Roman" w:hAnsi="Times New Roman"/>
          <w:sz w:val="20"/>
          <w:szCs w:val="20"/>
        </w:rPr>
        <w:t xml:space="preserve"> vyjádřené počtem obyvatel, </w:t>
      </w:r>
    </w:p>
    <w:p w:rsidR="00A3160D" w:rsidRPr="000F5B3A"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F5B3A">
        <w:rPr>
          <w:rFonts w:ascii="Times New Roman" w:hAnsi="Times New Roman"/>
          <w:sz w:val="20"/>
          <w:szCs w:val="20"/>
        </w:rPr>
        <w:t>- na podílu velikosti správního centra a velikosti správního obvodu, kde velikost správního centra (SC)</w:t>
      </w:r>
      <w:r w:rsidRPr="000F5B3A">
        <w:rPr>
          <w:rFonts w:ascii="Times New Roman" w:hAnsi="Times New Roman"/>
          <w:sz w:val="20"/>
          <w:szCs w:val="20"/>
          <w:vertAlign w:val="superscript"/>
        </w:rPr>
        <w:t>5)</w:t>
      </w:r>
      <w:r w:rsidRPr="000F5B3A">
        <w:rPr>
          <w:rFonts w:ascii="Times New Roman" w:hAnsi="Times New Roman"/>
          <w:sz w:val="20"/>
          <w:szCs w:val="20"/>
        </w:rPr>
        <w:t xml:space="preserve"> je vyjádřená počtem obyvatel obce. </w:t>
      </w:r>
    </w:p>
    <w:p w:rsidR="00A3160D" w:rsidRPr="000F5B3A" w:rsidRDefault="00A3160D" w:rsidP="00A3160D">
      <w:pPr>
        <w:widowControl w:val="0"/>
        <w:autoSpaceDE w:val="0"/>
        <w:autoSpaceDN w:val="0"/>
        <w:adjustRightInd w:val="0"/>
        <w:spacing w:after="0" w:line="240" w:lineRule="auto"/>
        <w:rPr>
          <w:rFonts w:ascii="Times New Roman" w:hAnsi="Times New Roman"/>
          <w:sz w:val="20"/>
          <w:szCs w:val="20"/>
        </w:rPr>
      </w:pPr>
      <w:r w:rsidRPr="000F5B3A">
        <w:rPr>
          <w:rFonts w:ascii="Times New Roman" w:hAnsi="Times New Roman"/>
          <w:sz w:val="20"/>
          <w:szCs w:val="20"/>
        </w:rPr>
        <w:t xml:space="preserve"> </w:t>
      </w:r>
    </w:p>
    <w:p w:rsidR="00A3160D" w:rsidRPr="000F5B3A"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F5B3A">
        <w:rPr>
          <w:rFonts w:ascii="Times New Roman" w:hAnsi="Times New Roman"/>
          <w:sz w:val="20"/>
          <w:szCs w:val="20"/>
        </w:rPr>
        <w:t xml:space="preserve">Hodnoty koeficientů „A“, „B“ a „C“ jsou stanoveny v závislosti na rozsahu přenesené působnosti k výkonu státní správy a na celkovém objemu finančních prostředků pro daný rozsah působnosti a činí: </w:t>
      </w:r>
    </w:p>
    <w:p w:rsidR="00A3160D" w:rsidRPr="000F5B3A" w:rsidRDefault="00A3160D" w:rsidP="00A3160D">
      <w:pPr>
        <w:widowControl w:val="0"/>
        <w:autoSpaceDE w:val="0"/>
        <w:autoSpaceDN w:val="0"/>
        <w:adjustRightInd w:val="0"/>
        <w:spacing w:after="0" w:line="240" w:lineRule="auto"/>
        <w:jc w:val="both"/>
        <w:rPr>
          <w:rFonts w:ascii="Times New Roman" w:hAnsi="Times New Roman"/>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6"/>
        <w:gridCol w:w="1696"/>
        <w:gridCol w:w="1838"/>
        <w:gridCol w:w="1837"/>
      </w:tblGrid>
      <w:tr w:rsidR="00A3160D" w:rsidRPr="000A0896" w:rsidTr="008E31EF">
        <w:trPr>
          <w:trHeight w:val="451"/>
        </w:trPr>
        <w:tc>
          <w:tcPr>
            <w:tcW w:w="3676" w:type="dxa"/>
            <w:shd w:val="clear" w:color="auto" w:fill="FFFFFF"/>
            <w:vAlign w:val="center"/>
          </w:tcPr>
          <w:p w:rsidR="00A3160D" w:rsidRPr="000A0896" w:rsidRDefault="00A3160D" w:rsidP="008E31EF">
            <w:pPr>
              <w:widowControl w:val="0"/>
              <w:autoSpaceDE w:val="0"/>
              <w:autoSpaceDN w:val="0"/>
              <w:adjustRightInd w:val="0"/>
              <w:spacing w:after="0" w:line="240" w:lineRule="auto"/>
              <w:jc w:val="center"/>
              <w:rPr>
                <w:rFonts w:ascii="Times New Roman" w:hAnsi="Times New Roman"/>
                <w:b/>
                <w:sz w:val="20"/>
                <w:szCs w:val="20"/>
              </w:rPr>
            </w:pPr>
            <w:r w:rsidRPr="000A0896">
              <w:rPr>
                <w:rFonts w:ascii="Times New Roman" w:hAnsi="Times New Roman"/>
                <w:b/>
                <w:sz w:val="20"/>
                <w:szCs w:val="20"/>
              </w:rPr>
              <w:t>Rozsah působnosti</w:t>
            </w:r>
          </w:p>
        </w:tc>
        <w:tc>
          <w:tcPr>
            <w:tcW w:w="1696" w:type="dxa"/>
            <w:shd w:val="clear" w:color="auto" w:fill="FFFFFF"/>
            <w:vAlign w:val="center"/>
          </w:tcPr>
          <w:p w:rsidR="00A3160D" w:rsidRPr="000A0896" w:rsidRDefault="00A3160D" w:rsidP="008E31EF">
            <w:pPr>
              <w:widowControl w:val="0"/>
              <w:autoSpaceDE w:val="0"/>
              <w:autoSpaceDN w:val="0"/>
              <w:adjustRightInd w:val="0"/>
              <w:spacing w:after="0" w:line="240" w:lineRule="auto"/>
              <w:jc w:val="center"/>
              <w:rPr>
                <w:rFonts w:ascii="Times New Roman" w:hAnsi="Times New Roman"/>
                <w:b/>
                <w:sz w:val="20"/>
                <w:szCs w:val="20"/>
              </w:rPr>
            </w:pPr>
            <w:r w:rsidRPr="000A0896">
              <w:rPr>
                <w:rFonts w:ascii="Times New Roman" w:hAnsi="Times New Roman"/>
                <w:b/>
                <w:sz w:val="20"/>
                <w:szCs w:val="20"/>
              </w:rPr>
              <w:t>A</w:t>
            </w:r>
          </w:p>
        </w:tc>
        <w:tc>
          <w:tcPr>
            <w:tcW w:w="1838" w:type="dxa"/>
            <w:shd w:val="clear" w:color="auto" w:fill="FFFFFF"/>
            <w:vAlign w:val="center"/>
          </w:tcPr>
          <w:p w:rsidR="00A3160D" w:rsidRPr="000A0896" w:rsidRDefault="00A3160D" w:rsidP="008E31EF">
            <w:pPr>
              <w:widowControl w:val="0"/>
              <w:autoSpaceDE w:val="0"/>
              <w:autoSpaceDN w:val="0"/>
              <w:adjustRightInd w:val="0"/>
              <w:spacing w:after="0" w:line="240" w:lineRule="auto"/>
              <w:jc w:val="center"/>
              <w:rPr>
                <w:rFonts w:ascii="Times New Roman" w:hAnsi="Times New Roman"/>
                <w:b/>
                <w:sz w:val="20"/>
                <w:szCs w:val="20"/>
              </w:rPr>
            </w:pPr>
            <w:r w:rsidRPr="000A0896">
              <w:rPr>
                <w:rFonts w:ascii="Times New Roman" w:hAnsi="Times New Roman"/>
                <w:b/>
                <w:sz w:val="20"/>
                <w:szCs w:val="20"/>
              </w:rPr>
              <w:t>B</w:t>
            </w:r>
          </w:p>
        </w:tc>
        <w:tc>
          <w:tcPr>
            <w:tcW w:w="1837" w:type="dxa"/>
            <w:shd w:val="clear" w:color="auto" w:fill="FFFFFF"/>
            <w:vAlign w:val="center"/>
          </w:tcPr>
          <w:p w:rsidR="00A3160D" w:rsidRPr="000A0896" w:rsidRDefault="00A3160D" w:rsidP="008E31EF">
            <w:pPr>
              <w:widowControl w:val="0"/>
              <w:autoSpaceDE w:val="0"/>
              <w:autoSpaceDN w:val="0"/>
              <w:adjustRightInd w:val="0"/>
              <w:spacing w:after="0" w:line="240" w:lineRule="auto"/>
              <w:jc w:val="center"/>
              <w:rPr>
                <w:rFonts w:ascii="Times New Roman" w:hAnsi="Times New Roman"/>
                <w:b/>
                <w:sz w:val="20"/>
                <w:szCs w:val="20"/>
              </w:rPr>
            </w:pPr>
            <w:r w:rsidRPr="000A0896">
              <w:rPr>
                <w:rFonts w:ascii="Times New Roman" w:hAnsi="Times New Roman"/>
                <w:b/>
                <w:sz w:val="20"/>
                <w:szCs w:val="20"/>
              </w:rPr>
              <w:t>C</w:t>
            </w:r>
          </w:p>
        </w:tc>
      </w:tr>
      <w:tr w:rsidR="00A3160D" w:rsidRPr="000A0896" w:rsidTr="008E31EF">
        <w:trPr>
          <w:trHeight w:val="446"/>
        </w:trPr>
        <w:tc>
          <w:tcPr>
            <w:tcW w:w="3676" w:type="dxa"/>
            <w:shd w:val="clear" w:color="auto" w:fill="auto"/>
            <w:vAlign w:val="center"/>
          </w:tcPr>
          <w:p w:rsidR="00A3160D" w:rsidRPr="000A0896" w:rsidRDefault="00A3160D" w:rsidP="008E31EF">
            <w:pPr>
              <w:widowControl w:val="0"/>
              <w:autoSpaceDE w:val="0"/>
              <w:autoSpaceDN w:val="0"/>
              <w:adjustRightInd w:val="0"/>
              <w:spacing w:after="0" w:line="240" w:lineRule="auto"/>
              <w:rPr>
                <w:rFonts w:ascii="Times New Roman" w:hAnsi="Times New Roman"/>
                <w:sz w:val="20"/>
                <w:szCs w:val="20"/>
              </w:rPr>
            </w:pPr>
            <w:r w:rsidRPr="000A0896">
              <w:rPr>
                <w:rFonts w:ascii="Times New Roman" w:hAnsi="Times New Roman"/>
                <w:sz w:val="20"/>
                <w:szCs w:val="20"/>
              </w:rPr>
              <w:t>Základní působnost</w:t>
            </w:r>
          </w:p>
        </w:tc>
        <w:tc>
          <w:tcPr>
            <w:tcW w:w="1696" w:type="dxa"/>
            <w:shd w:val="clear" w:color="auto" w:fill="auto"/>
            <w:vAlign w:val="center"/>
          </w:tcPr>
          <w:p w:rsidR="00A3160D" w:rsidRPr="00816662" w:rsidRDefault="00A3160D" w:rsidP="008E31EF">
            <w:pPr>
              <w:widowControl w:val="0"/>
              <w:autoSpaceDE w:val="0"/>
              <w:autoSpaceDN w:val="0"/>
              <w:adjustRightInd w:val="0"/>
              <w:spacing w:after="0"/>
              <w:jc w:val="center"/>
              <w:rPr>
                <w:rFonts w:ascii="Times New Roman" w:hAnsi="Times New Roman"/>
                <w:sz w:val="20"/>
                <w:szCs w:val="20"/>
              </w:rPr>
            </w:pPr>
            <w:r w:rsidRPr="00816662">
              <w:rPr>
                <w:rFonts w:ascii="Times New Roman" w:hAnsi="Times New Roman"/>
                <w:sz w:val="20"/>
                <w:szCs w:val="20"/>
              </w:rPr>
              <w:t>31,78848076</w:t>
            </w:r>
          </w:p>
        </w:tc>
        <w:tc>
          <w:tcPr>
            <w:tcW w:w="1838" w:type="dxa"/>
            <w:shd w:val="clear" w:color="auto" w:fill="auto"/>
            <w:vAlign w:val="center"/>
          </w:tcPr>
          <w:p w:rsidR="00A3160D" w:rsidRPr="00816662" w:rsidRDefault="00A3160D" w:rsidP="008E31EF">
            <w:pPr>
              <w:widowControl w:val="0"/>
              <w:autoSpaceDE w:val="0"/>
              <w:autoSpaceDN w:val="0"/>
              <w:adjustRightInd w:val="0"/>
              <w:spacing w:after="0"/>
              <w:jc w:val="center"/>
              <w:rPr>
                <w:rFonts w:ascii="Times New Roman" w:hAnsi="Times New Roman"/>
                <w:sz w:val="20"/>
                <w:szCs w:val="20"/>
              </w:rPr>
            </w:pPr>
            <w:r w:rsidRPr="00816662">
              <w:rPr>
                <w:rFonts w:ascii="Times New Roman" w:hAnsi="Times New Roman"/>
                <w:sz w:val="20"/>
                <w:szCs w:val="20"/>
              </w:rPr>
              <w:t>1495203,631</w:t>
            </w:r>
          </w:p>
        </w:tc>
        <w:tc>
          <w:tcPr>
            <w:tcW w:w="1837" w:type="dxa"/>
            <w:shd w:val="clear" w:color="auto" w:fill="auto"/>
            <w:vAlign w:val="center"/>
          </w:tcPr>
          <w:p w:rsidR="00A3160D" w:rsidRPr="00816662" w:rsidRDefault="00A3160D" w:rsidP="008E31EF">
            <w:pPr>
              <w:widowControl w:val="0"/>
              <w:autoSpaceDE w:val="0"/>
              <w:autoSpaceDN w:val="0"/>
              <w:adjustRightInd w:val="0"/>
              <w:spacing w:after="0"/>
              <w:jc w:val="center"/>
              <w:rPr>
                <w:rFonts w:ascii="Times New Roman" w:hAnsi="Times New Roman"/>
                <w:sz w:val="20"/>
                <w:szCs w:val="20"/>
              </w:rPr>
            </w:pPr>
            <w:r w:rsidRPr="00816662">
              <w:rPr>
                <w:rFonts w:ascii="Times New Roman" w:hAnsi="Times New Roman"/>
                <w:sz w:val="20"/>
                <w:szCs w:val="20"/>
              </w:rPr>
              <w:t>0</w:t>
            </w:r>
          </w:p>
        </w:tc>
      </w:tr>
      <w:tr w:rsidR="00A3160D" w:rsidRPr="000A0896" w:rsidTr="008E31EF">
        <w:trPr>
          <w:trHeight w:val="466"/>
        </w:trPr>
        <w:tc>
          <w:tcPr>
            <w:tcW w:w="3676" w:type="dxa"/>
            <w:shd w:val="clear" w:color="auto" w:fill="auto"/>
            <w:vAlign w:val="center"/>
          </w:tcPr>
          <w:p w:rsidR="00A3160D" w:rsidRPr="000A0896" w:rsidRDefault="00A3160D" w:rsidP="008E31EF">
            <w:pPr>
              <w:widowControl w:val="0"/>
              <w:autoSpaceDE w:val="0"/>
              <w:autoSpaceDN w:val="0"/>
              <w:adjustRightInd w:val="0"/>
              <w:spacing w:after="0" w:line="240" w:lineRule="auto"/>
              <w:rPr>
                <w:rFonts w:ascii="Times New Roman" w:hAnsi="Times New Roman"/>
                <w:sz w:val="20"/>
                <w:szCs w:val="20"/>
              </w:rPr>
            </w:pPr>
            <w:r w:rsidRPr="000A0896">
              <w:rPr>
                <w:rFonts w:ascii="Times New Roman" w:hAnsi="Times New Roman"/>
                <w:sz w:val="20"/>
                <w:szCs w:val="20"/>
              </w:rPr>
              <w:t>Působnost matričního úřadu</w:t>
            </w:r>
          </w:p>
        </w:tc>
        <w:tc>
          <w:tcPr>
            <w:tcW w:w="1696" w:type="dxa"/>
            <w:shd w:val="clear" w:color="auto" w:fill="auto"/>
            <w:vAlign w:val="center"/>
          </w:tcPr>
          <w:p w:rsidR="00A3160D" w:rsidRPr="00816662" w:rsidRDefault="00A3160D" w:rsidP="008E31EF">
            <w:pPr>
              <w:widowControl w:val="0"/>
              <w:autoSpaceDE w:val="0"/>
              <w:autoSpaceDN w:val="0"/>
              <w:adjustRightInd w:val="0"/>
              <w:spacing w:after="0"/>
              <w:jc w:val="center"/>
              <w:rPr>
                <w:rFonts w:ascii="Times New Roman" w:hAnsi="Times New Roman"/>
                <w:sz w:val="20"/>
                <w:szCs w:val="20"/>
              </w:rPr>
            </w:pPr>
            <w:r w:rsidRPr="00816662">
              <w:rPr>
                <w:rFonts w:ascii="Times New Roman" w:hAnsi="Times New Roman"/>
                <w:sz w:val="20"/>
                <w:szCs w:val="20"/>
              </w:rPr>
              <w:t>310,1607056</w:t>
            </w:r>
          </w:p>
        </w:tc>
        <w:tc>
          <w:tcPr>
            <w:tcW w:w="1838" w:type="dxa"/>
            <w:shd w:val="clear" w:color="auto" w:fill="auto"/>
            <w:vAlign w:val="center"/>
          </w:tcPr>
          <w:p w:rsidR="00A3160D" w:rsidRPr="00816662" w:rsidRDefault="00A3160D" w:rsidP="008E31EF">
            <w:pPr>
              <w:widowControl w:val="0"/>
              <w:autoSpaceDE w:val="0"/>
              <w:autoSpaceDN w:val="0"/>
              <w:adjustRightInd w:val="0"/>
              <w:spacing w:after="0"/>
              <w:jc w:val="center"/>
              <w:rPr>
                <w:rFonts w:ascii="Times New Roman" w:hAnsi="Times New Roman"/>
                <w:sz w:val="20"/>
                <w:szCs w:val="20"/>
              </w:rPr>
            </w:pPr>
            <w:r w:rsidRPr="00816662">
              <w:rPr>
                <w:rFonts w:ascii="Times New Roman" w:hAnsi="Times New Roman"/>
                <w:sz w:val="20"/>
                <w:szCs w:val="20"/>
              </w:rPr>
              <w:t>6129265,023</w:t>
            </w:r>
          </w:p>
        </w:tc>
        <w:tc>
          <w:tcPr>
            <w:tcW w:w="1837" w:type="dxa"/>
            <w:shd w:val="clear" w:color="auto" w:fill="auto"/>
            <w:vAlign w:val="center"/>
          </w:tcPr>
          <w:p w:rsidR="00A3160D" w:rsidRPr="00816662" w:rsidRDefault="00A3160D" w:rsidP="008E31EF">
            <w:pPr>
              <w:widowControl w:val="0"/>
              <w:autoSpaceDE w:val="0"/>
              <w:autoSpaceDN w:val="0"/>
              <w:adjustRightInd w:val="0"/>
              <w:spacing w:after="0"/>
              <w:jc w:val="center"/>
              <w:rPr>
                <w:rFonts w:ascii="Times New Roman" w:hAnsi="Times New Roman"/>
                <w:sz w:val="20"/>
                <w:szCs w:val="20"/>
              </w:rPr>
            </w:pPr>
            <w:r w:rsidRPr="00816662">
              <w:rPr>
                <w:rFonts w:ascii="Times New Roman" w:hAnsi="Times New Roman"/>
                <w:sz w:val="20"/>
                <w:szCs w:val="20"/>
              </w:rPr>
              <w:t>5139,847748</w:t>
            </w:r>
          </w:p>
        </w:tc>
      </w:tr>
      <w:tr w:rsidR="00A3160D" w:rsidRPr="000A0896" w:rsidTr="008E31EF">
        <w:trPr>
          <w:trHeight w:val="466"/>
        </w:trPr>
        <w:tc>
          <w:tcPr>
            <w:tcW w:w="3676" w:type="dxa"/>
            <w:shd w:val="clear" w:color="auto" w:fill="auto"/>
            <w:vAlign w:val="center"/>
          </w:tcPr>
          <w:p w:rsidR="00A3160D" w:rsidRPr="000A0896" w:rsidRDefault="00A3160D" w:rsidP="008E31EF">
            <w:pPr>
              <w:widowControl w:val="0"/>
              <w:autoSpaceDE w:val="0"/>
              <w:autoSpaceDN w:val="0"/>
              <w:adjustRightInd w:val="0"/>
              <w:spacing w:after="0" w:line="240" w:lineRule="auto"/>
              <w:rPr>
                <w:rFonts w:ascii="Times New Roman" w:hAnsi="Times New Roman"/>
                <w:sz w:val="20"/>
                <w:szCs w:val="20"/>
              </w:rPr>
            </w:pPr>
            <w:r w:rsidRPr="000A0896">
              <w:rPr>
                <w:rFonts w:ascii="Times New Roman" w:hAnsi="Times New Roman"/>
                <w:sz w:val="20"/>
                <w:szCs w:val="20"/>
              </w:rPr>
              <w:t>Působnost stavebního úřadu</w:t>
            </w:r>
          </w:p>
        </w:tc>
        <w:tc>
          <w:tcPr>
            <w:tcW w:w="1696" w:type="dxa"/>
            <w:shd w:val="clear" w:color="auto" w:fill="auto"/>
            <w:vAlign w:val="center"/>
          </w:tcPr>
          <w:p w:rsidR="00A3160D" w:rsidRPr="00816662" w:rsidRDefault="00A3160D" w:rsidP="008E31EF">
            <w:pPr>
              <w:widowControl w:val="0"/>
              <w:autoSpaceDE w:val="0"/>
              <w:autoSpaceDN w:val="0"/>
              <w:adjustRightInd w:val="0"/>
              <w:spacing w:after="0"/>
              <w:jc w:val="center"/>
              <w:rPr>
                <w:rFonts w:ascii="Times New Roman" w:hAnsi="Times New Roman"/>
                <w:sz w:val="20"/>
                <w:szCs w:val="20"/>
              </w:rPr>
            </w:pPr>
            <w:r w:rsidRPr="00816662">
              <w:rPr>
                <w:rFonts w:ascii="Times New Roman" w:hAnsi="Times New Roman"/>
                <w:sz w:val="20"/>
                <w:szCs w:val="20"/>
              </w:rPr>
              <w:t>40,68075943</w:t>
            </w:r>
          </w:p>
        </w:tc>
        <w:tc>
          <w:tcPr>
            <w:tcW w:w="1838" w:type="dxa"/>
            <w:shd w:val="clear" w:color="auto" w:fill="auto"/>
            <w:vAlign w:val="center"/>
          </w:tcPr>
          <w:p w:rsidR="00A3160D" w:rsidRPr="00816662" w:rsidRDefault="00A3160D" w:rsidP="008E31EF">
            <w:pPr>
              <w:widowControl w:val="0"/>
              <w:autoSpaceDE w:val="0"/>
              <w:autoSpaceDN w:val="0"/>
              <w:adjustRightInd w:val="0"/>
              <w:spacing w:after="0"/>
              <w:jc w:val="center"/>
              <w:rPr>
                <w:rFonts w:ascii="Times New Roman" w:hAnsi="Times New Roman"/>
                <w:sz w:val="20"/>
                <w:szCs w:val="20"/>
              </w:rPr>
            </w:pPr>
            <w:r w:rsidRPr="00816662">
              <w:rPr>
                <w:rFonts w:ascii="Times New Roman" w:hAnsi="Times New Roman"/>
                <w:sz w:val="20"/>
                <w:szCs w:val="20"/>
              </w:rPr>
              <w:t>4782091,854</w:t>
            </w:r>
          </w:p>
        </w:tc>
        <w:tc>
          <w:tcPr>
            <w:tcW w:w="1837" w:type="dxa"/>
            <w:shd w:val="clear" w:color="auto" w:fill="auto"/>
            <w:vAlign w:val="center"/>
          </w:tcPr>
          <w:p w:rsidR="00A3160D" w:rsidRPr="00816662" w:rsidRDefault="00A3160D" w:rsidP="008E31EF">
            <w:pPr>
              <w:widowControl w:val="0"/>
              <w:autoSpaceDE w:val="0"/>
              <w:autoSpaceDN w:val="0"/>
              <w:adjustRightInd w:val="0"/>
              <w:spacing w:after="0"/>
              <w:jc w:val="center"/>
              <w:rPr>
                <w:rFonts w:ascii="Times New Roman" w:hAnsi="Times New Roman"/>
                <w:sz w:val="20"/>
                <w:szCs w:val="20"/>
              </w:rPr>
            </w:pPr>
            <w:r w:rsidRPr="00816662">
              <w:rPr>
                <w:rFonts w:ascii="Times New Roman" w:hAnsi="Times New Roman"/>
                <w:sz w:val="20"/>
                <w:szCs w:val="20"/>
              </w:rPr>
              <w:t>9503,536255</w:t>
            </w:r>
          </w:p>
        </w:tc>
      </w:tr>
      <w:tr w:rsidR="00A3160D" w:rsidRPr="000A0896" w:rsidTr="008E31EF">
        <w:trPr>
          <w:trHeight w:val="476"/>
        </w:trPr>
        <w:tc>
          <w:tcPr>
            <w:tcW w:w="3676" w:type="dxa"/>
            <w:shd w:val="clear" w:color="auto" w:fill="auto"/>
            <w:vAlign w:val="center"/>
          </w:tcPr>
          <w:p w:rsidR="00A3160D" w:rsidRPr="000A0896" w:rsidRDefault="00A3160D" w:rsidP="008E31EF">
            <w:pPr>
              <w:widowControl w:val="0"/>
              <w:autoSpaceDE w:val="0"/>
              <w:autoSpaceDN w:val="0"/>
              <w:adjustRightInd w:val="0"/>
              <w:spacing w:after="0" w:line="240" w:lineRule="auto"/>
              <w:rPr>
                <w:rFonts w:ascii="Times New Roman" w:hAnsi="Times New Roman"/>
                <w:sz w:val="20"/>
                <w:szCs w:val="20"/>
              </w:rPr>
            </w:pPr>
            <w:r w:rsidRPr="000A0896">
              <w:rPr>
                <w:rFonts w:ascii="Times New Roman" w:hAnsi="Times New Roman"/>
                <w:sz w:val="20"/>
                <w:szCs w:val="20"/>
              </w:rPr>
              <w:t>Působnost pověřeného obecního úřadu</w:t>
            </w:r>
          </w:p>
        </w:tc>
        <w:tc>
          <w:tcPr>
            <w:tcW w:w="1696" w:type="dxa"/>
            <w:shd w:val="clear" w:color="auto" w:fill="auto"/>
            <w:vAlign w:val="center"/>
          </w:tcPr>
          <w:p w:rsidR="00A3160D" w:rsidRPr="00816662" w:rsidRDefault="00A3160D" w:rsidP="008E31EF">
            <w:pPr>
              <w:widowControl w:val="0"/>
              <w:autoSpaceDE w:val="0"/>
              <w:autoSpaceDN w:val="0"/>
              <w:adjustRightInd w:val="0"/>
              <w:spacing w:after="0"/>
              <w:jc w:val="center"/>
              <w:rPr>
                <w:rFonts w:ascii="Times New Roman" w:hAnsi="Times New Roman"/>
                <w:sz w:val="20"/>
                <w:szCs w:val="20"/>
              </w:rPr>
            </w:pPr>
            <w:r w:rsidRPr="00816662">
              <w:rPr>
                <w:rFonts w:ascii="Times New Roman" w:hAnsi="Times New Roman"/>
                <w:sz w:val="20"/>
                <w:szCs w:val="20"/>
              </w:rPr>
              <w:t>49,89009476</w:t>
            </w:r>
          </w:p>
        </w:tc>
        <w:tc>
          <w:tcPr>
            <w:tcW w:w="1838" w:type="dxa"/>
            <w:shd w:val="clear" w:color="auto" w:fill="auto"/>
            <w:vAlign w:val="center"/>
          </w:tcPr>
          <w:p w:rsidR="00A3160D" w:rsidRPr="00816662" w:rsidRDefault="00A3160D" w:rsidP="008E31EF">
            <w:pPr>
              <w:widowControl w:val="0"/>
              <w:autoSpaceDE w:val="0"/>
              <w:autoSpaceDN w:val="0"/>
              <w:adjustRightInd w:val="0"/>
              <w:spacing w:after="0"/>
              <w:jc w:val="center"/>
              <w:rPr>
                <w:rFonts w:ascii="Times New Roman" w:hAnsi="Times New Roman"/>
                <w:sz w:val="20"/>
                <w:szCs w:val="20"/>
              </w:rPr>
            </w:pPr>
            <w:r w:rsidRPr="00816662">
              <w:rPr>
                <w:rFonts w:ascii="Times New Roman" w:hAnsi="Times New Roman"/>
                <w:sz w:val="20"/>
                <w:szCs w:val="20"/>
              </w:rPr>
              <w:t>8663660,48</w:t>
            </w:r>
          </w:p>
        </w:tc>
        <w:tc>
          <w:tcPr>
            <w:tcW w:w="1837" w:type="dxa"/>
            <w:shd w:val="clear" w:color="auto" w:fill="auto"/>
            <w:vAlign w:val="center"/>
          </w:tcPr>
          <w:p w:rsidR="00A3160D" w:rsidRPr="00816662" w:rsidRDefault="00A3160D" w:rsidP="008E31EF">
            <w:pPr>
              <w:widowControl w:val="0"/>
              <w:autoSpaceDE w:val="0"/>
              <w:autoSpaceDN w:val="0"/>
              <w:adjustRightInd w:val="0"/>
              <w:spacing w:after="0"/>
              <w:jc w:val="center"/>
              <w:rPr>
                <w:rFonts w:ascii="Times New Roman" w:hAnsi="Times New Roman"/>
                <w:sz w:val="20"/>
                <w:szCs w:val="20"/>
              </w:rPr>
            </w:pPr>
            <w:r w:rsidRPr="00816662">
              <w:rPr>
                <w:rFonts w:ascii="Times New Roman" w:hAnsi="Times New Roman"/>
                <w:sz w:val="20"/>
                <w:szCs w:val="20"/>
              </w:rPr>
              <w:t>10815,67996</w:t>
            </w:r>
          </w:p>
        </w:tc>
      </w:tr>
      <w:tr w:rsidR="00A3160D" w:rsidRPr="000A0896" w:rsidTr="008E31EF">
        <w:trPr>
          <w:trHeight w:val="485"/>
        </w:trPr>
        <w:tc>
          <w:tcPr>
            <w:tcW w:w="3676" w:type="dxa"/>
            <w:shd w:val="clear" w:color="auto" w:fill="auto"/>
            <w:vAlign w:val="center"/>
          </w:tcPr>
          <w:p w:rsidR="00A3160D" w:rsidRPr="000A0896" w:rsidRDefault="00A3160D" w:rsidP="008E31EF">
            <w:pPr>
              <w:widowControl w:val="0"/>
              <w:autoSpaceDE w:val="0"/>
              <w:autoSpaceDN w:val="0"/>
              <w:adjustRightInd w:val="0"/>
              <w:spacing w:after="0" w:line="240" w:lineRule="auto"/>
              <w:rPr>
                <w:rFonts w:ascii="Times New Roman" w:hAnsi="Times New Roman"/>
                <w:sz w:val="20"/>
                <w:szCs w:val="20"/>
              </w:rPr>
            </w:pPr>
            <w:r w:rsidRPr="000A0896">
              <w:rPr>
                <w:rFonts w:ascii="Times New Roman" w:hAnsi="Times New Roman"/>
                <w:sz w:val="20"/>
                <w:szCs w:val="20"/>
              </w:rPr>
              <w:t>Působnost obce s rozšířenou působností</w:t>
            </w:r>
          </w:p>
        </w:tc>
        <w:tc>
          <w:tcPr>
            <w:tcW w:w="1696" w:type="dxa"/>
            <w:shd w:val="clear" w:color="auto" w:fill="auto"/>
            <w:vAlign w:val="center"/>
          </w:tcPr>
          <w:p w:rsidR="00A3160D" w:rsidRPr="00816662" w:rsidRDefault="00A3160D" w:rsidP="008E31EF">
            <w:pPr>
              <w:widowControl w:val="0"/>
              <w:autoSpaceDE w:val="0"/>
              <w:autoSpaceDN w:val="0"/>
              <w:adjustRightInd w:val="0"/>
              <w:spacing w:after="0"/>
              <w:jc w:val="center"/>
              <w:rPr>
                <w:rFonts w:ascii="Times New Roman" w:hAnsi="Times New Roman"/>
                <w:sz w:val="20"/>
                <w:szCs w:val="20"/>
              </w:rPr>
            </w:pPr>
            <w:r w:rsidRPr="00816662">
              <w:rPr>
                <w:rFonts w:ascii="Times New Roman" w:hAnsi="Times New Roman"/>
                <w:sz w:val="20"/>
                <w:szCs w:val="20"/>
              </w:rPr>
              <w:t>1,502918243</w:t>
            </w:r>
          </w:p>
        </w:tc>
        <w:tc>
          <w:tcPr>
            <w:tcW w:w="1838" w:type="dxa"/>
            <w:shd w:val="clear" w:color="auto" w:fill="auto"/>
            <w:vAlign w:val="center"/>
          </w:tcPr>
          <w:p w:rsidR="00A3160D" w:rsidRPr="00816662" w:rsidRDefault="00A3160D" w:rsidP="008E31EF">
            <w:pPr>
              <w:widowControl w:val="0"/>
              <w:autoSpaceDE w:val="0"/>
              <w:autoSpaceDN w:val="0"/>
              <w:adjustRightInd w:val="0"/>
              <w:spacing w:after="0"/>
              <w:jc w:val="center"/>
              <w:rPr>
                <w:rFonts w:ascii="Times New Roman" w:hAnsi="Times New Roman"/>
                <w:sz w:val="20"/>
                <w:szCs w:val="20"/>
              </w:rPr>
            </w:pPr>
            <w:r w:rsidRPr="00816662">
              <w:rPr>
                <w:rFonts w:ascii="Times New Roman" w:hAnsi="Times New Roman"/>
                <w:sz w:val="20"/>
                <w:szCs w:val="20"/>
              </w:rPr>
              <w:t>3950471,562</w:t>
            </w:r>
          </w:p>
        </w:tc>
        <w:tc>
          <w:tcPr>
            <w:tcW w:w="1837" w:type="dxa"/>
            <w:shd w:val="clear" w:color="auto" w:fill="auto"/>
            <w:vAlign w:val="center"/>
          </w:tcPr>
          <w:p w:rsidR="00A3160D" w:rsidRPr="00816662" w:rsidRDefault="00A3160D" w:rsidP="008E31EF">
            <w:pPr>
              <w:widowControl w:val="0"/>
              <w:autoSpaceDE w:val="0"/>
              <w:autoSpaceDN w:val="0"/>
              <w:adjustRightInd w:val="0"/>
              <w:spacing w:after="0"/>
              <w:jc w:val="center"/>
              <w:rPr>
                <w:rFonts w:ascii="Times New Roman" w:hAnsi="Times New Roman"/>
                <w:sz w:val="20"/>
                <w:szCs w:val="20"/>
              </w:rPr>
            </w:pPr>
            <w:r w:rsidRPr="00816662">
              <w:rPr>
                <w:rFonts w:ascii="Times New Roman" w:hAnsi="Times New Roman"/>
                <w:sz w:val="20"/>
                <w:szCs w:val="20"/>
              </w:rPr>
              <w:t>34503,20351</w:t>
            </w:r>
          </w:p>
        </w:tc>
      </w:tr>
    </w:tbl>
    <w:p w:rsidR="00A3160D" w:rsidRDefault="00A3160D" w:rsidP="00A3160D">
      <w:pPr>
        <w:widowControl w:val="0"/>
        <w:autoSpaceDE w:val="0"/>
        <w:autoSpaceDN w:val="0"/>
        <w:adjustRightInd w:val="0"/>
        <w:spacing w:after="0" w:line="240" w:lineRule="auto"/>
        <w:jc w:val="both"/>
        <w:rPr>
          <w:rFonts w:ascii="Times New Roman" w:hAnsi="Times New Roman"/>
          <w:i/>
          <w:sz w:val="20"/>
          <w:szCs w:val="20"/>
          <w:vertAlign w:val="superscript"/>
        </w:rPr>
      </w:pPr>
    </w:p>
    <w:p w:rsidR="00A3160D" w:rsidRPr="000F5B3A" w:rsidRDefault="00A3160D" w:rsidP="00A3160D">
      <w:pPr>
        <w:widowControl w:val="0"/>
        <w:autoSpaceDE w:val="0"/>
        <w:autoSpaceDN w:val="0"/>
        <w:adjustRightInd w:val="0"/>
        <w:spacing w:after="0" w:line="240" w:lineRule="auto"/>
        <w:jc w:val="both"/>
        <w:rPr>
          <w:rFonts w:ascii="Times New Roman" w:hAnsi="Times New Roman"/>
          <w:i/>
          <w:sz w:val="20"/>
          <w:szCs w:val="20"/>
        </w:rPr>
      </w:pPr>
      <w:r w:rsidRPr="000F5B3A">
        <w:rPr>
          <w:rFonts w:ascii="Times New Roman" w:hAnsi="Times New Roman"/>
          <w:i/>
          <w:sz w:val="20"/>
          <w:szCs w:val="20"/>
          <w:vertAlign w:val="superscript"/>
        </w:rPr>
        <w:t xml:space="preserve">6) </w:t>
      </w:r>
      <w:r w:rsidRPr="00816662">
        <w:rPr>
          <w:rFonts w:ascii="Times New Roman" w:hAnsi="Times New Roman"/>
          <w:i/>
          <w:sz w:val="20"/>
          <w:szCs w:val="20"/>
        </w:rPr>
        <w:t xml:space="preserve">Do vzorce 1 a vzorce 2 se dosazuje počet obyvatel správního obvodu (správního </w:t>
      </w:r>
      <w:r>
        <w:rPr>
          <w:rFonts w:ascii="Times New Roman" w:hAnsi="Times New Roman"/>
          <w:i/>
          <w:sz w:val="20"/>
          <w:szCs w:val="20"/>
        </w:rPr>
        <w:t>centra) vyjádřený v tisících. V </w:t>
      </w:r>
      <w:r w:rsidRPr="00816662">
        <w:rPr>
          <w:rFonts w:ascii="Times New Roman" w:hAnsi="Times New Roman"/>
          <w:i/>
          <w:sz w:val="20"/>
          <w:szCs w:val="20"/>
        </w:rPr>
        <w:t>případě, že správní obvod obce s rozšířenou působností je menší než 15 tis. obyvatel, je pro účely výpočtu příspěvku podle vzorce 1 stanoven správní obvod na 15 tis. obyvatel.</w:t>
      </w:r>
    </w:p>
    <w:p w:rsidR="00A3160D" w:rsidRPr="000F5B3A" w:rsidRDefault="00A3160D" w:rsidP="00A3160D">
      <w:pPr>
        <w:widowControl w:val="0"/>
        <w:autoSpaceDE w:val="0"/>
        <w:autoSpaceDN w:val="0"/>
        <w:adjustRightInd w:val="0"/>
        <w:spacing w:after="0" w:line="240" w:lineRule="auto"/>
        <w:jc w:val="both"/>
        <w:rPr>
          <w:rFonts w:ascii="Times New Roman" w:hAnsi="Times New Roman"/>
          <w:i/>
          <w:sz w:val="20"/>
          <w:szCs w:val="20"/>
        </w:rPr>
      </w:pPr>
      <w:r w:rsidRPr="000F5B3A">
        <w:rPr>
          <w:rFonts w:ascii="Times New Roman" w:hAnsi="Times New Roman"/>
          <w:i/>
          <w:sz w:val="20"/>
          <w:szCs w:val="20"/>
          <w:vertAlign w:val="superscript"/>
        </w:rPr>
        <w:t>7)</w:t>
      </w:r>
      <w:r w:rsidRPr="000F5B3A">
        <w:rPr>
          <w:rFonts w:ascii="Times New Roman" w:hAnsi="Times New Roman"/>
          <w:i/>
          <w:sz w:val="20"/>
          <w:szCs w:val="20"/>
        </w:rPr>
        <w:t xml:space="preserve"> Výpočet podle vzorce 1 a vzorce 2 se nepoužije pro stanovení výše příspěvku u hlavního města Prahy. </w:t>
      </w:r>
    </w:p>
    <w:p w:rsidR="00A3160D" w:rsidRPr="000F5B3A" w:rsidRDefault="00A3160D" w:rsidP="00A3160D">
      <w:pPr>
        <w:widowControl w:val="0"/>
        <w:autoSpaceDE w:val="0"/>
        <w:autoSpaceDN w:val="0"/>
        <w:adjustRightInd w:val="0"/>
        <w:spacing w:after="0" w:line="240" w:lineRule="auto"/>
        <w:jc w:val="both"/>
        <w:rPr>
          <w:rFonts w:ascii="Times New Roman" w:hAnsi="Times New Roman"/>
          <w:i/>
          <w:sz w:val="20"/>
          <w:szCs w:val="20"/>
        </w:rPr>
      </w:pPr>
      <w:r w:rsidRPr="000F5B3A">
        <w:rPr>
          <w:rFonts w:ascii="Times New Roman" w:hAnsi="Times New Roman"/>
          <w:i/>
          <w:sz w:val="20"/>
          <w:szCs w:val="20"/>
          <w:vertAlign w:val="superscript"/>
        </w:rPr>
        <w:t>8)</w:t>
      </w:r>
      <w:r w:rsidRPr="000F5B3A">
        <w:rPr>
          <w:rFonts w:ascii="Times New Roman" w:hAnsi="Times New Roman"/>
          <w:i/>
          <w:sz w:val="20"/>
          <w:szCs w:val="20"/>
        </w:rPr>
        <w:t xml:space="preserve"> Pro rok 20</w:t>
      </w:r>
      <w:r>
        <w:rPr>
          <w:rFonts w:ascii="Times New Roman" w:hAnsi="Times New Roman"/>
          <w:i/>
          <w:sz w:val="20"/>
          <w:szCs w:val="20"/>
        </w:rPr>
        <w:t>20</w:t>
      </w:r>
      <w:r w:rsidRPr="000F5B3A">
        <w:rPr>
          <w:rFonts w:ascii="Times New Roman" w:hAnsi="Times New Roman"/>
          <w:i/>
          <w:sz w:val="20"/>
          <w:szCs w:val="20"/>
        </w:rPr>
        <w:t xml:space="preserve"> byl celkov</w:t>
      </w:r>
      <w:r>
        <w:rPr>
          <w:rFonts w:ascii="Times New Roman" w:hAnsi="Times New Roman"/>
          <w:i/>
          <w:sz w:val="20"/>
          <w:szCs w:val="20"/>
        </w:rPr>
        <w:t xml:space="preserve">ý objem příspěvku valorizován o 4,64 </w:t>
      </w:r>
      <w:r w:rsidRPr="006E0578">
        <w:rPr>
          <w:rFonts w:ascii="Times New Roman" w:hAnsi="Times New Roman"/>
          <w:i/>
          <w:sz w:val="20"/>
          <w:szCs w:val="20"/>
        </w:rPr>
        <w:t>% dle jednotlivých působností</w:t>
      </w:r>
      <w:r>
        <w:rPr>
          <w:rFonts w:ascii="Times New Roman" w:hAnsi="Times New Roman"/>
          <w:i/>
          <w:sz w:val="20"/>
          <w:szCs w:val="20"/>
        </w:rPr>
        <w:t>,</w:t>
      </w:r>
      <w:r w:rsidRPr="00162992">
        <w:rPr>
          <w:rFonts w:ascii="Times New Roman" w:hAnsi="Times New Roman"/>
          <w:i/>
          <w:sz w:val="20"/>
          <w:szCs w:val="20"/>
        </w:rPr>
        <w:t xml:space="preserve"> </w:t>
      </w:r>
      <w:r>
        <w:rPr>
          <w:rFonts w:ascii="Times New Roman" w:hAnsi="Times New Roman"/>
          <w:i/>
          <w:sz w:val="20"/>
          <w:szCs w:val="20"/>
        </w:rPr>
        <w:t>vyjma matriční působnosti</w:t>
      </w:r>
      <w:r w:rsidRPr="000F5B3A">
        <w:rPr>
          <w:rFonts w:ascii="Times New Roman" w:hAnsi="Times New Roman"/>
          <w:i/>
          <w:sz w:val="20"/>
          <w:szCs w:val="20"/>
        </w:rPr>
        <w:t>. Zohledněna byla meziroční změna počtu obyvatel.</w:t>
      </w:r>
    </w:p>
    <w:p w:rsidR="00A3160D" w:rsidRPr="000F5B3A" w:rsidRDefault="00A3160D" w:rsidP="00A3160D">
      <w:pPr>
        <w:widowControl w:val="0"/>
        <w:autoSpaceDE w:val="0"/>
        <w:autoSpaceDN w:val="0"/>
        <w:adjustRightInd w:val="0"/>
        <w:spacing w:after="0" w:line="240" w:lineRule="auto"/>
        <w:jc w:val="both"/>
        <w:rPr>
          <w:rFonts w:ascii="Arial" w:hAnsi="Arial" w:cs="Arial"/>
          <w:sz w:val="16"/>
          <w:szCs w:val="16"/>
        </w:rPr>
      </w:pPr>
      <w:r w:rsidRPr="000F5B3A">
        <w:rPr>
          <w:rFonts w:ascii="Arial" w:hAnsi="Arial" w:cs="Arial"/>
          <w:sz w:val="16"/>
          <w:szCs w:val="16"/>
        </w:rPr>
        <w:t xml:space="preserve">      </w:t>
      </w:r>
    </w:p>
    <w:p w:rsidR="00A3160D"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F5B3A">
        <w:rPr>
          <w:rFonts w:ascii="Times New Roman" w:hAnsi="Times New Roman"/>
          <w:sz w:val="20"/>
          <w:szCs w:val="20"/>
        </w:rPr>
        <w:t xml:space="preserve">Celková částka příspěvku zjištěná výše uvedeným propočtem se dle matematických zásad zaokrouhluje na celé stokoruny. </w:t>
      </w:r>
    </w:p>
    <w:p w:rsidR="00A3160D" w:rsidRDefault="00A3160D" w:rsidP="00A3160D">
      <w:pPr>
        <w:widowControl w:val="0"/>
        <w:autoSpaceDE w:val="0"/>
        <w:autoSpaceDN w:val="0"/>
        <w:adjustRightInd w:val="0"/>
        <w:spacing w:after="0" w:line="240" w:lineRule="auto"/>
        <w:jc w:val="both"/>
        <w:rPr>
          <w:rFonts w:ascii="Arial" w:hAnsi="Arial" w:cs="Arial"/>
          <w:sz w:val="16"/>
          <w:szCs w:val="16"/>
        </w:rPr>
      </w:pPr>
    </w:p>
    <w:p w:rsidR="00A3160D" w:rsidRPr="000F5B3A" w:rsidRDefault="00A3160D" w:rsidP="00A3160D">
      <w:pPr>
        <w:widowControl w:val="0"/>
        <w:autoSpaceDE w:val="0"/>
        <w:autoSpaceDN w:val="0"/>
        <w:adjustRightInd w:val="0"/>
        <w:spacing w:after="0" w:line="240" w:lineRule="auto"/>
        <w:jc w:val="both"/>
        <w:rPr>
          <w:rFonts w:ascii="Times New Roman" w:hAnsi="Times New Roman"/>
          <w:b/>
          <w:bCs/>
          <w:sz w:val="24"/>
          <w:szCs w:val="24"/>
        </w:rPr>
      </w:pPr>
      <w:r w:rsidRPr="000F5B3A">
        <w:rPr>
          <w:rFonts w:ascii="Times New Roman" w:hAnsi="Times New Roman"/>
          <w:b/>
          <w:bCs/>
          <w:sz w:val="24"/>
          <w:szCs w:val="24"/>
        </w:rPr>
        <w:t xml:space="preserve">C) Obce s rozšířenou působností se zvláštním postavením </w:t>
      </w:r>
    </w:p>
    <w:p w:rsidR="00A3160D" w:rsidRPr="000F5B3A" w:rsidRDefault="00A3160D" w:rsidP="00A3160D">
      <w:pPr>
        <w:widowControl w:val="0"/>
        <w:autoSpaceDE w:val="0"/>
        <w:autoSpaceDN w:val="0"/>
        <w:adjustRightInd w:val="0"/>
        <w:spacing w:after="0" w:line="240" w:lineRule="auto"/>
        <w:jc w:val="both"/>
        <w:rPr>
          <w:rFonts w:ascii="Times New Roman" w:hAnsi="Times New Roman"/>
          <w:b/>
          <w:bCs/>
          <w:sz w:val="20"/>
          <w:szCs w:val="20"/>
        </w:rPr>
      </w:pPr>
    </w:p>
    <w:tbl>
      <w:tblPr>
        <w:tblW w:w="92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4"/>
        <w:gridCol w:w="4695"/>
      </w:tblGrid>
      <w:tr w:rsidR="00A3160D" w:rsidRPr="000F5B3A" w:rsidTr="008E31EF">
        <w:trPr>
          <w:trHeight w:val="404"/>
        </w:trPr>
        <w:tc>
          <w:tcPr>
            <w:tcW w:w="4584" w:type="dxa"/>
            <w:shd w:val="clear" w:color="auto" w:fill="FFFFFF"/>
            <w:vAlign w:val="center"/>
          </w:tcPr>
          <w:p w:rsidR="00A3160D" w:rsidRPr="000F5B3A" w:rsidRDefault="00A3160D" w:rsidP="008E31EF">
            <w:pPr>
              <w:widowControl w:val="0"/>
              <w:autoSpaceDE w:val="0"/>
              <w:autoSpaceDN w:val="0"/>
              <w:adjustRightInd w:val="0"/>
              <w:spacing w:after="0" w:line="240" w:lineRule="auto"/>
              <w:contextualSpacing/>
              <w:jc w:val="center"/>
              <w:rPr>
                <w:rFonts w:ascii="Times New Roman" w:hAnsi="Times New Roman"/>
                <w:b/>
                <w:bCs/>
                <w:sz w:val="20"/>
                <w:szCs w:val="20"/>
              </w:rPr>
            </w:pPr>
            <w:r w:rsidRPr="000F5B3A">
              <w:rPr>
                <w:rFonts w:ascii="Times New Roman" w:hAnsi="Times New Roman"/>
                <w:b/>
                <w:bCs/>
                <w:sz w:val="20"/>
                <w:szCs w:val="20"/>
              </w:rPr>
              <w:t>Obec</w:t>
            </w:r>
          </w:p>
        </w:tc>
        <w:tc>
          <w:tcPr>
            <w:tcW w:w="4695" w:type="dxa"/>
            <w:shd w:val="clear" w:color="auto" w:fill="FFFFFF"/>
            <w:vAlign w:val="center"/>
          </w:tcPr>
          <w:p w:rsidR="00A3160D" w:rsidRPr="000F5B3A" w:rsidRDefault="00A3160D" w:rsidP="008E31EF">
            <w:pPr>
              <w:widowControl w:val="0"/>
              <w:autoSpaceDE w:val="0"/>
              <w:autoSpaceDN w:val="0"/>
              <w:adjustRightInd w:val="0"/>
              <w:spacing w:after="0" w:line="240" w:lineRule="auto"/>
              <w:contextualSpacing/>
              <w:jc w:val="center"/>
              <w:rPr>
                <w:rFonts w:ascii="Times New Roman" w:hAnsi="Times New Roman"/>
                <w:b/>
                <w:bCs/>
                <w:sz w:val="20"/>
                <w:szCs w:val="20"/>
              </w:rPr>
            </w:pPr>
            <w:r w:rsidRPr="000F5B3A">
              <w:rPr>
                <w:rFonts w:ascii="Times New Roman" w:hAnsi="Times New Roman"/>
                <w:b/>
                <w:bCs/>
                <w:sz w:val="20"/>
                <w:szCs w:val="20"/>
              </w:rPr>
              <w:t>Výše příspěvku v Kč</w:t>
            </w:r>
          </w:p>
        </w:tc>
      </w:tr>
      <w:tr w:rsidR="00A3160D" w:rsidRPr="000F5B3A" w:rsidTr="008E31EF">
        <w:trPr>
          <w:trHeight w:val="404"/>
        </w:trPr>
        <w:tc>
          <w:tcPr>
            <w:tcW w:w="4584" w:type="dxa"/>
            <w:shd w:val="clear" w:color="auto" w:fill="auto"/>
            <w:vAlign w:val="center"/>
          </w:tcPr>
          <w:p w:rsidR="00A3160D" w:rsidRPr="000F5B3A" w:rsidRDefault="00A3160D" w:rsidP="008E31EF">
            <w:pPr>
              <w:widowControl w:val="0"/>
              <w:autoSpaceDE w:val="0"/>
              <w:autoSpaceDN w:val="0"/>
              <w:adjustRightInd w:val="0"/>
              <w:spacing w:after="0" w:line="240" w:lineRule="auto"/>
              <w:contextualSpacing/>
              <w:rPr>
                <w:rFonts w:ascii="Times New Roman" w:hAnsi="Times New Roman"/>
                <w:bCs/>
                <w:sz w:val="20"/>
                <w:szCs w:val="20"/>
              </w:rPr>
            </w:pPr>
            <w:r w:rsidRPr="000F5B3A">
              <w:rPr>
                <w:rFonts w:ascii="Times New Roman" w:hAnsi="Times New Roman"/>
                <w:sz w:val="20"/>
                <w:szCs w:val="20"/>
              </w:rPr>
              <w:t>Brandýs nad Labem-Stará Boleslav</w:t>
            </w:r>
            <w:r w:rsidRPr="000F5B3A">
              <w:rPr>
                <w:rFonts w:ascii="Times New Roman" w:hAnsi="Times New Roman"/>
                <w:sz w:val="20"/>
                <w:szCs w:val="20"/>
                <w:vertAlign w:val="superscript"/>
              </w:rPr>
              <w:t>9)</w:t>
            </w:r>
          </w:p>
        </w:tc>
        <w:tc>
          <w:tcPr>
            <w:tcW w:w="4695" w:type="dxa"/>
            <w:shd w:val="clear" w:color="auto" w:fill="FFFFFF"/>
            <w:vAlign w:val="center"/>
          </w:tcPr>
          <w:p w:rsidR="00A3160D" w:rsidRPr="00816662" w:rsidRDefault="00A3160D" w:rsidP="008E31EF">
            <w:pPr>
              <w:widowControl w:val="0"/>
              <w:autoSpaceDE w:val="0"/>
              <w:autoSpaceDN w:val="0"/>
              <w:adjustRightInd w:val="0"/>
              <w:spacing w:after="0"/>
              <w:jc w:val="center"/>
              <w:rPr>
                <w:rFonts w:ascii="Times New Roman" w:hAnsi="Times New Roman"/>
                <w:sz w:val="20"/>
                <w:szCs w:val="20"/>
              </w:rPr>
            </w:pPr>
            <w:r w:rsidRPr="00816662">
              <w:rPr>
                <w:rFonts w:ascii="Times New Roman" w:hAnsi="Times New Roman"/>
                <w:sz w:val="20"/>
                <w:szCs w:val="20"/>
              </w:rPr>
              <w:t>870 186</w:t>
            </w:r>
          </w:p>
        </w:tc>
      </w:tr>
      <w:tr w:rsidR="00A3160D" w:rsidRPr="000F5B3A" w:rsidTr="008E31EF">
        <w:trPr>
          <w:trHeight w:val="404"/>
        </w:trPr>
        <w:tc>
          <w:tcPr>
            <w:tcW w:w="4584" w:type="dxa"/>
            <w:shd w:val="clear" w:color="auto" w:fill="auto"/>
            <w:vAlign w:val="center"/>
          </w:tcPr>
          <w:p w:rsidR="00A3160D" w:rsidRPr="000F5B3A" w:rsidRDefault="00A3160D" w:rsidP="008E31EF">
            <w:pPr>
              <w:widowControl w:val="0"/>
              <w:autoSpaceDE w:val="0"/>
              <w:autoSpaceDN w:val="0"/>
              <w:adjustRightInd w:val="0"/>
              <w:spacing w:after="0" w:line="240" w:lineRule="auto"/>
              <w:contextualSpacing/>
              <w:rPr>
                <w:rFonts w:ascii="Times New Roman" w:hAnsi="Times New Roman"/>
                <w:bCs/>
                <w:sz w:val="20"/>
                <w:szCs w:val="20"/>
              </w:rPr>
            </w:pPr>
            <w:r w:rsidRPr="000F5B3A">
              <w:rPr>
                <w:rFonts w:ascii="Times New Roman" w:hAnsi="Times New Roman"/>
                <w:sz w:val="20"/>
                <w:szCs w:val="20"/>
              </w:rPr>
              <w:t>Černošice</w:t>
            </w:r>
            <w:r w:rsidRPr="000F5B3A">
              <w:rPr>
                <w:rFonts w:ascii="Times New Roman" w:hAnsi="Times New Roman"/>
                <w:sz w:val="20"/>
                <w:szCs w:val="20"/>
                <w:vertAlign w:val="superscript"/>
              </w:rPr>
              <w:t>9)</w:t>
            </w:r>
          </w:p>
        </w:tc>
        <w:tc>
          <w:tcPr>
            <w:tcW w:w="4695" w:type="dxa"/>
            <w:shd w:val="clear" w:color="auto" w:fill="FFFFFF"/>
            <w:vAlign w:val="center"/>
          </w:tcPr>
          <w:p w:rsidR="00A3160D" w:rsidRPr="00816662" w:rsidRDefault="00A3160D" w:rsidP="008E31EF">
            <w:pPr>
              <w:widowControl w:val="0"/>
              <w:autoSpaceDE w:val="0"/>
              <w:autoSpaceDN w:val="0"/>
              <w:adjustRightInd w:val="0"/>
              <w:spacing w:after="0"/>
              <w:jc w:val="center"/>
              <w:rPr>
                <w:rFonts w:ascii="Times New Roman" w:hAnsi="Times New Roman"/>
                <w:sz w:val="20"/>
                <w:szCs w:val="20"/>
              </w:rPr>
            </w:pPr>
            <w:r w:rsidRPr="00816662">
              <w:rPr>
                <w:rFonts w:ascii="Times New Roman" w:hAnsi="Times New Roman"/>
                <w:sz w:val="20"/>
                <w:szCs w:val="20"/>
              </w:rPr>
              <w:t>11 822 153</w:t>
            </w:r>
          </w:p>
        </w:tc>
      </w:tr>
      <w:tr w:rsidR="00A3160D" w:rsidRPr="000F5B3A" w:rsidTr="008E31EF">
        <w:trPr>
          <w:trHeight w:val="404"/>
        </w:trPr>
        <w:tc>
          <w:tcPr>
            <w:tcW w:w="4584" w:type="dxa"/>
            <w:shd w:val="clear" w:color="auto" w:fill="auto"/>
            <w:vAlign w:val="center"/>
          </w:tcPr>
          <w:p w:rsidR="00A3160D" w:rsidRPr="000F5B3A" w:rsidRDefault="00A3160D" w:rsidP="008E31EF">
            <w:pPr>
              <w:widowControl w:val="0"/>
              <w:autoSpaceDE w:val="0"/>
              <w:autoSpaceDN w:val="0"/>
              <w:adjustRightInd w:val="0"/>
              <w:spacing w:after="0" w:line="240" w:lineRule="auto"/>
              <w:contextualSpacing/>
              <w:rPr>
                <w:rFonts w:ascii="Times New Roman" w:hAnsi="Times New Roman"/>
                <w:bCs/>
                <w:sz w:val="20"/>
                <w:szCs w:val="20"/>
              </w:rPr>
            </w:pPr>
            <w:r w:rsidRPr="000F5B3A">
              <w:rPr>
                <w:rFonts w:ascii="Times New Roman" w:hAnsi="Times New Roman"/>
                <w:sz w:val="20"/>
                <w:szCs w:val="20"/>
              </w:rPr>
              <w:t>Nýřany</w:t>
            </w:r>
            <w:r w:rsidRPr="000F5B3A">
              <w:rPr>
                <w:rFonts w:ascii="Times New Roman" w:hAnsi="Times New Roman"/>
                <w:sz w:val="20"/>
                <w:szCs w:val="20"/>
                <w:vertAlign w:val="superscript"/>
              </w:rPr>
              <w:t>9)</w:t>
            </w:r>
          </w:p>
        </w:tc>
        <w:tc>
          <w:tcPr>
            <w:tcW w:w="4695" w:type="dxa"/>
            <w:shd w:val="clear" w:color="auto" w:fill="FFFFFF"/>
            <w:vAlign w:val="center"/>
          </w:tcPr>
          <w:p w:rsidR="00A3160D" w:rsidRPr="00816662" w:rsidRDefault="00A3160D" w:rsidP="008E31EF">
            <w:pPr>
              <w:widowControl w:val="0"/>
              <w:autoSpaceDE w:val="0"/>
              <w:autoSpaceDN w:val="0"/>
              <w:adjustRightInd w:val="0"/>
              <w:spacing w:after="0"/>
              <w:jc w:val="center"/>
              <w:rPr>
                <w:rFonts w:ascii="Times New Roman" w:hAnsi="Times New Roman"/>
                <w:sz w:val="20"/>
                <w:szCs w:val="20"/>
              </w:rPr>
            </w:pPr>
            <w:r w:rsidRPr="00816662">
              <w:rPr>
                <w:rFonts w:ascii="Times New Roman" w:hAnsi="Times New Roman"/>
                <w:sz w:val="20"/>
                <w:szCs w:val="20"/>
              </w:rPr>
              <w:t>5 026 345</w:t>
            </w:r>
          </w:p>
        </w:tc>
      </w:tr>
      <w:tr w:rsidR="00A3160D" w:rsidRPr="000F5B3A" w:rsidTr="008E31EF">
        <w:trPr>
          <w:trHeight w:val="404"/>
        </w:trPr>
        <w:tc>
          <w:tcPr>
            <w:tcW w:w="4584" w:type="dxa"/>
            <w:shd w:val="clear" w:color="auto" w:fill="auto"/>
            <w:vAlign w:val="center"/>
          </w:tcPr>
          <w:p w:rsidR="00A3160D" w:rsidRPr="000F5B3A" w:rsidRDefault="00A3160D" w:rsidP="008E31EF">
            <w:pPr>
              <w:widowControl w:val="0"/>
              <w:autoSpaceDE w:val="0"/>
              <w:autoSpaceDN w:val="0"/>
              <w:adjustRightInd w:val="0"/>
              <w:spacing w:after="0" w:line="240" w:lineRule="auto"/>
              <w:contextualSpacing/>
              <w:rPr>
                <w:rFonts w:ascii="Times New Roman" w:hAnsi="Times New Roman"/>
                <w:bCs/>
                <w:sz w:val="20"/>
                <w:szCs w:val="20"/>
              </w:rPr>
            </w:pPr>
            <w:r w:rsidRPr="000F5B3A">
              <w:rPr>
                <w:rFonts w:ascii="Times New Roman" w:hAnsi="Times New Roman"/>
                <w:sz w:val="20"/>
                <w:szCs w:val="20"/>
              </w:rPr>
              <w:t>Šlapanice</w:t>
            </w:r>
            <w:r w:rsidRPr="000F5B3A">
              <w:rPr>
                <w:rFonts w:ascii="Times New Roman" w:hAnsi="Times New Roman"/>
                <w:sz w:val="20"/>
                <w:szCs w:val="20"/>
                <w:vertAlign w:val="superscript"/>
              </w:rPr>
              <w:t>9)</w:t>
            </w:r>
          </w:p>
        </w:tc>
        <w:tc>
          <w:tcPr>
            <w:tcW w:w="4695" w:type="dxa"/>
            <w:shd w:val="clear" w:color="auto" w:fill="FFFFFF"/>
            <w:vAlign w:val="center"/>
          </w:tcPr>
          <w:p w:rsidR="00A3160D" w:rsidRPr="00816662" w:rsidRDefault="00A3160D" w:rsidP="008E31EF">
            <w:pPr>
              <w:widowControl w:val="0"/>
              <w:autoSpaceDE w:val="0"/>
              <w:autoSpaceDN w:val="0"/>
              <w:adjustRightInd w:val="0"/>
              <w:spacing w:after="0"/>
              <w:jc w:val="center"/>
              <w:rPr>
                <w:rFonts w:ascii="Times New Roman" w:hAnsi="Times New Roman"/>
                <w:sz w:val="20"/>
                <w:szCs w:val="20"/>
              </w:rPr>
            </w:pPr>
            <w:r w:rsidRPr="00816662">
              <w:rPr>
                <w:rFonts w:ascii="Times New Roman" w:hAnsi="Times New Roman"/>
                <w:sz w:val="20"/>
                <w:szCs w:val="20"/>
              </w:rPr>
              <w:t>7 749 257</w:t>
            </w:r>
          </w:p>
        </w:tc>
      </w:tr>
      <w:tr w:rsidR="00A3160D" w:rsidRPr="000F5B3A" w:rsidTr="008E31EF">
        <w:trPr>
          <w:trHeight w:val="404"/>
        </w:trPr>
        <w:tc>
          <w:tcPr>
            <w:tcW w:w="4584" w:type="dxa"/>
            <w:shd w:val="clear" w:color="auto" w:fill="auto"/>
            <w:vAlign w:val="center"/>
          </w:tcPr>
          <w:p w:rsidR="00A3160D" w:rsidRPr="000F5B3A" w:rsidRDefault="00A3160D" w:rsidP="008E31EF">
            <w:pPr>
              <w:widowControl w:val="0"/>
              <w:autoSpaceDE w:val="0"/>
              <w:autoSpaceDN w:val="0"/>
              <w:adjustRightInd w:val="0"/>
              <w:spacing w:after="0" w:line="240" w:lineRule="auto"/>
              <w:contextualSpacing/>
              <w:rPr>
                <w:rFonts w:ascii="Times New Roman" w:hAnsi="Times New Roman"/>
                <w:bCs/>
                <w:sz w:val="20"/>
                <w:szCs w:val="20"/>
              </w:rPr>
            </w:pPr>
            <w:r w:rsidRPr="000F5B3A">
              <w:rPr>
                <w:rFonts w:ascii="Times New Roman" w:hAnsi="Times New Roman"/>
                <w:sz w:val="20"/>
                <w:szCs w:val="20"/>
              </w:rPr>
              <w:t>Brno</w:t>
            </w:r>
            <w:r w:rsidRPr="000B7411">
              <w:rPr>
                <w:rFonts w:ascii="Times New Roman" w:hAnsi="Times New Roman"/>
                <w:sz w:val="20"/>
                <w:szCs w:val="20"/>
                <w:vertAlign w:val="superscript"/>
              </w:rPr>
              <w:t>10)11)</w:t>
            </w:r>
            <w:r>
              <w:rPr>
                <w:rFonts w:ascii="Times New Roman" w:hAnsi="Times New Roman"/>
                <w:sz w:val="20"/>
                <w:szCs w:val="20"/>
                <w:vertAlign w:val="superscript"/>
              </w:rPr>
              <w:t>12)13)</w:t>
            </w:r>
          </w:p>
        </w:tc>
        <w:tc>
          <w:tcPr>
            <w:tcW w:w="4695" w:type="dxa"/>
            <w:shd w:val="clear" w:color="auto" w:fill="FFFFFF"/>
            <w:vAlign w:val="center"/>
          </w:tcPr>
          <w:p w:rsidR="00A3160D" w:rsidRPr="00816662" w:rsidRDefault="00A3160D" w:rsidP="008E31EF">
            <w:pPr>
              <w:widowControl w:val="0"/>
              <w:autoSpaceDE w:val="0"/>
              <w:autoSpaceDN w:val="0"/>
              <w:adjustRightInd w:val="0"/>
              <w:spacing w:after="0"/>
              <w:jc w:val="center"/>
              <w:rPr>
                <w:rFonts w:ascii="Times New Roman" w:hAnsi="Times New Roman"/>
                <w:sz w:val="20"/>
                <w:szCs w:val="20"/>
              </w:rPr>
            </w:pPr>
            <w:r w:rsidRPr="00816662">
              <w:rPr>
                <w:rFonts w:ascii="Times New Roman" w:hAnsi="Times New Roman"/>
                <w:sz w:val="20"/>
                <w:szCs w:val="20"/>
              </w:rPr>
              <w:t>197 004 489</w:t>
            </w:r>
          </w:p>
        </w:tc>
      </w:tr>
      <w:tr w:rsidR="00A3160D" w:rsidRPr="000F5B3A" w:rsidTr="008E31EF">
        <w:trPr>
          <w:trHeight w:val="404"/>
        </w:trPr>
        <w:tc>
          <w:tcPr>
            <w:tcW w:w="4584" w:type="dxa"/>
            <w:shd w:val="clear" w:color="auto" w:fill="auto"/>
            <w:vAlign w:val="center"/>
          </w:tcPr>
          <w:p w:rsidR="00A3160D" w:rsidRPr="000F5B3A" w:rsidRDefault="00A3160D" w:rsidP="008E31EF">
            <w:pPr>
              <w:widowControl w:val="0"/>
              <w:autoSpaceDE w:val="0"/>
              <w:autoSpaceDN w:val="0"/>
              <w:adjustRightInd w:val="0"/>
              <w:spacing w:after="0" w:line="240" w:lineRule="auto"/>
              <w:contextualSpacing/>
              <w:rPr>
                <w:rFonts w:ascii="Times New Roman" w:hAnsi="Times New Roman"/>
                <w:bCs/>
                <w:sz w:val="20"/>
                <w:szCs w:val="20"/>
              </w:rPr>
            </w:pPr>
            <w:r w:rsidRPr="000F5B3A">
              <w:rPr>
                <w:rFonts w:ascii="Times New Roman" w:hAnsi="Times New Roman"/>
                <w:sz w:val="20"/>
                <w:szCs w:val="20"/>
              </w:rPr>
              <w:t>Ostrava</w:t>
            </w:r>
            <w:r w:rsidRPr="000B7411">
              <w:rPr>
                <w:rFonts w:ascii="Times New Roman" w:hAnsi="Times New Roman"/>
                <w:sz w:val="20"/>
                <w:szCs w:val="20"/>
                <w:vertAlign w:val="superscript"/>
              </w:rPr>
              <w:t>10)</w:t>
            </w:r>
            <w:r>
              <w:rPr>
                <w:rFonts w:ascii="Times New Roman" w:hAnsi="Times New Roman"/>
                <w:sz w:val="20"/>
                <w:szCs w:val="20"/>
                <w:vertAlign w:val="superscript"/>
              </w:rPr>
              <w:t>14)</w:t>
            </w:r>
          </w:p>
        </w:tc>
        <w:tc>
          <w:tcPr>
            <w:tcW w:w="4695" w:type="dxa"/>
            <w:shd w:val="clear" w:color="auto" w:fill="FFFFFF"/>
            <w:vAlign w:val="center"/>
          </w:tcPr>
          <w:p w:rsidR="00A3160D" w:rsidRPr="00816662" w:rsidRDefault="00A3160D" w:rsidP="008E31EF">
            <w:pPr>
              <w:widowControl w:val="0"/>
              <w:autoSpaceDE w:val="0"/>
              <w:autoSpaceDN w:val="0"/>
              <w:adjustRightInd w:val="0"/>
              <w:spacing w:after="0"/>
              <w:jc w:val="center"/>
              <w:rPr>
                <w:rFonts w:ascii="Times New Roman" w:hAnsi="Times New Roman"/>
                <w:sz w:val="20"/>
                <w:szCs w:val="20"/>
              </w:rPr>
            </w:pPr>
            <w:r w:rsidRPr="00816662">
              <w:rPr>
                <w:rFonts w:ascii="Times New Roman" w:hAnsi="Times New Roman"/>
                <w:sz w:val="20"/>
                <w:szCs w:val="20"/>
              </w:rPr>
              <w:t>138 281 887</w:t>
            </w:r>
          </w:p>
        </w:tc>
      </w:tr>
      <w:tr w:rsidR="00A3160D" w:rsidRPr="000F5B3A" w:rsidTr="008E31EF">
        <w:trPr>
          <w:trHeight w:val="404"/>
        </w:trPr>
        <w:tc>
          <w:tcPr>
            <w:tcW w:w="4584" w:type="dxa"/>
            <w:shd w:val="clear" w:color="auto" w:fill="auto"/>
            <w:vAlign w:val="center"/>
          </w:tcPr>
          <w:p w:rsidR="00A3160D" w:rsidRPr="000F5B3A" w:rsidRDefault="00A3160D" w:rsidP="008E31EF">
            <w:pPr>
              <w:widowControl w:val="0"/>
              <w:autoSpaceDE w:val="0"/>
              <w:autoSpaceDN w:val="0"/>
              <w:adjustRightInd w:val="0"/>
              <w:spacing w:after="0" w:line="240" w:lineRule="auto"/>
              <w:contextualSpacing/>
              <w:rPr>
                <w:rFonts w:ascii="Times New Roman" w:hAnsi="Times New Roman"/>
                <w:bCs/>
                <w:sz w:val="20"/>
                <w:szCs w:val="20"/>
              </w:rPr>
            </w:pPr>
            <w:r w:rsidRPr="000F5B3A">
              <w:rPr>
                <w:rFonts w:ascii="Times New Roman" w:hAnsi="Times New Roman"/>
                <w:sz w:val="20"/>
                <w:szCs w:val="20"/>
              </w:rPr>
              <w:t>Plzeň</w:t>
            </w:r>
            <w:r w:rsidRPr="000B7411">
              <w:rPr>
                <w:rFonts w:ascii="Times New Roman" w:hAnsi="Times New Roman"/>
                <w:sz w:val="20"/>
                <w:szCs w:val="20"/>
                <w:vertAlign w:val="superscript"/>
              </w:rPr>
              <w:t>10)</w:t>
            </w:r>
            <w:r>
              <w:rPr>
                <w:rFonts w:ascii="Times New Roman" w:hAnsi="Times New Roman"/>
                <w:sz w:val="20"/>
                <w:szCs w:val="20"/>
                <w:vertAlign w:val="superscript"/>
              </w:rPr>
              <w:t>15)</w:t>
            </w:r>
          </w:p>
        </w:tc>
        <w:tc>
          <w:tcPr>
            <w:tcW w:w="4695" w:type="dxa"/>
            <w:shd w:val="clear" w:color="auto" w:fill="FFFFFF"/>
            <w:vAlign w:val="center"/>
          </w:tcPr>
          <w:p w:rsidR="00A3160D" w:rsidRPr="00816662" w:rsidRDefault="00A3160D" w:rsidP="008E31EF">
            <w:pPr>
              <w:widowControl w:val="0"/>
              <w:autoSpaceDE w:val="0"/>
              <w:autoSpaceDN w:val="0"/>
              <w:adjustRightInd w:val="0"/>
              <w:spacing w:after="0"/>
              <w:jc w:val="center"/>
              <w:rPr>
                <w:rFonts w:ascii="Times New Roman" w:hAnsi="Times New Roman"/>
                <w:sz w:val="20"/>
                <w:szCs w:val="20"/>
              </w:rPr>
            </w:pPr>
            <w:r w:rsidRPr="00816662">
              <w:rPr>
                <w:rFonts w:ascii="Times New Roman" w:hAnsi="Times New Roman"/>
                <w:sz w:val="20"/>
                <w:szCs w:val="20"/>
              </w:rPr>
              <w:t>33 958 886</w:t>
            </w:r>
          </w:p>
        </w:tc>
      </w:tr>
    </w:tbl>
    <w:p w:rsidR="00A3160D" w:rsidRPr="0099180C" w:rsidRDefault="00A3160D" w:rsidP="00A3160D">
      <w:pPr>
        <w:widowControl w:val="0"/>
        <w:autoSpaceDE w:val="0"/>
        <w:autoSpaceDN w:val="0"/>
        <w:adjustRightInd w:val="0"/>
        <w:spacing w:after="0" w:line="240" w:lineRule="auto"/>
        <w:jc w:val="both"/>
        <w:rPr>
          <w:rFonts w:ascii="Times New Roman" w:hAnsi="Times New Roman"/>
          <w:i/>
          <w:sz w:val="20"/>
          <w:szCs w:val="20"/>
        </w:rPr>
      </w:pPr>
      <w:r w:rsidRPr="000F5B3A">
        <w:rPr>
          <w:rFonts w:ascii="Times New Roman" w:hAnsi="Times New Roman"/>
          <w:i/>
          <w:sz w:val="20"/>
          <w:szCs w:val="20"/>
          <w:vertAlign w:val="superscript"/>
        </w:rPr>
        <w:lastRenderedPageBreak/>
        <w:t>9)</w:t>
      </w:r>
      <w:r w:rsidRPr="000F5B3A">
        <w:rPr>
          <w:rFonts w:ascii="Times New Roman" w:hAnsi="Times New Roman"/>
          <w:i/>
          <w:sz w:val="20"/>
          <w:szCs w:val="20"/>
        </w:rPr>
        <w:t xml:space="preserve"> </w:t>
      </w:r>
      <w:hyperlink r:id="rId13" w:history="1">
        <w:r w:rsidRPr="000F5B3A">
          <w:rPr>
            <w:rFonts w:ascii="Times New Roman" w:hAnsi="Times New Roman"/>
            <w:i/>
            <w:sz w:val="20"/>
            <w:szCs w:val="20"/>
            <w:u w:val="single"/>
          </w:rPr>
          <w:t>§ 2 odst. 2 zákona č. 314/2002 Sb.</w:t>
        </w:r>
      </w:hyperlink>
      <w:r w:rsidRPr="000F5B3A">
        <w:rPr>
          <w:rFonts w:ascii="Times New Roman" w:hAnsi="Times New Roman"/>
          <w:i/>
          <w:sz w:val="20"/>
          <w:szCs w:val="20"/>
        </w:rPr>
        <w:t>, o stanovení obcí s pověřeným obecním úřadem a stanovení obcí s rozšířenou působností.</w:t>
      </w:r>
      <w:r>
        <w:rPr>
          <w:rFonts w:ascii="Times New Roman" w:hAnsi="Times New Roman"/>
          <w:i/>
          <w:sz w:val="20"/>
          <w:szCs w:val="20"/>
        </w:rPr>
        <w:t xml:space="preserve"> Výše příspěvku je nově založena </w:t>
      </w:r>
      <w:r w:rsidRPr="00F605F9">
        <w:rPr>
          <w:rFonts w:ascii="Times New Roman" w:hAnsi="Times New Roman"/>
          <w:i/>
          <w:sz w:val="20"/>
          <w:szCs w:val="20"/>
        </w:rPr>
        <w:t xml:space="preserve">na skutečném počtu zaměstnanců na detašovaném pracovišti (vyjma zaměstnanců </w:t>
      </w:r>
      <w:r>
        <w:rPr>
          <w:rFonts w:ascii="Times New Roman" w:hAnsi="Times New Roman"/>
          <w:i/>
          <w:sz w:val="20"/>
          <w:szCs w:val="20"/>
        </w:rPr>
        <w:t>orgánů sociálně-právní ochrany dětí</w:t>
      </w:r>
      <w:r w:rsidRPr="00F605F9">
        <w:rPr>
          <w:rFonts w:ascii="Times New Roman" w:hAnsi="Times New Roman"/>
          <w:i/>
          <w:sz w:val="20"/>
          <w:szCs w:val="20"/>
        </w:rPr>
        <w:t xml:space="preserve">, kteří jsou financováni z dotací </w:t>
      </w:r>
      <w:r>
        <w:rPr>
          <w:rFonts w:ascii="Times New Roman" w:hAnsi="Times New Roman"/>
          <w:i/>
          <w:sz w:val="20"/>
          <w:szCs w:val="20"/>
        </w:rPr>
        <w:t>Ministerstva práce a sociálních věcí</w:t>
      </w:r>
      <w:r w:rsidRPr="00F605F9">
        <w:rPr>
          <w:rFonts w:ascii="Times New Roman" w:hAnsi="Times New Roman"/>
          <w:i/>
          <w:sz w:val="20"/>
          <w:szCs w:val="20"/>
        </w:rPr>
        <w:t>) a velikosti správního obvodu</w:t>
      </w:r>
      <w:r>
        <w:rPr>
          <w:rFonts w:ascii="Times New Roman" w:hAnsi="Times New Roman"/>
          <w:i/>
          <w:sz w:val="20"/>
          <w:szCs w:val="20"/>
        </w:rPr>
        <w:t xml:space="preserve"> obcí s rozšířenou působností.</w:t>
      </w:r>
    </w:p>
    <w:p w:rsidR="00A3160D" w:rsidRDefault="00A3160D" w:rsidP="00A3160D">
      <w:pPr>
        <w:widowControl w:val="0"/>
        <w:autoSpaceDE w:val="0"/>
        <w:autoSpaceDN w:val="0"/>
        <w:adjustRightInd w:val="0"/>
        <w:spacing w:after="0" w:line="240" w:lineRule="auto"/>
        <w:jc w:val="both"/>
        <w:rPr>
          <w:rFonts w:ascii="Times New Roman" w:hAnsi="Times New Roman"/>
          <w:i/>
          <w:sz w:val="20"/>
          <w:szCs w:val="20"/>
        </w:rPr>
      </w:pPr>
      <w:r>
        <w:rPr>
          <w:rFonts w:ascii="Times New Roman" w:hAnsi="Times New Roman"/>
          <w:i/>
          <w:sz w:val="20"/>
          <w:szCs w:val="20"/>
          <w:vertAlign w:val="superscript"/>
        </w:rPr>
        <w:t>10</w:t>
      </w:r>
      <w:r w:rsidRPr="000F5B3A">
        <w:rPr>
          <w:rFonts w:ascii="Times New Roman" w:hAnsi="Times New Roman"/>
          <w:i/>
          <w:sz w:val="20"/>
          <w:szCs w:val="20"/>
          <w:vertAlign w:val="superscript"/>
        </w:rPr>
        <w:t>)</w:t>
      </w:r>
      <w:r w:rsidRPr="000F5B3A">
        <w:rPr>
          <w:rFonts w:ascii="Times New Roman" w:hAnsi="Times New Roman"/>
          <w:i/>
          <w:sz w:val="20"/>
          <w:szCs w:val="20"/>
        </w:rPr>
        <w:t xml:space="preserve"> Obce, které vykonávaly do 31. 12. 2002 působnost okresního úřadu podle </w:t>
      </w:r>
      <w:hyperlink r:id="rId14" w:history="1">
        <w:r w:rsidRPr="000F5B3A">
          <w:rPr>
            <w:rFonts w:ascii="Times New Roman" w:hAnsi="Times New Roman"/>
            <w:i/>
            <w:sz w:val="20"/>
            <w:szCs w:val="20"/>
            <w:u w:val="single"/>
          </w:rPr>
          <w:t>§ 10 zákona č. 147/2000 Sb.</w:t>
        </w:r>
      </w:hyperlink>
      <w:r w:rsidRPr="000F5B3A">
        <w:rPr>
          <w:rFonts w:ascii="Times New Roman" w:hAnsi="Times New Roman"/>
          <w:i/>
          <w:sz w:val="20"/>
          <w:szCs w:val="20"/>
        </w:rPr>
        <w:t xml:space="preserve">, o okresních úřadech, ve znění zákona č. </w:t>
      </w:r>
      <w:hyperlink r:id="rId15" w:history="1">
        <w:r w:rsidRPr="000F5B3A">
          <w:rPr>
            <w:rFonts w:ascii="Times New Roman" w:hAnsi="Times New Roman"/>
            <w:i/>
            <w:sz w:val="20"/>
            <w:szCs w:val="20"/>
            <w:u w:val="single"/>
          </w:rPr>
          <w:t>320/2001 Sb.</w:t>
        </w:r>
      </w:hyperlink>
      <w:r w:rsidRPr="000F5B3A">
        <w:rPr>
          <w:rFonts w:ascii="Times New Roman" w:hAnsi="Times New Roman"/>
          <w:i/>
          <w:sz w:val="20"/>
          <w:szCs w:val="20"/>
        </w:rPr>
        <w:t xml:space="preserve"> (Poznámka: zákon č. </w:t>
      </w:r>
      <w:hyperlink r:id="rId16" w:history="1">
        <w:r w:rsidRPr="000F5B3A">
          <w:rPr>
            <w:rFonts w:ascii="Times New Roman" w:hAnsi="Times New Roman"/>
            <w:i/>
            <w:sz w:val="20"/>
            <w:szCs w:val="20"/>
            <w:u w:val="single"/>
          </w:rPr>
          <w:t>147/2000 Sb.</w:t>
        </w:r>
      </w:hyperlink>
      <w:r w:rsidRPr="000F5B3A">
        <w:rPr>
          <w:rFonts w:ascii="Times New Roman" w:hAnsi="Times New Roman"/>
          <w:i/>
          <w:sz w:val="20"/>
          <w:szCs w:val="20"/>
        </w:rPr>
        <w:t xml:space="preserve"> byl zrušen ke dni 1. </w:t>
      </w:r>
      <w:r>
        <w:rPr>
          <w:rFonts w:ascii="Times New Roman" w:hAnsi="Times New Roman"/>
          <w:i/>
          <w:sz w:val="20"/>
          <w:szCs w:val="20"/>
        </w:rPr>
        <w:t> </w:t>
      </w:r>
      <w:r w:rsidRPr="000F5B3A">
        <w:rPr>
          <w:rFonts w:ascii="Times New Roman" w:hAnsi="Times New Roman"/>
          <w:i/>
          <w:sz w:val="20"/>
          <w:szCs w:val="20"/>
        </w:rPr>
        <w:t xml:space="preserve">1. </w:t>
      </w:r>
      <w:r>
        <w:rPr>
          <w:rFonts w:ascii="Times New Roman" w:hAnsi="Times New Roman"/>
          <w:i/>
          <w:sz w:val="20"/>
          <w:szCs w:val="20"/>
        </w:rPr>
        <w:t> </w:t>
      </w:r>
      <w:r w:rsidRPr="000F5B3A">
        <w:rPr>
          <w:rFonts w:ascii="Times New Roman" w:hAnsi="Times New Roman"/>
          <w:i/>
          <w:sz w:val="20"/>
          <w:szCs w:val="20"/>
        </w:rPr>
        <w:t xml:space="preserve">2003). </w:t>
      </w:r>
    </w:p>
    <w:p w:rsidR="00A3160D" w:rsidRPr="00681031" w:rsidRDefault="00A3160D" w:rsidP="00A3160D">
      <w:pPr>
        <w:widowControl w:val="0"/>
        <w:autoSpaceDE w:val="0"/>
        <w:autoSpaceDN w:val="0"/>
        <w:adjustRightInd w:val="0"/>
        <w:spacing w:after="0" w:line="240" w:lineRule="auto"/>
        <w:jc w:val="both"/>
        <w:rPr>
          <w:rFonts w:ascii="Times New Roman" w:hAnsi="Times New Roman"/>
          <w:i/>
          <w:sz w:val="20"/>
          <w:szCs w:val="20"/>
          <w:vertAlign w:val="superscript"/>
        </w:rPr>
      </w:pPr>
      <w:r w:rsidRPr="00681031">
        <w:rPr>
          <w:rFonts w:ascii="Times New Roman" w:hAnsi="Times New Roman"/>
          <w:i/>
          <w:sz w:val="20"/>
          <w:szCs w:val="20"/>
          <w:vertAlign w:val="superscript"/>
        </w:rPr>
        <w:t>11)</w:t>
      </w:r>
      <w:r w:rsidRPr="00681031">
        <w:t xml:space="preserve"> </w:t>
      </w:r>
      <w:hyperlink r:id="rId17" w:history="1">
        <w:r w:rsidRPr="000F5B3A">
          <w:rPr>
            <w:rFonts w:ascii="Times New Roman" w:hAnsi="Times New Roman"/>
            <w:i/>
            <w:sz w:val="20"/>
            <w:szCs w:val="20"/>
            <w:u w:val="single"/>
          </w:rPr>
          <w:t>§ 3 odst. 5 zákona č. 301/2000 Sb.</w:t>
        </w:r>
      </w:hyperlink>
      <w:r w:rsidRPr="000F5B3A">
        <w:rPr>
          <w:rFonts w:ascii="Times New Roman" w:hAnsi="Times New Roman"/>
          <w:i/>
          <w:sz w:val="20"/>
          <w:szCs w:val="20"/>
        </w:rPr>
        <w:t>, o matrikách, jménu a příjmení a o změně některých souvisejících zákonů, ve znění pozdějších předpisů.</w:t>
      </w:r>
    </w:p>
    <w:p w:rsidR="00A3160D" w:rsidRPr="00222144" w:rsidRDefault="00A3160D" w:rsidP="00A3160D">
      <w:pPr>
        <w:widowControl w:val="0"/>
        <w:autoSpaceDE w:val="0"/>
        <w:autoSpaceDN w:val="0"/>
        <w:adjustRightInd w:val="0"/>
        <w:spacing w:after="0" w:line="240" w:lineRule="auto"/>
        <w:jc w:val="both"/>
        <w:rPr>
          <w:rFonts w:ascii="Times New Roman" w:hAnsi="Times New Roman"/>
          <w:i/>
          <w:sz w:val="20"/>
          <w:szCs w:val="20"/>
        </w:rPr>
      </w:pPr>
      <w:r>
        <w:rPr>
          <w:rFonts w:ascii="Times New Roman" w:hAnsi="Times New Roman"/>
          <w:i/>
          <w:sz w:val="20"/>
          <w:szCs w:val="20"/>
          <w:vertAlign w:val="superscript"/>
        </w:rPr>
        <w:t>1</w:t>
      </w:r>
      <w:r w:rsidRPr="000F5B3A">
        <w:rPr>
          <w:rFonts w:ascii="Times New Roman" w:hAnsi="Times New Roman"/>
          <w:i/>
          <w:sz w:val="20"/>
          <w:szCs w:val="20"/>
          <w:vertAlign w:val="superscript"/>
        </w:rPr>
        <w:t>2)</w:t>
      </w:r>
      <w:r w:rsidRPr="000F5B3A">
        <w:rPr>
          <w:rFonts w:ascii="Times New Roman" w:hAnsi="Times New Roman"/>
          <w:i/>
          <w:sz w:val="20"/>
          <w:szCs w:val="20"/>
        </w:rPr>
        <w:t xml:space="preserve"> </w:t>
      </w:r>
      <w:hyperlink r:id="rId18" w:history="1">
        <w:r w:rsidRPr="000F5B3A">
          <w:rPr>
            <w:rFonts w:ascii="Times New Roman" w:hAnsi="Times New Roman"/>
            <w:i/>
            <w:sz w:val="20"/>
            <w:szCs w:val="20"/>
            <w:u w:val="single"/>
          </w:rPr>
          <w:t>§ 31 až 37 zákona č. 186/2013 Sb.</w:t>
        </w:r>
      </w:hyperlink>
      <w:r w:rsidRPr="000F5B3A">
        <w:rPr>
          <w:rFonts w:ascii="Times New Roman" w:hAnsi="Times New Roman"/>
          <w:i/>
          <w:sz w:val="20"/>
          <w:szCs w:val="20"/>
        </w:rPr>
        <w:t>, o státním občanství České republiky a o změně některých zákonů (zákon o státním občanství České republiky</w:t>
      </w:r>
      <w:r w:rsidR="00A9470A" w:rsidRPr="00222144">
        <w:rPr>
          <w:rFonts w:ascii="Times New Roman" w:hAnsi="Times New Roman"/>
          <w:i/>
          <w:sz w:val="20"/>
          <w:szCs w:val="20"/>
        </w:rPr>
        <w:t>, ve znění zákona č. 204/2019 Sb.</w:t>
      </w:r>
      <w:r w:rsidRPr="00222144">
        <w:rPr>
          <w:rFonts w:ascii="Times New Roman" w:hAnsi="Times New Roman"/>
          <w:i/>
          <w:sz w:val="20"/>
          <w:szCs w:val="20"/>
        </w:rPr>
        <w:t>).</w:t>
      </w:r>
    </w:p>
    <w:p w:rsidR="00A3160D" w:rsidRPr="00071CD6" w:rsidRDefault="00A3160D" w:rsidP="00A3160D">
      <w:pPr>
        <w:widowControl w:val="0"/>
        <w:autoSpaceDE w:val="0"/>
        <w:autoSpaceDN w:val="0"/>
        <w:adjustRightInd w:val="0"/>
        <w:spacing w:after="0" w:line="240" w:lineRule="auto"/>
        <w:jc w:val="both"/>
        <w:rPr>
          <w:rFonts w:ascii="Times New Roman" w:hAnsi="Times New Roman"/>
          <w:i/>
          <w:sz w:val="20"/>
          <w:szCs w:val="20"/>
        </w:rPr>
      </w:pPr>
      <w:r>
        <w:rPr>
          <w:rFonts w:ascii="Times New Roman" w:hAnsi="Times New Roman"/>
          <w:i/>
          <w:sz w:val="20"/>
          <w:szCs w:val="20"/>
          <w:vertAlign w:val="superscript"/>
        </w:rPr>
        <w:t>13</w:t>
      </w:r>
      <w:r w:rsidRPr="00071CD6">
        <w:rPr>
          <w:rFonts w:ascii="Times New Roman" w:hAnsi="Times New Roman"/>
          <w:i/>
          <w:sz w:val="20"/>
          <w:szCs w:val="20"/>
          <w:vertAlign w:val="superscript"/>
        </w:rPr>
        <w:t>)</w:t>
      </w:r>
      <w:r w:rsidRPr="00071CD6">
        <w:rPr>
          <w:rFonts w:ascii="Times New Roman" w:hAnsi="Times New Roman"/>
          <w:i/>
          <w:sz w:val="20"/>
          <w:szCs w:val="20"/>
        </w:rPr>
        <w:t xml:space="preserve"> V částce zahrnuto navýšení o 14 814 026 Kč ve prospěch matričních úřadů statutárního města Brno.</w:t>
      </w:r>
      <w:r>
        <w:rPr>
          <w:rFonts w:ascii="Times New Roman" w:hAnsi="Times New Roman"/>
          <w:i/>
          <w:sz w:val="20"/>
          <w:szCs w:val="20"/>
        </w:rPr>
        <w:t xml:space="preserve"> Částka je odvozena od počtu sledovaných úkonů dle </w:t>
      </w:r>
      <w:proofErr w:type="gramStart"/>
      <w:r>
        <w:rPr>
          <w:rFonts w:ascii="Times New Roman" w:hAnsi="Times New Roman"/>
          <w:i/>
          <w:sz w:val="20"/>
          <w:szCs w:val="20"/>
        </w:rPr>
        <w:t>části</w:t>
      </w:r>
      <w:r w:rsidR="00C35E1E">
        <w:rPr>
          <w:rFonts w:ascii="Times New Roman" w:hAnsi="Times New Roman"/>
          <w:i/>
          <w:sz w:val="20"/>
          <w:szCs w:val="20"/>
        </w:rPr>
        <w:t xml:space="preserve"> </w:t>
      </w:r>
      <w:r>
        <w:rPr>
          <w:rFonts w:ascii="Times New Roman" w:hAnsi="Times New Roman"/>
          <w:i/>
          <w:sz w:val="20"/>
          <w:szCs w:val="20"/>
        </w:rPr>
        <w:t>1.H).</w:t>
      </w:r>
      <w:proofErr w:type="gramEnd"/>
    </w:p>
    <w:p w:rsidR="00A3160D" w:rsidRPr="00071CD6" w:rsidRDefault="00A3160D" w:rsidP="00A3160D">
      <w:pPr>
        <w:widowControl w:val="0"/>
        <w:autoSpaceDE w:val="0"/>
        <w:autoSpaceDN w:val="0"/>
        <w:adjustRightInd w:val="0"/>
        <w:spacing w:after="0" w:line="240" w:lineRule="auto"/>
        <w:jc w:val="both"/>
        <w:rPr>
          <w:rFonts w:ascii="Times New Roman" w:hAnsi="Times New Roman"/>
          <w:i/>
          <w:sz w:val="20"/>
          <w:szCs w:val="20"/>
        </w:rPr>
      </w:pPr>
      <w:r>
        <w:rPr>
          <w:rFonts w:ascii="Times New Roman" w:hAnsi="Times New Roman"/>
          <w:i/>
          <w:sz w:val="20"/>
          <w:szCs w:val="20"/>
          <w:vertAlign w:val="superscript"/>
        </w:rPr>
        <w:t>14</w:t>
      </w:r>
      <w:r w:rsidRPr="00071CD6">
        <w:rPr>
          <w:rFonts w:ascii="Times New Roman" w:hAnsi="Times New Roman"/>
          <w:i/>
          <w:sz w:val="20"/>
          <w:szCs w:val="20"/>
          <w:vertAlign w:val="superscript"/>
        </w:rPr>
        <w:t>)</w:t>
      </w:r>
      <w:r w:rsidRPr="00071CD6">
        <w:rPr>
          <w:rFonts w:ascii="Times New Roman" w:hAnsi="Times New Roman"/>
          <w:i/>
          <w:sz w:val="20"/>
          <w:szCs w:val="20"/>
        </w:rPr>
        <w:t xml:space="preserve"> V částce zahrnuto navýšení o 10 777 730 Kč ve prospěch matričních úřadů statutárního města Ostrava.</w:t>
      </w:r>
      <w:r>
        <w:rPr>
          <w:rFonts w:ascii="Times New Roman" w:hAnsi="Times New Roman"/>
          <w:i/>
          <w:sz w:val="20"/>
          <w:szCs w:val="20"/>
        </w:rPr>
        <w:t xml:space="preserve"> Částka je odvozena od počtu sledovaných úkonů dle </w:t>
      </w:r>
      <w:proofErr w:type="gramStart"/>
      <w:r>
        <w:rPr>
          <w:rFonts w:ascii="Times New Roman" w:hAnsi="Times New Roman"/>
          <w:i/>
          <w:sz w:val="20"/>
          <w:szCs w:val="20"/>
        </w:rPr>
        <w:t>části</w:t>
      </w:r>
      <w:r w:rsidR="00C35E1E">
        <w:rPr>
          <w:rFonts w:ascii="Times New Roman" w:hAnsi="Times New Roman"/>
          <w:i/>
          <w:sz w:val="20"/>
          <w:szCs w:val="20"/>
        </w:rPr>
        <w:t xml:space="preserve"> </w:t>
      </w:r>
      <w:r>
        <w:rPr>
          <w:rFonts w:ascii="Times New Roman" w:hAnsi="Times New Roman"/>
          <w:i/>
          <w:sz w:val="20"/>
          <w:szCs w:val="20"/>
        </w:rPr>
        <w:t>1.H).</w:t>
      </w:r>
      <w:proofErr w:type="gramEnd"/>
    </w:p>
    <w:p w:rsidR="00A3160D" w:rsidRPr="00071CD6" w:rsidRDefault="00A3160D" w:rsidP="00A3160D">
      <w:pPr>
        <w:widowControl w:val="0"/>
        <w:autoSpaceDE w:val="0"/>
        <w:autoSpaceDN w:val="0"/>
        <w:adjustRightInd w:val="0"/>
        <w:spacing w:after="0" w:line="240" w:lineRule="auto"/>
        <w:jc w:val="both"/>
        <w:rPr>
          <w:rFonts w:ascii="Times New Roman" w:hAnsi="Times New Roman"/>
          <w:i/>
          <w:sz w:val="20"/>
          <w:szCs w:val="20"/>
        </w:rPr>
      </w:pPr>
      <w:r>
        <w:rPr>
          <w:rFonts w:ascii="Times New Roman" w:hAnsi="Times New Roman"/>
          <w:i/>
          <w:sz w:val="20"/>
          <w:szCs w:val="20"/>
          <w:vertAlign w:val="superscript"/>
        </w:rPr>
        <w:t>15</w:t>
      </w:r>
      <w:r w:rsidRPr="00071CD6">
        <w:rPr>
          <w:rFonts w:ascii="Times New Roman" w:hAnsi="Times New Roman"/>
          <w:i/>
          <w:sz w:val="20"/>
          <w:szCs w:val="20"/>
          <w:vertAlign w:val="superscript"/>
        </w:rPr>
        <w:t>)</w:t>
      </w:r>
      <w:r w:rsidRPr="00071CD6">
        <w:rPr>
          <w:rFonts w:ascii="Times New Roman" w:hAnsi="Times New Roman"/>
          <w:i/>
          <w:sz w:val="20"/>
          <w:szCs w:val="20"/>
        </w:rPr>
        <w:t xml:space="preserve"> V částce zahrnuto navýšení o 8 329 381 Kč ve prospěch matričních úřadů statutárního města Plzeň.</w:t>
      </w:r>
      <w:r>
        <w:rPr>
          <w:rFonts w:ascii="Times New Roman" w:hAnsi="Times New Roman"/>
          <w:i/>
          <w:sz w:val="20"/>
          <w:szCs w:val="20"/>
        </w:rPr>
        <w:t xml:space="preserve"> Částka je odvozena od počtu sledovaných úkonů dle </w:t>
      </w:r>
      <w:proofErr w:type="gramStart"/>
      <w:r>
        <w:rPr>
          <w:rFonts w:ascii="Times New Roman" w:hAnsi="Times New Roman"/>
          <w:i/>
          <w:sz w:val="20"/>
          <w:szCs w:val="20"/>
        </w:rPr>
        <w:t>části</w:t>
      </w:r>
      <w:r w:rsidR="00C35E1E">
        <w:rPr>
          <w:rFonts w:ascii="Times New Roman" w:hAnsi="Times New Roman"/>
          <w:i/>
          <w:sz w:val="20"/>
          <w:szCs w:val="20"/>
        </w:rPr>
        <w:t xml:space="preserve"> </w:t>
      </w:r>
      <w:r>
        <w:rPr>
          <w:rFonts w:ascii="Times New Roman" w:hAnsi="Times New Roman"/>
          <w:i/>
          <w:sz w:val="20"/>
          <w:szCs w:val="20"/>
        </w:rPr>
        <w:t>1.H).</w:t>
      </w:r>
      <w:proofErr w:type="gramEnd"/>
    </w:p>
    <w:p w:rsidR="00A3160D" w:rsidRPr="000F5B3A" w:rsidRDefault="00A3160D" w:rsidP="00A3160D">
      <w:pPr>
        <w:widowControl w:val="0"/>
        <w:autoSpaceDE w:val="0"/>
        <w:autoSpaceDN w:val="0"/>
        <w:adjustRightInd w:val="0"/>
        <w:spacing w:after="0" w:line="240" w:lineRule="auto"/>
        <w:rPr>
          <w:rFonts w:ascii="Arial" w:hAnsi="Arial" w:cs="Arial"/>
          <w:b/>
          <w:bCs/>
          <w:sz w:val="20"/>
          <w:szCs w:val="20"/>
        </w:rPr>
      </w:pPr>
      <w:r w:rsidRPr="000F5B3A">
        <w:rPr>
          <w:rFonts w:ascii="Arial" w:hAnsi="Arial" w:cs="Arial"/>
          <w:sz w:val="20"/>
          <w:szCs w:val="20"/>
        </w:rPr>
        <w:t xml:space="preserve"> </w:t>
      </w:r>
      <w:r w:rsidRPr="000F5B3A">
        <w:rPr>
          <w:rFonts w:ascii="Arial" w:hAnsi="Arial" w:cs="Arial"/>
          <w:b/>
          <w:bCs/>
          <w:sz w:val="20"/>
          <w:szCs w:val="20"/>
        </w:rPr>
        <w:tab/>
      </w:r>
    </w:p>
    <w:p w:rsidR="00A3160D" w:rsidRPr="000F5B3A" w:rsidRDefault="00A3160D" w:rsidP="00A3160D">
      <w:pPr>
        <w:widowControl w:val="0"/>
        <w:autoSpaceDE w:val="0"/>
        <w:autoSpaceDN w:val="0"/>
        <w:adjustRightInd w:val="0"/>
        <w:spacing w:after="0" w:line="240" w:lineRule="auto"/>
        <w:jc w:val="both"/>
        <w:rPr>
          <w:rFonts w:ascii="Times New Roman" w:hAnsi="Times New Roman"/>
          <w:b/>
          <w:bCs/>
          <w:sz w:val="24"/>
          <w:szCs w:val="24"/>
        </w:rPr>
      </w:pPr>
      <w:r w:rsidRPr="000F5B3A">
        <w:rPr>
          <w:rFonts w:ascii="Times New Roman" w:hAnsi="Times New Roman"/>
          <w:b/>
          <w:bCs/>
          <w:sz w:val="24"/>
          <w:szCs w:val="24"/>
        </w:rPr>
        <w:t>D) Financování veřejného opatrovnictví včetně souvislostí</w:t>
      </w:r>
    </w:p>
    <w:p w:rsidR="00A3160D" w:rsidRPr="000F5B3A" w:rsidRDefault="00A3160D" w:rsidP="00A3160D">
      <w:pPr>
        <w:widowControl w:val="0"/>
        <w:autoSpaceDE w:val="0"/>
        <w:autoSpaceDN w:val="0"/>
        <w:adjustRightInd w:val="0"/>
        <w:spacing w:after="0" w:line="240" w:lineRule="auto"/>
        <w:rPr>
          <w:rFonts w:ascii="Times New Roman" w:hAnsi="Times New Roman"/>
          <w:b/>
          <w:bCs/>
          <w:sz w:val="20"/>
          <w:szCs w:val="20"/>
        </w:rPr>
      </w:pPr>
      <w:r w:rsidRPr="000F5B3A">
        <w:rPr>
          <w:rFonts w:ascii="Times New Roman" w:hAnsi="Times New Roman"/>
          <w:b/>
          <w:bCs/>
          <w:sz w:val="20"/>
          <w:szCs w:val="20"/>
        </w:rPr>
        <w:t xml:space="preserve"> </w:t>
      </w:r>
    </w:p>
    <w:p w:rsidR="00A3160D" w:rsidRPr="00071CD6"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71CD6">
        <w:rPr>
          <w:rFonts w:ascii="Times New Roman" w:hAnsi="Times New Roman"/>
          <w:sz w:val="20"/>
          <w:szCs w:val="20"/>
        </w:rPr>
        <w:t xml:space="preserve">Předmětné financování se týká opatrovnictví zletilých osob, a to jak těch, které byly omezeny ve svéprávnosti (dle </w:t>
      </w:r>
      <w:r w:rsidRPr="00071CD6">
        <w:rPr>
          <w:rFonts w:ascii="Times New Roman" w:hAnsi="Times New Roman"/>
          <w:sz w:val="20"/>
          <w:szCs w:val="20"/>
          <w:u w:val="single"/>
        </w:rPr>
        <w:t>§ 55 zákona č. 89/2012 Sb</w:t>
      </w:r>
      <w:r w:rsidRPr="00222144">
        <w:rPr>
          <w:rFonts w:ascii="Times New Roman" w:hAnsi="Times New Roman"/>
          <w:sz w:val="20"/>
          <w:szCs w:val="20"/>
        </w:rPr>
        <w:t>.</w:t>
      </w:r>
      <w:r w:rsidR="00DE0C06" w:rsidRPr="00222144">
        <w:rPr>
          <w:rFonts w:ascii="Times New Roman" w:hAnsi="Times New Roman"/>
          <w:sz w:val="20"/>
          <w:szCs w:val="20"/>
        </w:rPr>
        <w:t xml:space="preserve">, občanský </w:t>
      </w:r>
      <w:r w:rsidRPr="00222144">
        <w:rPr>
          <w:rFonts w:ascii="Times New Roman" w:hAnsi="Times New Roman"/>
          <w:sz w:val="20"/>
          <w:szCs w:val="20"/>
        </w:rPr>
        <w:t xml:space="preserve">zákoník </w:t>
      </w:r>
      <w:r w:rsidR="00DE0C06" w:rsidRPr="00222144">
        <w:rPr>
          <w:rFonts w:ascii="Times New Roman" w:hAnsi="Times New Roman"/>
          <w:sz w:val="20"/>
          <w:szCs w:val="20"/>
        </w:rPr>
        <w:t xml:space="preserve">(dále jen „OZ“) </w:t>
      </w:r>
      <w:r w:rsidRPr="00222144">
        <w:rPr>
          <w:rFonts w:ascii="Times New Roman" w:hAnsi="Times New Roman"/>
          <w:sz w:val="20"/>
          <w:szCs w:val="20"/>
        </w:rPr>
        <w:t xml:space="preserve">ve spojení </w:t>
      </w:r>
      <w:r>
        <w:rPr>
          <w:rFonts w:ascii="Times New Roman" w:hAnsi="Times New Roman"/>
          <w:sz w:val="20"/>
          <w:szCs w:val="20"/>
        </w:rPr>
        <w:t>s § </w:t>
      </w:r>
      <w:r w:rsidRPr="00071CD6">
        <w:rPr>
          <w:rFonts w:ascii="Times New Roman" w:hAnsi="Times New Roman"/>
          <w:sz w:val="20"/>
          <w:szCs w:val="20"/>
        </w:rPr>
        <w:t xml:space="preserve">62), tak i těch, které omezeny nebyly (§ 469 OZ - špatný zdravotní stav působí obtíže při správě jmění nebo hájení práv). V těchto případech je zde pravomocný rozsudek soudu, který jmenuje obec veřejným opatrovníkem nikoliv jen pro jedno konkrétní řízení, ale pro komplexní výkon práv a povinností spojených s dlouhodobou omezenou schopností opatrovance zajišťovat své potřeby vlastními silami. </w:t>
      </w:r>
    </w:p>
    <w:p w:rsidR="00A3160D" w:rsidRPr="00071CD6"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71CD6">
        <w:rPr>
          <w:rFonts w:ascii="Times New Roman" w:hAnsi="Times New Roman"/>
          <w:sz w:val="20"/>
          <w:szCs w:val="20"/>
        </w:rPr>
        <w:t xml:space="preserve"> </w:t>
      </w:r>
      <w:r w:rsidRPr="00071CD6">
        <w:rPr>
          <w:rFonts w:ascii="Times New Roman" w:hAnsi="Times New Roman"/>
          <w:sz w:val="20"/>
          <w:szCs w:val="20"/>
        </w:rPr>
        <w:tab/>
      </w:r>
    </w:p>
    <w:p w:rsidR="00A3160D" w:rsidRPr="00071CD6"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71CD6">
        <w:rPr>
          <w:rFonts w:ascii="Times New Roman" w:hAnsi="Times New Roman"/>
          <w:sz w:val="20"/>
          <w:szCs w:val="20"/>
        </w:rPr>
        <w:t>Toto financování se ale netýká procesního opatrovnictví osob, u kterých není známo, kde pobývají, nebo osob neznámých, které se účastní určitého právního jednání. Netýká se taktéž ustanovení obce jako osoby určené pro provedení určitých jednotlivých právních jednání, nebo jíž je svěřena správa m</w:t>
      </w:r>
      <w:r>
        <w:rPr>
          <w:rFonts w:ascii="Times New Roman" w:hAnsi="Times New Roman"/>
          <w:sz w:val="20"/>
          <w:szCs w:val="20"/>
        </w:rPr>
        <w:t>ajetku osoby již během řízení o </w:t>
      </w:r>
      <w:r w:rsidRPr="00071CD6">
        <w:rPr>
          <w:rFonts w:ascii="Times New Roman" w:hAnsi="Times New Roman"/>
          <w:sz w:val="20"/>
          <w:szCs w:val="20"/>
        </w:rPr>
        <w:t xml:space="preserve">svéprávnosti dle </w:t>
      </w:r>
      <w:r w:rsidRPr="00071CD6">
        <w:rPr>
          <w:rFonts w:ascii="Times New Roman" w:hAnsi="Times New Roman"/>
          <w:sz w:val="20"/>
          <w:szCs w:val="20"/>
          <w:u w:val="single"/>
        </w:rPr>
        <w:t>§ 58 OZ</w:t>
      </w:r>
      <w:r w:rsidRPr="00071CD6">
        <w:rPr>
          <w:rFonts w:ascii="Times New Roman" w:hAnsi="Times New Roman"/>
          <w:sz w:val="20"/>
          <w:szCs w:val="20"/>
        </w:rPr>
        <w:t xml:space="preserve">. Netýká se ani procesního opatrovnictví pro řízení o svéprávnosti, opatrovnictví či některých podpůrných opatření (dle </w:t>
      </w:r>
      <w:r w:rsidRPr="00071CD6">
        <w:rPr>
          <w:rFonts w:ascii="Times New Roman" w:hAnsi="Times New Roman"/>
          <w:sz w:val="20"/>
          <w:szCs w:val="20"/>
          <w:u w:val="single"/>
        </w:rPr>
        <w:t>§ 37 zákona č. 292/2013 Sb</w:t>
      </w:r>
      <w:r w:rsidRPr="00071CD6">
        <w:rPr>
          <w:rFonts w:ascii="Times New Roman" w:hAnsi="Times New Roman"/>
          <w:sz w:val="20"/>
          <w:szCs w:val="20"/>
        </w:rPr>
        <w:t xml:space="preserve">., o zvláštních řízeních soudních, ve znění pozdějších předpisů) či jiného procesního opatrovnictví. Financování se netýkají i případy opatrovnictví, kdy se obec stane dočasně opatrovníkem přímo ze zákona dle </w:t>
      </w:r>
      <w:r w:rsidRPr="00071CD6">
        <w:rPr>
          <w:rFonts w:ascii="Times New Roman" w:hAnsi="Times New Roman"/>
          <w:sz w:val="20"/>
          <w:szCs w:val="20"/>
          <w:u w:val="single"/>
        </w:rPr>
        <w:t>§ 468 OZ</w:t>
      </w:r>
      <w:r w:rsidRPr="00071CD6">
        <w:rPr>
          <w:rFonts w:ascii="Times New Roman" w:hAnsi="Times New Roman"/>
          <w:sz w:val="20"/>
          <w:szCs w:val="20"/>
        </w:rPr>
        <w:t xml:space="preserve">. Jedná se zde o případy, kdy zemřel dosavadní opatrovník (fyzická osoba) nebo kdy došlo k odvolání stávajícího opatrovníka bez jmenování nového (toto opatrovnictví zaniká právní mocí rozsudku o ustanovení nového opatrovníka). </w:t>
      </w:r>
    </w:p>
    <w:p w:rsidR="00A3160D" w:rsidRPr="00071CD6"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71CD6">
        <w:rPr>
          <w:rFonts w:ascii="Times New Roman" w:hAnsi="Times New Roman"/>
          <w:sz w:val="20"/>
          <w:szCs w:val="20"/>
        </w:rPr>
        <w:t xml:space="preserve"> </w:t>
      </w:r>
    </w:p>
    <w:p w:rsidR="00A3160D" w:rsidRPr="00071CD6"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222144">
        <w:rPr>
          <w:rFonts w:ascii="Times New Roman" w:hAnsi="Times New Roman"/>
          <w:sz w:val="20"/>
          <w:szCs w:val="20"/>
        </w:rPr>
        <w:t xml:space="preserve">V případě rozhodnutí z období </w:t>
      </w:r>
      <w:r w:rsidR="00DE0C06" w:rsidRPr="00222144">
        <w:rPr>
          <w:rFonts w:ascii="Times New Roman" w:hAnsi="Times New Roman"/>
          <w:sz w:val="20"/>
          <w:szCs w:val="20"/>
        </w:rPr>
        <w:t xml:space="preserve">přede dnem nabytí účinnosti zákona č. 89/2012 Sb., občanský zákoník </w:t>
      </w:r>
      <w:r w:rsidRPr="00222144">
        <w:rPr>
          <w:rFonts w:ascii="Times New Roman" w:hAnsi="Times New Roman"/>
          <w:sz w:val="20"/>
          <w:szCs w:val="20"/>
        </w:rPr>
        <w:t>se financování týká rozhodnutí o omezení ve způsobilosti k právním úkonům dle § 10 odst. 2 a</w:t>
      </w:r>
      <w:r w:rsidRPr="00071CD6">
        <w:rPr>
          <w:rFonts w:ascii="Times New Roman" w:hAnsi="Times New Roman"/>
          <w:sz w:val="20"/>
          <w:szCs w:val="20"/>
        </w:rPr>
        <w:t xml:space="preserve"> rozhodnutí o zbavení způsobilosti k právním úkonům dle </w:t>
      </w:r>
      <w:r w:rsidRPr="00071CD6">
        <w:rPr>
          <w:rFonts w:ascii="Times New Roman" w:hAnsi="Times New Roman"/>
          <w:sz w:val="20"/>
          <w:szCs w:val="20"/>
          <w:u w:val="single"/>
        </w:rPr>
        <w:t>§ 10 odst. 1 zákona č. 40/1964 Sb</w:t>
      </w:r>
      <w:r w:rsidRPr="00071CD6">
        <w:rPr>
          <w:rFonts w:ascii="Times New Roman" w:hAnsi="Times New Roman"/>
          <w:sz w:val="20"/>
          <w:szCs w:val="20"/>
        </w:rPr>
        <w:t xml:space="preserve">., Občanský zákoník. </w:t>
      </w:r>
    </w:p>
    <w:p w:rsidR="00A3160D" w:rsidRPr="00071CD6"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71CD6">
        <w:rPr>
          <w:rFonts w:ascii="Times New Roman" w:hAnsi="Times New Roman"/>
          <w:sz w:val="20"/>
          <w:szCs w:val="20"/>
        </w:rPr>
        <w:t xml:space="preserve"> </w:t>
      </w:r>
    </w:p>
    <w:p w:rsidR="00A3160D" w:rsidRPr="00071CD6"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71CD6">
        <w:rPr>
          <w:rFonts w:ascii="Times New Roman" w:hAnsi="Times New Roman"/>
          <w:sz w:val="20"/>
          <w:szCs w:val="20"/>
        </w:rPr>
        <w:t xml:space="preserve">Obce jako veřejní opatrovníci obdrží násobek paušální platby na jednoho opatrovance podle jejich faktického počtu k rozhodnému dni. Tímto rozhodným dnem pro příspěvek na rok 2020 je 31. březen 2019. K tomuto rozhodnému dni bylo prostřednictvím krajských úřadů realizováno ve všech obcích zjišťování skutečného stavu výkonu veřejného opatrovnictví. Následně byla takto kraji učiněná zjištění zveřejněna na internetových stránkách Ministerstva vnitra s cílem umožnit obcím zjištěné skutečnosti verifikovat. </w:t>
      </w:r>
    </w:p>
    <w:p w:rsidR="00A3160D" w:rsidRPr="00071CD6"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71CD6">
        <w:rPr>
          <w:rFonts w:ascii="Times New Roman" w:hAnsi="Times New Roman"/>
          <w:sz w:val="20"/>
          <w:szCs w:val="20"/>
        </w:rPr>
        <w:t xml:space="preserve"> </w:t>
      </w:r>
    </w:p>
    <w:p w:rsidR="00A3160D" w:rsidRPr="00071CD6"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71CD6">
        <w:rPr>
          <w:rFonts w:ascii="Times New Roman" w:hAnsi="Times New Roman"/>
          <w:sz w:val="20"/>
          <w:szCs w:val="20"/>
        </w:rPr>
        <w:t xml:space="preserve">Výše zmíněná paušální platba byla pro rok 2020 stanovena ve výši 29 000 Kč na opatrovance za rok. Na změny v počtu </w:t>
      </w:r>
      <w:proofErr w:type="spellStart"/>
      <w:r w:rsidRPr="00071CD6">
        <w:rPr>
          <w:rFonts w:ascii="Times New Roman" w:hAnsi="Times New Roman"/>
          <w:sz w:val="20"/>
          <w:szCs w:val="20"/>
        </w:rPr>
        <w:t>opatrovanců</w:t>
      </w:r>
      <w:proofErr w:type="spellEnd"/>
      <w:r w:rsidRPr="00071CD6">
        <w:rPr>
          <w:rFonts w:ascii="Times New Roman" w:hAnsi="Times New Roman"/>
          <w:sz w:val="20"/>
          <w:szCs w:val="20"/>
        </w:rPr>
        <w:t xml:space="preserve"> v průběhu roku není brán zřetel. Jedná se pouze o živé osoby pod opatrovnictvím obcí. Zároveň nehraje roli faktická přítomnost osoby v obci, tedy zda osoba v rozhodném datu pobývá na jiném místě (například zdravotnické zařízení, zařízení sociálních služeb apod.), či zda jde o osobu migrující v dalších obcích. </w:t>
      </w:r>
    </w:p>
    <w:p w:rsidR="00A3160D" w:rsidRPr="00071CD6"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71CD6">
        <w:rPr>
          <w:rFonts w:ascii="Times New Roman" w:hAnsi="Times New Roman"/>
          <w:sz w:val="20"/>
          <w:szCs w:val="20"/>
        </w:rPr>
        <w:t xml:space="preserve"> </w:t>
      </w:r>
    </w:p>
    <w:p w:rsidR="00A3160D"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71CD6">
        <w:rPr>
          <w:rFonts w:ascii="Times New Roman" w:hAnsi="Times New Roman"/>
          <w:sz w:val="20"/>
          <w:szCs w:val="20"/>
        </w:rPr>
        <w:t>Obcím, vykonávajícím působnost veřejných opatrovníků, bude výše příspěvku n</w:t>
      </w:r>
      <w:r>
        <w:rPr>
          <w:rFonts w:ascii="Times New Roman" w:hAnsi="Times New Roman"/>
          <w:sz w:val="20"/>
          <w:szCs w:val="20"/>
        </w:rPr>
        <w:t>a výkon státní správy zvýšena o </w:t>
      </w:r>
      <w:r w:rsidRPr="00071CD6">
        <w:rPr>
          <w:rFonts w:ascii="Times New Roman" w:hAnsi="Times New Roman"/>
          <w:sz w:val="20"/>
          <w:szCs w:val="20"/>
        </w:rPr>
        <w:t xml:space="preserve">částku, která odpovídá násobku faktického počtu </w:t>
      </w:r>
      <w:proofErr w:type="spellStart"/>
      <w:r w:rsidRPr="00071CD6">
        <w:rPr>
          <w:rFonts w:ascii="Times New Roman" w:hAnsi="Times New Roman"/>
          <w:sz w:val="20"/>
          <w:szCs w:val="20"/>
        </w:rPr>
        <w:t>opatrovanců</w:t>
      </w:r>
      <w:proofErr w:type="spellEnd"/>
      <w:r w:rsidRPr="00071CD6">
        <w:rPr>
          <w:rFonts w:ascii="Times New Roman" w:hAnsi="Times New Roman"/>
          <w:sz w:val="20"/>
          <w:szCs w:val="20"/>
        </w:rPr>
        <w:t>.</w:t>
      </w:r>
    </w:p>
    <w:p w:rsidR="00A3160D" w:rsidRDefault="00A3160D" w:rsidP="00A3160D">
      <w:pPr>
        <w:widowControl w:val="0"/>
        <w:autoSpaceDE w:val="0"/>
        <w:autoSpaceDN w:val="0"/>
        <w:adjustRightInd w:val="0"/>
        <w:spacing w:after="0" w:line="240" w:lineRule="auto"/>
        <w:jc w:val="both"/>
        <w:rPr>
          <w:rFonts w:ascii="Times New Roman" w:hAnsi="Times New Roman"/>
          <w:sz w:val="20"/>
          <w:szCs w:val="20"/>
        </w:rPr>
      </w:pPr>
    </w:p>
    <w:p w:rsidR="00A3160D" w:rsidRPr="000F5B3A" w:rsidRDefault="00A3160D" w:rsidP="00A3160D">
      <w:pPr>
        <w:widowControl w:val="0"/>
        <w:autoSpaceDE w:val="0"/>
        <w:autoSpaceDN w:val="0"/>
        <w:adjustRightInd w:val="0"/>
        <w:spacing w:after="0" w:line="240" w:lineRule="auto"/>
        <w:jc w:val="both"/>
        <w:rPr>
          <w:rFonts w:ascii="Times New Roman" w:hAnsi="Times New Roman"/>
          <w:sz w:val="20"/>
          <w:szCs w:val="20"/>
        </w:rPr>
      </w:pPr>
    </w:p>
    <w:p w:rsidR="00A3160D" w:rsidRPr="000F5B3A" w:rsidRDefault="00A3160D" w:rsidP="00A3160D">
      <w:pPr>
        <w:widowControl w:val="0"/>
        <w:overflowPunct w:val="0"/>
        <w:autoSpaceDE w:val="0"/>
        <w:autoSpaceDN w:val="0"/>
        <w:adjustRightInd w:val="0"/>
        <w:spacing w:after="0" w:line="240" w:lineRule="auto"/>
        <w:ind w:right="40"/>
        <w:jc w:val="both"/>
        <w:rPr>
          <w:rFonts w:ascii="Times New Roman" w:hAnsi="Times New Roman"/>
          <w:b/>
          <w:sz w:val="24"/>
          <w:szCs w:val="24"/>
        </w:rPr>
      </w:pPr>
      <w:r w:rsidRPr="000F5B3A">
        <w:rPr>
          <w:rFonts w:ascii="Times New Roman" w:hAnsi="Times New Roman"/>
          <w:b/>
          <w:sz w:val="24"/>
          <w:szCs w:val="24"/>
        </w:rPr>
        <w:t>E) Financování jednotných kontaktních míst</w:t>
      </w:r>
    </w:p>
    <w:p w:rsidR="00A3160D" w:rsidRPr="000F5B3A" w:rsidRDefault="00A3160D" w:rsidP="00A3160D">
      <w:pPr>
        <w:widowControl w:val="0"/>
        <w:overflowPunct w:val="0"/>
        <w:autoSpaceDE w:val="0"/>
        <w:autoSpaceDN w:val="0"/>
        <w:adjustRightInd w:val="0"/>
        <w:spacing w:after="0" w:line="240" w:lineRule="auto"/>
        <w:ind w:right="40"/>
        <w:jc w:val="both"/>
        <w:rPr>
          <w:rFonts w:ascii="Times New Roman" w:hAnsi="Times New Roman"/>
          <w:sz w:val="20"/>
          <w:szCs w:val="20"/>
        </w:rPr>
      </w:pPr>
    </w:p>
    <w:p w:rsidR="00A3160D" w:rsidRPr="00071CD6"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71CD6">
        <w:rPr>
          <w:rFonts w:ascii="Times New Roman" w:hAnsi="Times New Roman"/>
          <w:sz w:val="20"/>
          <w:szCs w:val="20"/>
        </w:rPr>
        <w:t xml:space="preserve">Obecní živnostenské úřady podle ustanovení </w:t>
      </w:r>
      <w:r w:rsidRPr="00071CD6">
        <w:rPr>
          <w:rFonts w:ascii="Times New Roman" w:hAnsi="Times New Roman"/>
          <w:sz w:val="20"/>
          <w:szCs w:val="20"/>
          <w:u w:val="single"/>
        </w:rPr>
        <w:t>§ 2 odst. 4 zákona č. 570/1991 Sb</w:t>
      </w:r>
      <w:r w:rsidRPr="00071CD6">
        <w:rPr>
          <w:rFonts w:ascii="Times New Roman" w:hAnsi="Times New Roman"/>
          <w:sz w:val="20"/>
          <w:szCs w:val="20"/>
        </w:rPr>
        <w:t>., o živnostenských úřadech, v</w:t>
      </w:r>
      <w:r>
        <w:rPr>
          <w:rFonts w:ascii="Times New Roman" w:hAnsi="Times New Roman"/>
          <w:sz w:val="20"/>
          <w:szCs w:val="20"/>
        </w:rPr>
        <w:t xml:space="preserve">e </w:t>
      </w:r>
      <w:r w:rsidRPr="00222144">
        <w:rPr>
          <w:rFonts w:ascii="Times New Roman" w:hAnsi="Times New Roman"/>
          <w:sz w:val="20"/>
          <w:szCs w:val="20"/>
        </w:rPr>
        <w:t xml:space="preserve">znění pozdějších </w:t>
      </w:r>
      <w:r w:rsidRPr="00071CD6">
        <w:rPr>
          <w:rFonts w:ascii="Times New Roman" w:hAnsi="Times New Roman"/>
          <w:sz w:val="20"/>
          <w:szCs w:val="20"/>
        </w:rPr>
        <w:t>předpisů</w:t>
      </w:r>
      <w:r w:rsidR="00C35E1E">
        <w:rPr>
          <w:rFonts w:ascii="Times New Roman" w:hAnsi="Times New Roman"/>
          <w:sz w:val="20"/>
          <w:szCs w:val="20"/>
        </w:rPr>
        <w:t>,</w:t>
      </w:r>
      <w:r w:rsidRPr="00071CD6">
        <w:rPr>
          <w:rFonts w:ascii="Times New Roman" w:hAnsi="Times New Roman"/>
          <w:sz w:val="20"/>
          <w:szCs w:val="20"/>
        </w:rPr>
        <w:t xml:space="preserve"> plní funkci jednotného kontaktního místa podle zákona č. 222/2009</w:t>
      </w:r>
      <w:r>
        <w:rPr>
          <w:rFonts w:ascii="Times New Roman" w:hAnsi="Times New Roman"/>
          <w:sz w:val="20"/>
          <w:szCs w:val="20"/>
        </w:rPr>
        <w:t xml:space="preserve"> Sb.</w:t>
      </w:r>
      <w:r w:rsidRPr="00071CD6">
        <w:rPr>
          <w:rFonts w:ascii="Times New Roman" w:hAnsi="Times New Roman"/>
          <w:sz w:val="20"/>
          <w:szCs w:val="20"/>
        </w:rPr>
        <w:t xml:space="preserve">, o volném </w:t>
      </w:r>
      <w:r w:rsidRPr="00071CD6">
        <w:rPr>
          <w:rFonts w:ascii="Times New Roman" w:hAnsi="Times New Roman"/>
          <w:sz w:val="20"/>
          <w:szCs w:val="20"/>
        </w:rPr>
        <w:lastRenderedPageBreak/>
        <w:t xml:space="preserve">pohybu služeb, ve znění pozdějších předpisů. </w:t>
      </w:r>
    </w:p>
    <w:p w:rsidR="00A3160D" w:rsidRPr="00071CD6"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71CD6">
        <w:rPr>
          <w:rFonts w:ascii="Times New Roman" w:hAnsi="Times New Roman"/>
          <w:sz w:val="20"/>
          <w:szCs w:val="20"/>
        </w:rPr>
        <w:t xml:space="preserve"> </w:t>
      </w:r>
    </w:p>
    <w:p w:rsidR="00A3160D" w:rsidRPr="00071CD6"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71CD6">
        <w:rPr>
          <w:rFonts w:ascii="Times New Roman" w:hAnsi="Times New Roman"/>
          <w:sz w:val="20"/>
          <w:szCs w:val="20"/>
        </w:rPr>
        <w:t>Seznam jednotných kontaktních míst je stanoven přílohou vyhlášky č</w:t>
      </w:r>
      <w:r w:rsidRPr="00071CD6">
        <w:rPr>
          <w:rFonts w:ascii="Times New Roman" w:hAnsi="Times New Roman"/>
          <w:sz w:val="20"/>
          <w:szCs w:val="20"/>
          <w:u w:val="single"/>
        </w:rPr>
        <w:t>. 248/2009 Sb</w:t>
      </w:r>
      <w:r w:rsidRPr="00071CD6">
        <w:rPr>
          <w:rFonts w:ascii="Times New Roman" w:hAnsi="Times New Roman"/>
          <w:sz w:val="20"/>
          <w:szCs w:val="20"/>
        </w:rPr>
        <w:t xml:space="preserve">., kterou se stanoví seznam jednotných kontaktních míst. </w:t>
      </w:r>
    </w:p>
    <w:p w:rsidR="00A3160D" w:rsidRPr="00071CD6"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71CD6">
        <w:rPr>
          <w:rFonts w:ascii="Times New Roman" w:hAnsi="Times New Roman"/>
          <w:sz w:val="20"/>
          <w:szCs w:val="20"/>
        </w:rPr>
        <w:t xml:space="preserve"> </w:t>
      </w:r>
    </w:p>
    <w:p w:rsidR="00A3160D"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71CD6">
        <w:rPr>
          <w:rFonts w:ascii="Times New Roman" w:hAnsi="Times New Roman"/>
          <w:sz w:val="20"/>
          <w:szCs w:val="20"/>
        </w:rPr>
        <w:t xml:space="preserve">Výše příspěvku pro jednotlivá jednotná kontaktní místa je stanovena </w:t>
      </w:r>
      <w:r>
        <w:rPr>
          <w:rFonts w:ascii="Times New Roman" w:hAnsi="Times New Roman"/>
          <w:sz w:val="20"/>
          <w:szCs w:val="20"/>
        </w:rPr>
        <w:t>na základě statistik vedených v </w:t>
      </w:r>
      <w:r w:rsidRPr="00071CD6">
        <w:rPr>
          <w:rFonts w:ascii="Times New Roman" w:hAnsi="Times New Roman"/>
          <w:sz w:val="20"/>
          <w:szCs w:val="20"/>
        </w:rPr>
        <w:t xml:space="preserve">informačním systému "SINPRO", tj. zaevidovaných a následně řešených dotazů klienta bez duplicit takovéhoto dotazu za období od 1. 1. do 31. 12. 2018. Konkrétní počet zaevidovaných a následně řešených dotazů v rámci jednotného kontaktního místa je přiřazen jednomu ze škály stanovených intervalů (rozpětí "od - do"), ke kterému jsou navázány finanční prostředky. Stanovené rozpětí bylo valorizováno </w:t>
      </w:r>
      <w:r w:rsidRPr="00145C23">
        <w:rPr>
          <w:rFonts w:ascii="Times New Roman" w:hAnsi="Times New Roman"/>
          <w:sz w:val="20"/>
          <w:szCs w:val="20"/>
        </w:rPr>
        <w:t>o 4,6 %</w:t>
      </w:r>
      <w:r w:rsidRPr="00071CD6">
        <w:rPr>
          <w:rFonts w:ascii="Times New Roman" w:hAnsi="Times New Roman"/>
          <w:sz w:val="20"/>
          <w:szCs w:val="20"/>
        </w:rPr>
        <w:t xml:space="preserve"> se zaokrouhlením částek na tisíce. Se zvyšujícím se počtem řešených dotazů se zvyšují navázané finanční prostředky v rámci škály stanovených</w:t>
      </w:r>
      <w:r>
        <w:rPr>
          <w:rFonts w:ascii="Times New Roman" w:hAnsi="Times New Roman"/>
          <w:sz w:val="20"/>
          <w:szCs w:val="20"/>
        </w:rPr>
        <w:t xml:space="preserve"> intervalů podle níže uvedeného:</w:t>
      </w:r>
    </w:p>
    <w:p w:rsidR="00A3160D" w:rsidRDefault="00A3160D" w:rsidP="00A3160D">
      <w:pPr>
        <w:widowControl w:val="0"/>
        <w:autoSpaceDE w:val="0"/>
        <w:autoSpaceDN w:val="0"/>
        <w:adjustRightInd w:val="0"/>
        <w:spacing w:after="0" w:line="240" w:lineRule="auto"/>
        <w:jc w:val="both"/>
        <w:rPr>
          <w:rFonts w:ascii="Times New Roman" w:hAnsi="Times New Roman"/>
          <w:sz w:val="20"/>
          <w:szCs w:val="20"/>
        </w:rPr>
      </w:pPr>
    </w:p>
    <w:p w:rsidR="00A3160D" w:rsidRDefault="00A3160D" w:rsidP="00A3160D">
      <w:pPr>
        <w:widowControl w:val="0"/>
        <w:autoSpaceDE w:val="0"/>
        <w:autoSpaceDN w:val="0"/>
        <w:adjustRightInd w:val="0"/>
        <w:spacing w:after="0" w:line="240" w:lineRule="auto"/>
        <w:jc w:val="both"/>
        <w:rPr>
          <w:rFonts w:ascii="Times New Roman" w:hAnsi="Times New Roman"/>
          <w:sz w:val="20"/>
          <w:szCs w:val="20"/>
        </w:rPr>
      </w:pPr>
    </w:p>
    <w:tbl>
      <w:tblPr>
        <w:tblW w:w="908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402"/>
        <w:gridCol w:w="3685"/>
      </w:tblGrid>
      <w:tr w:rsidR="00A3160D" w:rsidRPr="000F5B3A" w:rsidTr="008E31EF">
        <w:trPr>
          <w:trHeight w:val="519"/>
          <w:tblHeader/>
        </w:trPr>
        <w:tc>
          <w:tcPr>
            <w:tcW w:w="5402" w:type="dxa"/>
            <w:shd w:val="clear" w:color="000000" w:fill="FFFFFF"/>
            <w:vAlign w:val="center"/>
            <w:hideMark/>
          </w:tcPr>
          <w:p w:rsidR="00A3160D" w:rsidRPr="000F5B3A" w:rsidRDefault="00A3160D" w:rsidP="008E31EF">
            <w:pPr>
              <w:spacing w:after="0" w:line="240" w:lineRule="auto"/>
              <w:jc w:val="center"/>
              <w:rPr>
                <w:rFonts w:ascii="Times New Roman" w:hAnsi="Times New Roman"/>
                <w:b/>
                <w:bCs/>
                <w:sz w:val="20"/>
                <w:szCs w:val="20"/>
              </w:rPr>
            </w:pPr>
            <w:r w:rsidRPr="000F5B3A">
              <w:rPr>
                <w:rFonts w:ascii="Times New Roman" w:hAnsi="Times New Roman"/>
                <w:b/>
                <w:sz w:val="20"/>
                <w:szCs w:val="20"/>
              </w:rPr>
              <w:t>Rozpětí zaevidovaných a následně řešených dotazů klientů</w:t>
            </w:r>
          </w:p>
        </w:tc>
        <w:tc>
          <w:tcPr>
            <w:tcW w:w="3685" w:type="dxa"/>
            <w:shd w:val="clear" w:color="000000" w:fill="FFFFFF"/>
            <w:vAlign w:val="center"/>
            <w:hideMark/>
          </w:tcPr>
          <w:p w:rsidR="00A3160D" w:rsidRPr="000F5B3A" w:rsidRDefault="00A3160D" w:rsidP="008E31EF">
            <w:pPr>
              <w:spacing w:after="0" w:line="240" w:lineRule="auto"/>
              <w:jc w:val="center"/>
              <w:rPr>
                <w:rFonts w:ascii="Times New Roman" w:hAnsi="Times New Roman"/>
                <w:b/>
                <w:bCs/>
                <w:sz w:val="20"/>
                <w:szCs w:val="20"/>
              </w:rPr>
            </w:pPr>
            <w:r w:rsidRPr="000F5B3A">
              <w:rPr>
                <w:rFonts w:ascii="Times New Roman" w:hAnsi="Times New Roman"/>
                <w:b/>
                <w:bCs/>
                <w:sz w:val="20"/>
                <w:szCs w:val="20"/>
              </w:rPr>
              <w:t>Výše příspěvku v Kč</w:t>
            </w:r>
          </w:p>
        </w:tc>
      </w:tr>
      <w:tr w:rsidR="00A3160D" w:rsidRPr="000F5B3A" w:rsidTr="008E31EF">
        <w:trPr>
          <w:trHeight w:val="315"/>
        </w:trPr>
        <w:tc>
          <w:tcPr>
            <w:tcW w:w="5402" w:type="dxa"/>
            <w:shd w:val="clear" w:color="000000" w:fill="FFFFFF"/>
            <w:noWrap/>
            <w:vAlign w:val="center"/>
            <w:hideMark/>
          </w:tcPr>
          <w:p w:rsidR="00A3160D" w:rsidRPr="000F5B3A" w:rsidRDefault="00A3160D" w:rsidP="008E31EF">
            <w:pPr>
              <w:spacing w:after="0" w:line="240" w:lineRule="auto"/>
              <w:jc w:val="center"/>
              <w:rPr>
                <w:rFonts w:ascii="Times New Roman" w:hAnsi="Times New Roman"/>
                <w:bCs/>
                <w:sz w:val="20"/>
                <w:szCs w:val="20"/>
              </w:rPr>
            </w:pPr>
            <w:r w:rsidRPr="000F5B3A">
              <w:rPr>
                <w:rFonts w:ascii="Times New Roman" w:hAnsi="Times New Roman"/>
                <w:bCs/>
                <w:sz w:val="20"/>
                <w:szCs w:val="20"/>
              </w:rPr>
              <w:t>Od - Do</w:t>
            </w:r>
          </w:p>
        </w:tc>
        <w:tc>
          <w:tcPr>
            <w:tcW w:w="3685" w:type="dxa"/>
            <w:shd w:val="clear" w:color="000000" w:fill="FFFFFF"/>
            <w:vAlign w:val="center"/>
            <w:hideMark/>
          </w:tcPr>
          <w:p w:rsidR="00A3160D" w:rsidRPr="000F5B3A" w:rsidRDefault="00A3160D" w:rsidP="008E31EF">
            <w:pPr>
              <w:spacing w:after="0" w:line="240" w:lineRule="auto"/>
              <w:jc w:val="center"/>
              <w:rPr>
                <w:rFonts w:ascii="Times New Roman" w:hAnsi="Times New Roman"/>
                <w:bCs/>
                <w:sz w:val="20"/>
                <w:szCs w:val="20"/>
              </w:rPr>
            </w:pPr>
            <w:r w:rsidRPr="000F5B3A">
              <w:rPr>
                <w:rFonts w:ascii="Times New Roman" w:hAnsi="Times New Roman"/>
                <w:bCs/>
                <w:sz w:val="20"/>
                <w:szCs w:val="20"/>
              </w:rPr>
              <w:t>(Kč)</w:t>
            </w:r>
          </w:p>
        </w:tc>
      </w:tr>
      <w:tr w:rsidR="00A3160D" w:rsidRPr="000F5B3A" w:rsidTr="008E31EF">
        <w:trPr>
          <w:trHeight w:val="300"/>
        </w:trPr>
        <w:tc>
          <w:tcPr>
            <w:tcW w:w="5402"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0 - 25</w:t>
            </w:r>
          </w:p>
        </w:tc>
        <w:tc>
          <w:tcPr>
            <w:tcW w:w="3685"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69 000</w:t>
            </w:r>
          </w:p>
        </w:tc>
      </w:tr>
      <w:tr w:rsidR="00A3160D" w:rsidRPr="000F5B3A" w:rsidTr="008E31EF">
        <w:trPr>
          <w:trHeight w:val="300"/>
        </w:trPr>
        <w:tc>
          <w:tcPr>
            <w:tcW w:w="5402"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26 - 50</w:t>
            </w:r>
          </w:p>
        </w:tc>
        <w:tc>
          <w:tcPr>
            <w:tcW w:w="3685"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138 000</w:t>
            </w:r>
          </w:p>
        </w:tc>
      </w:tr>
      <w:tr w:rsidR="00A3160D" w:rsidRPr="000F5B3A" w:rsidTr="008E31EF">
        <w:trPr>
          <w:trHeight w:val="300"/>
        </w:trPr>
        <w:tc>
          <w:tcPr>
            <w:tcW w:w="5402"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51 - 75</w:t>
            </w:r>
          </w:p>
        </w:tc>
        <w:tc>
          <w:tcPr>
            <w:tcW w:w="3685"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207 000</w:t>
            </w:r>
          </w:p>
        </w:tc>
      </w:tr>
      <w:tr w:rsidR="00A3160D" w:rsidRPr="000F5B3A" w:rsidTr="008E31EF">
        <w:trPr>
          <w:trHeight w:val="315"/>
        </w:trPr>
        <w:tc>
          <w:tcPr>
            <w:tcW w:w="5402"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76 - 100</w:t>
            </w:r>
          </w:p>
        </w:tc>
        <w:tc>
          <w:tcPr>
            <w:tcW w:w="3685"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276 000</w:t>
            </w:r>
          </w:p>
        </w:tc>
      </w:tr>
      <w:tr w:rsidR="00A3160D" w:rsidRPr="000F5B3A" w:rsidTr="008E31EF">
        <w:trPr>
          <w:trHeight w:val="315"/>
        </w:trPr>
        <w:tc>
          <w:tcPr>
            <w:tcW w:w="5402"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101 - 125</w:t>
            </w:r>
          </w:p>
        </w:tc>
        <w:tc>
          <w:tcPr>
            <w:tcW w:w="3685"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345 000</w:t>
            </w:r>
          </w:p>
        </w:tc>
      </w:tr>
      <w:tr w:rsidR="00A3160D" w:rsidRPr="000F5B3A" w:rsidTr="008E31EF">
        <w:trPr>
          <w:trHeight w:val="315"/>
        </w:trPr>
        <w:tc>
          <w:tcPr>
            <w:tcW w:w="5402"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126 - 150</w:t>
            </w:r>
          </w:p>
        </w:tc>
        <w:tc>
          <w:tcPr>
            <w:tcW w:w="3685"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414 000</w:t>
            </w:r>
          </w:p>
        </w:tc>
      </w:tr>
      <w:tr w:rsidR="00A3160D" w:rsidRPr="000F5B3A" w:rsidTr="008E31EF">
        <w:trPr>
          <w:trHeight w:val="315"/>
        </w:trPr>
        <w:tc>
          <w:tcPr>
            <w:tcW w:w="5402"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151 - 175</w:t>
            </w:r>
          </w:p>
        </w:tc>
        <w:tc>
          <w:tcPr>
            <w:tcW w:w="3685"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483 000</w:t>
            </w:r>
          </w:p>
        </w:tc>
      </w:tr>
      <w:tr w:rsidR="00A3160D" w:rsidRPr="000F5B3A" w:rsidTr="008E31EF">
        <w:trPr>
          <w:trHeight w:val="300"/>
        </w:trPr>
        <w:tc>
          <w:tcPr>
            <w:tcW w:w="5402"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176 - 200</w:t>
            </w:r>
          </w:p>
        </w:tc>
        <w:tc>
          <w:tcPr>
            <w:tcW w:w="3685"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552 000</w:t>
            </w:r>
          </w:p>
        </w:tc>
      </w:tr>
      <w:tr w:rsidR="00A3160D" w:rsidRPr="000F5B3A" w:rsidTr="008E31EF">
        <w:trPr>
          <w:trHeight w:val="300"/>
        </w:trPr>
        <w:tc>
          <w:tcPr>
            <w:tcW w:w="5402"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201 - 225</w:t>
            </w:r>
          </w:p>
        </w:tc>
        <w:tc>
          <w:tcPr>
            <w:tcW w:w="3685"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621 000</w:t>
            </w:r>
          </w:p>
        </w:tc>
      </w:tr>
      <w:tr w:rsidR="00A3160D" w:rsidRPr="000F5B3A" w:rsidTr="008E31EF">
        <w:trPr>
          <w:trHeight w:val="300"/>
        </w:trPr>
        <w:tc>
          <w:tcPr>
            <w:tcW w:w="5402"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226 - 250</w:t>
            </w:r>
          </w:p>
        </w:tc>
        <w:tc>
          <w:tcPr>
            <w:tcW w:w="3685"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690 000</w:t>
            </w:r>
          </w:p>
        </w:tc>
      </w:tr>
      <w:tr w:rsidR="00A3160D" w:rsidRPr="000F5B3A" w:rsidTr="008E31EF">
        <w:trPr>
          <w:trHeight w:val="315"/>
        </w:trPr>
        <w:tc>
          <w:tcPr>
            <w:tcW w:w="5402"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251 - 275</w:t>
            </w:r>
          </w:p>
        </w:tc>
        <w:tc>
          <w:tcPr>
            <w:tcW w:w="3685"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759 000</w:t>
            </w:r>
          </w:p>
        </w:tc>
      </w:tr>
      <w:tr w:rsidR="00A3160D" w:rsidRPr="000F5B3A" w:rsidTr="008E31EF">
        <w:trPr>
          <w:trHeight w:val="300"/>
        </w:trPr>
        <w:tc>
          <w:tcPr>
            <w:tcW w:w="5402"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276 - 300</w:t>
            </w:r>
          </w:p>
        </w:tc>
        <w:tc>
          <w:tcPr>
            <w:tcW w:w="3685"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828 000</w:t>
            </w:r>
          </w:p>
        </w:tc>
      </w:tr>
      <w:tr w:rsidR="00A3160D" w:rsidRPr="000F5B3A" w:rsidTr="008E31EF">
        <w:trPr>
          <w:trHeight w:val="300"/>
        </w:trPr>
        <w:tc>
          <w:tcPr>
            <w:tcW w:w="5402"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301 - 325</w:t>
            </w:r>
          </w:p>
        </w:tc>
        <w:tc>
          <w:tcPr>
            <w:tcW w:w="3685"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897 000</w:t>
            </w:r>
          </w:p>
        </w:tc>
      </w:tr>
      <w:tr w:rsidR="00A3160D" w:rsidRPr="000F5B3A" w:rsidTr="008E31EF">
        <w:trPr>
          <w:trHeight w:val="300"/>
        </w:trPr>
        <w:tc>
          <w:tcPr>
            <w:tcW w:w="5402"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326 - 350</w:t>
            </w:r>
          </w:p>
        </w:tc>
        <w:tc>
          <w:tcPr>
            <w:tcW w:w="3685"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967 000</w:t>
            </w:r>
          </w:p>
        </w:tc>
      </w:tr>
      <w:tr w:rsidR="00A3160D" w:rsidRPr="000F5B3A" w:rsidTr="008E31EF">
        <w:trPr>
          <w:trHeight w:val="300"/>
        </w:trPr>
        <w:tc>
          <w:tcPr>
            <w:tcW w:w="5402"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351 - 375</w:t>
            </w:r>
          </w:p>
        </w:tc>
        <w:tc>
          <w:tcPr>
            <w:tcW w:w="3685"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1 036 000</w:t>
            </w:r>
          </w:p>
        </w:tc>
      </w:tr>
      <w:tr w:rsidR="00A3160D" w:rsidRPr="000F5B3A" w:rsidTr="008E31EF">
        <w:trPr>
          <w:trHeight w:val="300"/>
        </w:trPr>
        <w:tc>
          <w:tcPr>
            <w:tcW w:w="5402"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376 - 400</w:t>
            </w:r>
          </w:p>
        </w:tc>
        <w:tc>
          <w:tcPr>
            <w:tcW w:w="3685"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1 105 000</w:t>
            </w:r>
          </w:p>
        </w:tc>
      </w:tr>
      <w:tr w:rsidR="00A3160D" w:rsidRPr="000F5B3A" w:rsidTr="008E31EF">
        <w:trPr>
          <w:trHeight w:val="300"/>
        </w:trPr>
        <w:tc>
          <w:tcPr>
            <w:tcW w:w="5402"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401 - 425</w:t>
            </w:r>
          </w:p>
        </w:tc>
        <w:tc>
          <w:tcPr>
            <w:tcW w:w="3685"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1 174 000</w:t>
            </w:r>
          </w:p>
        </w:tc>
      </w:tr>
      <w:tr w:rsidR="00A3160D" w:rsidRPr="000F5B3A" w:rsidTr="008E31EF">
        <w:trPr>
          <w:trHeight w:val="300"/>
        </w:trPr>
        <w:tc>
          <w:tcPr>
            <w:tcW w:w="5402"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426 - 450</w:t>
            </w:r>
          </w:p>
        </w:tc>
        <w:tc>
          <w:tcPr>
            <w:tcW w:w="3685"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1 243 000</w:t>
            </w:r>
          </w:p>
        </w:tc>
      </w:tr>
      <w:tr w:rsidR="00A3160D" w:rsidRPr="000F5B3A" w:rsidTr="008E31EF">
        <w:trPr>
          <w:trHeight w:val="300"/>
        </w:trPr>
        <w:tc>
          <w:tcPr>
            <w:tcW w:w="5402"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451 - 475</w:t>
            </w:r>
          </w:p>
        </w:tc>
        <w:tc>
          <w:tcPr>
            <w:tcW w:w="3685"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1 312 000</w:t>
            </w:r>
          </w:p>
        </w:tc>
      </w:tr>
      <w:tr w:rsidR="00A3160D" w:rsidRPr="000F5B3A" w:rsidTr="008E31EF">
        <w:trPr>
          <w:trHeight w:val="300"/>
        </w:trPr>
        <w:tc>
          <w:tcPr>
            <w:tcW w:w="5402"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476 - 500</w:t>
            </w:r>
          </w:p>
        </w:tc>
        <w:tc>
          <w:tcPr>
            <w:tcW w:w="3685"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1 381 000</w:t>
            </w:r>
          </w:p>
        </w:tc>
      </w:tr>
      <w:tr w:rsidR="00A3160D" w:rsidRPr="000F5B3A" w:rsidTr="008E31EF">
        <w:trPr>
          <w:trHeight w:val="300"/>
        </w:trPr>
        <w:tc>
          <w:tcPr>
            <w:tcW w:w="5402"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501 - 525</w:t>
            </w:r>
          </w:p>
        </w:tc>
        <w:tc>
          <w:tcPr>
            <w:tcW w:w="3685"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1 450 000</w:t>
            </w:r>
          </w:p>
        </w:tc>
      </w:tr>
      <w:tr w:rsidR="00A3160D" w:rsidRPr="000F5B3A" w:rsidTr="008E31EF">
        <w:trPr>
          <w:trHeight w:val="300"/>
        </w:trPr>
        <w:tc>
          <w:tcPr>
            <w:tcW w:w="5402"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526 - 550</w:t>
            </w:r>
          </w:p>
        </w:tc>
        <w:tc>
          <w:tcPr>
            <w:tcW w:w="3685"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1 519 000</w:t>
            </w:r>
          </w:p>
        </w:tc>
      </w:tr>
      <w:tr w:rsidR="00A3160D" w:rsidRPr="000F5B3A" w:rsidTr="008E31EF">
        <w:trPr>
          <w:trHeight w:val="300"/>
        </w:trPr>
        <w:tc>
          <w:tcPr>
            <w:tcW w:w="5402"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551 - 575</w:t>
            </w:r>
          </w:p>
        </w:tc>
        <w:tc>
          <w:tcPr>
            <w:tcW w:w="3685"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1 588 000</w:t>
            </w:r>
          </w:p>
        </w:tc>
      </w:tr>
      <w:tr w:rsidR="00A3160D" w:rsidRPr="000F5B3A" w:rsidTr="008E31EF">
        <w:trPr>
          <w:trHeight w:val="300"/>
        </w:trPr>
        <w:tc>
          <w:tcPr>
            <w:tcW w:w="5402"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576 - 600</w:t>
            </w:r>
          </w:p>
        </w:tc>
        <w:tc>
          <w:tcPr>
            <w:tcW w:w="3685"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1 657 000</w:t>
            </w:r>
          </w:p>
        </w:tc>
      </w:tr>
      <w:tr w:rsidR="00A3160D" w:rsidRPr="000F5B3A" w:rsidTr="008E31EF">
        <w:trPr>
          <w:trHeight w:val="300"/>
        </w:trPr>
        <w:tc>
          <w:tcPr>
            <w:tcW w:w="5402"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 xml:space="preserve">601 </w:t>
            </w:r>
            <w:r w:rsidR="00220A3A">
              <w:rPr>
                <w:rFonts w:ascii="Times New Roman" w:hAnsi="Times New Roman"/>
                <w:sz w:val="20"/>
                <w:szCs w:val="20"/>
              </w:rPr>
              <w:t>–</w:t>
            </w:r>
            <w:r w:rsidRPr="00071CD6">
              <w:rPr>
                <w:rFonts w:ascii="Times New Roman" w:hAnsi="Times New Roman"/>
                <w:sz w:val="20"/>
                <w:szCs w:val="20"/>
              </w:rPr>
              <w:t xml:space="preserve"> 625</w:t>
            </w:r>
          </w:p>
        </w:tc>
        <w:tc>
          <w:tcPr>
            <w:tcW w:w="3685" w:type="dxa"/>
            <w:shd w:val="clear" w:color="auto" w:fill="auto"/>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1 726 000</w:t>
            </w:r>
          </w:p>
        </w:tc>
      </w:tr>
    </w:tbl>
    <w:p w:rsidR="00A3160D" w:rsidRPr="000F5B3A" w:rsidRDefault="00A3160D" w:rsidP="00A3160D">
      <w:pPr>
        <w:widowControl w:val="0"/>
        <w:autoSpaceDE w:val="0"/>
        <w:autoSpaceDN w:val="0"/>
        <w:adjustRightInd w:val="0"/>
        <w:spacing w:after="0" w:line="240" w:lineRule="auto"/>
        <w:jc w:val="both"/>
        <w:rPr>
          <w:rFonts w:ascii="Times New Roman" w:hAnsi="Times New Roman"/>
          <w:sz w:val="20"/>
          <w:szCs w:val="20"/>
        </w:rPr>
      </w:pPr>
    </w:p>
    <w:p w:rsidR="00A3160D" w:rsidRDefault="00A3160D" w:rsidP="00A3160D">
      <w:pPr>
        <w:widowControl w:val="0"/>
        <w:autoSpaceDE w:val="0"/>
        <w:autoSpaceDN w:val="0"/>
        <w:adjustRightInd w:val="0"/>
        <w:spacing w:after="0" w:line="240" w:lineRule="auto"/>
        <w:jc w:val="both"/>
        <w:rPr>
          <w:rFonts w:ascii="Times New Roman" w:hAnsi="Times New Roman"/>
          <w:sz w:val="20"/>
          <w:szCs w:val="20"/>
        </w:rPr>
      </w:pPr>
    </w:p>
    <w:p w:rsidR="00A3160D" w:rsidRDefault="00A3160D" w:rsidP="00A3160D">
      <w:pPr>
        <w:widowControl w:val="0"/>
        <w:autoSpaceDE w:val="0"/>
        <w:autoSpaceDN w:val="0"/>
        <w:adjustRightInd w:val="0"/>
        <w:spacing w:after="0" w:line="240" w:lineRule="auto"/>
        <w:jc w:val="both"/>
        <w:rPr>
          <w:rFonts w:ascii="Times New Roman" w:hAnsi="Times New Roman"/>
          <w:sz w:val="20"/>
          <w:szCs w:val="20"/>
        </w:rPr>
      </w:pPr>
    </w:p>
    <w:p w:rsidR="00A3160D" w:rsidRDefault="00A3160D" w:rsidP="00A3160D">
      <w:pPr>
        <w:widowControl w:val="0"/>
        <w:autoSpaceDE w:val="0"/>
        <w:autoSpaceDN w:val="0"/>
        <w:adjustRightInd w:val="0"/>
        <w:spacing w:after="0" w:line="240" w:lineRule="auto"/>
        <w:jc w:val="both"/>
        <w:rPr>
          <w:rFonts w:ascii="Times New Roman" w:hAnsi="Times New Roman"/>
          <w:sz w:val="20"/>
          <w:szCs w:val="20"/>
        </w:rPr>
      </w:pPr>
    </w:p>
    <w:p w:rsidR="00A3160D" w:rsidRDefault="00A3160D" w:rsidP="00A3160D">
      <w:pPr>
        <w:widowControl w:val="0"/>
        <w:autoSpaceDE w:val="0"/>
        <w:autoSpaceDN w:val="0"/>
        <w:adjustRightInd w:val="0"/>
        <w:spacing w:after="0" w:line="240" w:lineRule="auto"/>
        <w:jc w:val="both"/>
        <w:rPr>
          <w:rFonts w:ascii="Times New Roman" w:hAnsi="Times New Roman"/>
          <w:sz w:val="20"/>
          <w:szCs w:val="20"/>
        </w:rPr>
      </w:pPr>
    </w:p>
    <w:p w:rsidR="00A3160D" w:rsidRDefault="00A3160D" w:rsidP="00A3160D">
      <w:pPr>
        <w:widowControl w:val="0"/>
        <w:autoSpaceDE w:val="0"/>
        <w:autoSpaceDN w:val="0"/>
        <w:adjustRightInd w:val="0"/>
        <w:spacing w:after="0" w:line="240" w:lineRule="auto"/>
        <w:jc w:val="both"/>
        <w:rPr>
          <w:rFonts w:ascii="Times New Roman" w:hAnsi="Times New Roman"/>
          <w:sz w:val="20"/>
          <w:szCs w:val="20"/>
        </w:rPr>
      </w:pPr>
    </w:p>
    <w:p w:rsidR="00EF2AB7" w:rsidRDefault="00EF2AB7" w:rsidP="00A3160D">
      <w:pPr>
        <w:widowControl w:val="0"/>
        <w:autoSpaceDE w:val="0"/>
        <w:autoSpaceDN w:val="0"/>
        <w:adjustRightInd w:val="0"/>
        <w:spacing w:after="0" w:line="240" w:lineRule="auto"/>
        <w:jc w:val="both"/>
        <w:rPr>
          <w:rFonts w:ascii="Times New Roman" w:hAnsi="Times New Roman"/>
          <w:sz w:val="20"/>
          <w:szCs w:val="20"/>
        </w:rPr>
      </w:pPr>
    </w:p>
    <w:p w:rsidR="00EF2AB7" w:rsidRDefault="00EF2AB7" w:rsidP="00A3160D">
      <w:pPr>
        <w:widowControl w:val="0"/>
        <w:autoSpaceDE w:val="0"/>
        <w:autoSpaceDN w:val="0"/>
        <w:adjustRightInd w:val="0"/>
        <w:spacing w:after="0" w:line="240" w:lineRule="auto"/>
        <w:jc w:val="both"/>
        <w:rPr>
          <w:rFonts w:ascii="Times New Roman" w:hAnsi="Times New Roman"/>
          <w:sz w:val="20"/>
          <w:szCs w:val="20"/>
        </w:rPr>
      </w:pPr>
    </w:p>
    <w:p w:rsidR="00EF2AB7" w:rsidRDefault="00EF2AB7" w:rsidP="00A3160D">
      <w:pPr>
        <w:widowControl w:val="0"/>
        <w:autoSpaceDE w:val="0"/>
        <w:autoSpaceDN w:val="0"/>
        <w:adjustRightInd w:val="0"/>
        <w:spacing w:after="0" w:line="240" w:lineRule="auto"/>
        <w:jc w:val="both"/>
        <w:rPr>
          <w:rFonts w:ascii="Times New Roman" w:hAnsi="Times New Roman"/>
          <w:sz w:val="20"/>
          <w:szCs w:val="20"/>
        </w:rPr>
      </w:pPr>
    </w:p>
    <w:p w:rsidR="00A3160D"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F5B3A">
        <w:rPr>
          <w:rFonts w:ascii="Times New Roman" w:hAnsi="Times New Roman"/>
          <w:sz w:val="20"/>
          <w:szCs w:val="20"/>
        </w:rPr>
        <w:lastRenderedPageBreak/>
        <w:t>Konkrétní výše příspěvku pro jednotlivá jednotná kontaktní místa v rámci obcí ČR je následující:</w:t>
      </w:r>
    </w:p>
    <w:p w:rsidR="00A3160D" w:rsidRPr="000F5B3A" w:rsidRDefault="00A3160D" w:rsidP="00A3160D">
      <w:pPr>
        <w:widowControl w:val="0"/>
        <w:autoSpaceDE w:val="0"/>
        <w:autoSpaceDN w:val="0"/>
        <w:adjustRightInd w:val="0"/>
        <w:spacing w:after="0" w:line="240" w:lineRule="auto"/>
        <w:jc w:val="both"/>
        <w:rPr>
          <w:rFonts w:ascii="Times New Roman" w:hAnsi="Times New Roman"/>
          <w:sz w:val="20"/>
          <w:szCs w:val="20"/>
        </w:rPr>
      </w:pPr>
    </w:p>
    <w:tbl>
      <w:tblPr>
        <w:tblW w:w="912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92"/>
        <w:gridCol w:w="3274"/>
        <w:gridCol w:w="3557"/>
      </w:tblGrid>
      <w:tr w:rsidR="00A3160D" w:rsidRPr="000F5B3A" w:rsidTr="008E31EF">
        <w:trPr>
          <w:trHeight w:val="550"/>
        </w:trPr>
        <w:tc>
          <w:tcPr>
            <w:tcW w:w="2292" w:type="dxa"/>
            <w:vMerge w:val="restart"/>
            <w:shd w:val="clear" w:color="000000" w:fill="FFFFFF"/>
            <w:vAlign w:val="center"/>
            <w:hideMark/>
          </w:tcPr>
          <w:p w:rsidR="00A3160D" w:rsidRPr="000F5B3A" w:rsidRDefault="00A3160D" w:rsidP="008E31EF">
            <w:pPr>
              <w:spacing w:after="0" w:line="240" w:lineRule="auto"/>
              <w:jc w:val="center"/>
              <w:rPr>
                <w:rFonts w:ascii="Times New Roman" w:hAnsi="Times New Roman"/>
                <w:b/>
                <w:bCs/>
                <w:sz w:val="20"/>
                <w:szCs w:val="20"/>
              </w:rPr>
            </w:pPr>
            <w:r w:rsidRPr="000F5B3A">
              <w:rPr>
                <w:rFonts w:ascii="Times New Roman" w:hAnsi="Times New Roman"/>
                <w:b/>
                <w:bCs/>
                <w:sz w:val="20"/>
                <w:szCs w:val="20"/>
              </w:rPr>
              <w:t>Jednotné kontaktní místo v rámci obcí ČR</w:t>
            </w:r>
          </w:p>
        </w:tc>
        <w:tc>
          <w:tcPr>
            <w:tcW w:w="3274" w:type="dxa"/>
            <w:vMerge w:val="restart"/>
            <w:shd w:val="clear" w:color="000000" w:fill="FFFFFF"/>
            <w:vAlign w:val="center"/>
            <w:hideMark/>
          </w:tcPr>
          <w:p w:rsidR="00A3160D" w:rsidRPr="000F5B3A" w:rsidRDefault="00A3160D" w:rsidP="008E31EF">
            <w:pPr>
              <w:spacing w:after="0" w:line="240" w:lineRule="auto"/>
              <w:jc w:val="center"/>
              <w:rPr>
                <w:rFonts w:ascii="Times New Roman" w:hAnsi="Times New Roman"/>
                <w:b/>
                <w:bCs/>
                <w:sz w:val="20"/>
                <w:szCs w:val="20"/>
              </w:rPr>
            </w:pPr>
            <w:r w:rsidRPr="000F5B3A">
              <w:rPr>
                <w:rFonts w:ascii="Times New Roman" w:hAnsi="Times New Roman"/>
                <w:b/>
                <w:bCs/>
                <w:sz w:val="20"/>
                <w:szCs w:val="20"/>
              </w:rPr>
              <w:t>Počet zaevidovaných a následně řešených dotazů klientů v období od 1. 1. do 31. 12. 201</w:t>
            </w:r>
            <w:r>
              <w:rPr>
                <w:rFonts w:ascii="Times New Roman" w:hAnsi="Times New Roman"/>
                <w:b/>
                <w:bCs/>
                <w:sz w:val="20"/>
                <w:szCs w:val="20"/>
              </w:rPr>
              <w:t>8</w:t>
            </w:r>
          </w:p>
        </w:tc>
        <w:tc>
          <w:tcPr>
            <w:tcW w:w="3557" w:type="dxa"/>
            <w:vMerge w:val="restart"/>
            <w:shd w:val="clear" w:color="000000" w:fill="FFFFFF"/>
            <w:vAlign w:val="center"/>
            <w:hideMark/>
          </w:tcPr>
          <w:p w:rsidR="00A3160D" w:rsidRPr="000F5B3A" w:rsidRDefault="00A3160D" w:rsidP="008E31EF">
            <w:pPr>
              <w:spacing w:after="0" w:line="240" w:lineRule="auto"/>
              <w:jc w:val="center"/>
              <w:rPr>
                <w:rFonts w:ascii="Times New Roman" w:hAnsi="Times New Roman"/>
                <w:b/>
                <w:bCs/>
                <w:sz w:val="20"/>
                <w:szCs w:val="20"/>
              </w:rPr>
            </w:pPr>
            <w:r w:rsidRPr="000F5B3A">
              <w:rPr>
                <w:rFonts w:ascii="Times New Roman" w:hAnsi="Times New Roman"/>
                <w:b/>
                <w:bCs/>
                <w:sz w:val="20"/>
                <w:szCs w:val="20"/>
              </w:rPr>
              <w:t xml:space="preserve">Výše příspěvku </w:t>
            </w:r>
            <w:r>
              <w:rPr>
                <w:rFonts w:ascii="Times New Roman" w:hAnsi="Times New Roman"/>
                <w:b/>
                <w:bCs/>
                <w:sz w:val="20"/>
                <w:szCs w:val="20"/>
              </w:rPr>
              <w:t xml:space="preserve">v </w:t>
            </w:r>
            <w:r w:rsidRPr="000F5B3A">
              <w:rPr>
                <w:rFonts w:ascii="Times New Roman" w:hAnsi="Times New Roman"/>
                <w:b/>
                <w:bCs/>
                <w:sz w:val="20"/>
                <w:szCs w:val="20"/>
              </w:rPr>
              <w:t>Kč</w:t>
            </w:r>
          </w:p>
        </w:tc>
      </w:tr>
      <w:tr w:rsidR="00A3160D" w:rsidRPr="000F5B3A" w:rsidTr="008E31EF">
        <w:trPr>
          <w:trHeight w:val="312"/>
        </w:trPr>
        <w:tc>
          <w:tcPr>
            <w:tcW w:w="2292" w:type="dxa"/>
            <w:vMerge/>
            <w:vAlign w:val="center"/>
            <w:hideMark/>
          </w:tcPr>
          <w:p w:rsidR="00A3160D" w:rsidRPr="000F5B3A" w:rsidRDefault="00A3160D" w:rsidP="008E31EF">
            <w:pPr>
              <w:spacing w:after="0" w:line="240" w:lineRule="auto"/>
              <w:rPr>
                <w:rFonts w:ascii="Times New Roman" w:hAnsi="Times New Roman"/>
                <w:bCs/>
                <w:sz w:val="20"/>
                <w:szCs w:val="20"/>
              </w:rPr>
            </w:pPr>
          </w:p>
        </w:tc>
        <w:tc>
          <w:tcPr>
            <w:tcW w:w="3274" w:type="dxa"/>
            <w:vMerge/>
            <w:vAlign w:val="center"/>
            <w:hideMark/>
          </w:tcPr>
          <w:p w:rsidR="00A3160D" w:rsidRPr="000F5B3A" w:rsidRDefault="00A3160D" w:rsidP="008E31EF">
            <w:pPr>
              <w:spacing w:after="0" w:line="240" w:lineRule="auto"/>
              <w:rPr>
                <w:rFonts w:ascii="Times New Roman" w:hAnsi="Times New Roman"/>
                <w:bCs/>
                <w:sz w:val="20"/>
                <w:szCs w:val="20"/>
              </w:rPr>
            </w:pPr>
          </w:p>
        </w:tc>
        <w:tc>
          <w:tcPr>
            <w:tcW w:w="3557" w:type="dxa"/>
            <w:vMerge/>
            <w:vAlign w:val="center"/>
            <w:hideMark/>
          </w:tcPr>
          <w:p w:rsidR="00A3160D" w:rsidRPr="000F5B3A" w:rsidRDefault="00A3160D" w:rsidP="008E31EF">
            <w:pPr>
              <w:spacing w:after="0" w:line="240" w:lineRule="auto"/>
              <w:rPr>
                <w:rFonts w:ascii="Times New Roman" w:hAnsi="Times New Roman"/>
                <w:bCs/>
                <w:sz w:val="20"/>
                <w:szCs w:val="20"/>
              </w:rPr>
            </w:pPr>
          </w:p>
        </w:tc>
      </w:tr>
      <w:tr w:rsidR="00A3160D" w:rsidRPr="000F5B3A" w:rsidTr="008E31EF">
        <w:trPr>
          <w:trHeight w:val="297"/>
        </w:trPr>
        <w:tc>
          <w:tcPr>
            <w:tcW w:w="2292" w:type="dxa"/>
            <w:shd w:val="clear" w:color="000000" w:fill="FFFFFF"/>
            <w:vAlign w:val="center"/>
            <w:hideMark/>
          </w:tcPr>
          <w:p w:rsidR="00A3160D" w:rsidRPr="000F5B3A" w:rsidRDefault="00A3160D" w:rsidP="008E31EF">
            <w:pPr>
              <w:spacing w:after="0" w:line="240" w:lineRule="auto"/>
              <w:rPr>
                <w:rFonts w:ascii="Times New Roman" w:hAnsi="Times New Roman"/>
                <w:bCs/>
                <w:sz w:val="20"/>
                <w:szCs w:val="20"/>
              </w:rPr>
            </w:pPr>
            <w:r w:rsidRPr="000F5B3A">
              <w:rPr>
                <w:rFonts w:ascii="Times New Roman" w:hAnsi="Times New Roman"/>
                <w:bCs/>
                <w:sz w:val="20"/>
                <w:szCs w:val="20"/>
              </w:rPr>
              <w:t>Ostrava</w:t>
            </w:r>
          </w:p>
        </w:tc>
        <w:tc>
          <w:tcPr>
            <w:tcW w:w="3274" w:type="dxa"/>
            <w:shd w:val="clear" w:color="000000" w:fill="FFFFFF"/>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513</w:t>
            </w:r>
          </w:p>
        </w:tc>
        <w:tc>
          <w:tcPr>
            <w:tcW w:w="3557" w:type="dxa"/>
            <w:shd w:val="clear" w:color="000000" w:fill="FFFFFF"/>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1 450 000</w:t>
            </w:r>
          </w:p>
        </w:tc>
      </w:tr>
      <w:tr w:rsidR="00A3160D" w:rsidRPr="000F5B3A" w:rsidTr="008E31EF">
        <w:trPr>
          <w:trHeight w:val="297"/>
        </w:trPr>
        <w:tc>
          <w:tcPr>
            <w:tcW w:w="2292" w:type="dxa"/>
            <w:shd w:val="clear" w:color="000000" w:fill="FFFFFF"/>
            <w:vAlign w:val="center"/>
            <w:hideMark/>
          </w:tcPr>
          <w:p w:rsidR="00A3160D" w:rsidRPr="000F5B3A" w:rsidRDefault="00A3160D" w:rsidP="008E31EF">
            <w:pPr>
              <w:spacing w:after="0" w:line="240" w:lineRule="auto"/>
              <w:rPr>
                <w:rFonts w:ascii="Times New Roman" w:hAnsi="Times New Roman"/>
                <w:bCs/>
                <w:sz w:val="20"/>
                <w:szCs w:val="20"/>
              </w:rPr>
            </w:pPr>
            <w:r w:rsidRPr="000F5B3A">
              <w:rPr>
                <w:rFonts w:ascii="Times New Roman" w:hAnsi="Times New Roman"/>
                <w:bCs/>
                <w:sz w:val="20"/>
                <w:szCs w:val="20"/>
              </w:rPr>
              <w:t>České Budějovice</w:t>
            </w:r>
          </w:p>
        </w:tc>
        <w:tc>
          <w:tcPr>
            <w:tcW w:w="3274" w:type="dxa"/>
            <w:shd w:val="clear" w:color="000000" w:fill="FFFFFF"/>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168</w:t>
            </w:r>
          </w:p>
        </w:tc>
        <w:tc>
          <w:tcPr>
            <w:tcW w:w="3557" w:type="dxa"/>
            <w:shd w:val="clear" w:color="000000" w:fill="FFFFFF"/>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483 000</w:t>
            </w:r>
          </w:p>
        </w:tc>
      </w:tr>
      <w:tr w:rsidR="00A3160D" w:rsidRPr="000F5B3A" w:rsidTr="008E31EF">
        <w:trPr>
          <w:trHeight w:val="297"/>
        </w:trPr>
        <w:tc>
          <w:tcPr>
            <w:tcW w:w="2292" w:type="dxa"/>
            <w:shd w:val="clear" w:color="000000" w:fill="FFFFFF"/>
            <w:vAlign w:val="center"/>
            <w:hideMark/>
          </w:tcPr>
          <w:p w:rsidR="00A3160D" w:rsidRPr="000F5B3A" w:rsidRDefault="00A3160D" w:rsidP="008E31EF">
            <w:pPr>
              <w:spacing w:after="0" w:line="240" w:lineRule="auto"/>
              <w:rPr>
                <w:rFonts w:ascii="Times New Roman" w:hAnsi="Times New Roman"/>
                <w:bCs/>
                <w:sz w:val="20"/>
                <w:szCs w:val="20"/>
              </w:rPr>
            </w:pPr>
            <w:r w:rsidRPr="000F5B3A">
              <w:rPr>
                <w:rFonts w:ascii="Times New Roman" w:hAnsi="Times New Roman"/>
                <w:bCs/>
                <w:sz w:val="20"/>
                <w:szCs w:val="20"/>
              </w:rPr>
              <w:t>Liberec</w:t>
            </w:r>
          </w:p>
        </w:tc>
        <w:tc>
          <w:tcPr>
            <w:tcW w:w="3274" w:type="dxa"/>
            <w:shd w:val="clear" w:color="000000" w:fill="FFFFFF"/>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48</w:t>
            </w:r>
          </w:p>
        </w:tc>
        <w:tc>
          <w:tcPr>
            <w:tcW w:w="3557" w:type="dxa"/>
            <w:shd w:val="clear" w:color="000000" w:fill="FFFFFF"/>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138 000</w:t>
            </w:r>
          </w:p>
        </w:tc>
      </w:tr>
      <w:tr w:rsidR="00A3160D" w:rsidRPr="000F5B3A" w:rsidTr="008E31EF">
        <w:trPr>
          <w:trHeight w:val="297"/>
        </w:trPr>
        <w:tc>
          <w:tcPr>
            <w:tcW w:w="2292" w:type="dxa"/>
            <w:shd w:val="clear" w:color="000000" w:fill="FFFFFF"/>
            <w:vAlign w:val="center"/>
            <w:hideMark/>
          </w:tcPr>
          <w:p w:rsidR="00A3160D" w:rsidRPr="000F5B3A" w:rsidRDefault="00A3160D" w:rsidP="008E31EF">
            <w:pPr>
              <w:spacing w:after="0" w:line="240" w:lineRule="auto"/>
              <w:rPr>
                <w:rFonts w:ascii="Times New Roman" w:hAnsi="Times New Roman"/>
                <w:bCs/>
                <w:sz w:val="20"/>
                <w:szCs w:val="20"/>
              </w:rPr>
            </w:pPr>
            <w:r w:rsidRPr="000F5B3A">
              <w:rPr>
                <w:rFonts w:ascii="Times New Roman" w:hAnsi="Times New Roman"/>
                <w:bCs/>
                <w:sz w:val="20"/>
                <w:szCs w:val="20"/>
              </w:rPr>
              <w:t>Hradec Králové</w:t>
            </w:r>
          </w:p>
        </w:tc>
        <w:tc>
          <w:tcPr>
            <w:tcW w:w="3274" w:type="dxa"/>
            <w:shd w:val="clear" w:color="000000" w:fill="FFFFFF"/>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59</w:t>
            </w:r>
          </w:p>
        </w:tc>
        <w:tc>
          <w:tcPr>
            <w:tcW w:w="3557" w:type="dxa"/>
            <w:shd w:val="clear" w:color="000000" w:fill="FFFFFF"/>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207 000</w:t>
            </w:r>
          </w:p>
        </w:tc>
      </w:tr>
      <w:tr w:rsidR="00A3160D" w:rsidRPr="000F5B3A" w:rsidTr="008E31EF">
        <w:trPr>
          <w:trHeight w:val="297"/>
        </w:trPr>
        <w:tc>
          <w:tcPr>
            <w:tcW w:w="2292" w:type="dxa"/>
            <w:shd w:val="clear" w:color="000000" w:fill="FFFFFF"/>
            <w:vAlign w:val="center"/>
            <w:hideMark/>
          </w:tcPr>
          <w:p w:rsidR="00A3160D" w:rsidRPr="000F5B3A" w:rsidRDefault="00A3160D" w:rsidP="008E31EF">
            <w:pPr>
              <w:spacing w:after="0" w:line="240" w:lineRule="auto"/>
              <w:rPr>
                <w:rFonts w:ascii="Times New Roman" w:hAnsi="Times New Roman"/>
                <w:bCs/>
                <w:sz w:val="20"/>
                <w:szCs w:val="20"/>
              </w:rPr>
            </w:pPr>
            <w:r w:rsidRPr="000F5B3A">
              <w:rPr>
                <w:rFonts w:ascii="Times New Roman" w:hAnsi="Times New Roman"/>
                <w:bCs/>
                <w:sz w:val="20"/>
                <w:szCs w:val="20"/>
              </w:rPr>
              <w:t>Jihlava</w:t>
            </w:r>
          </w:p>
        </w:tc>
        <w:tc>
          <w:tcPr>
            <w:tcW w:w="3274" w:type="dxa"/>
            <w:shd w:val="clear" w:color="000000" w:fill="FFFFFF"/>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32</w:t>
            </w:r>
          </w:p>
        </w:tc>
        <w:tc>
          <w:tcPr>
            <w:tcW w:w="3557" w:type="dxa"/>
            <w:shd w:val="clear" w:color="000000" w:fill="FFFFFF"/>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138 000</w:t>
            </w:r>
          </w:p>
        </w:tc>
      </w:tr>
      <w:tr w:rsidR="00A3160D" w:rsidRPr="000F5B3A" w:rsidTr="008E31EF">
        <w:trPr>
          <w:trHeight w:val="297"/>
        </w:trPr>
        <w:tc>
          <w:tcPr>
            <w:tcW w:w="2292" w:type="dxa"/>
            <w:shd w:val="clear" w:color="000000" w:fill="FFFFFF"/>
            <w:vAlign w:val="center"/>
            <w:hideMark/>
          </w:tcPr>
          <w:p w:rsidR="00A3160D" w:rsidRPr="000F5B3A" w:rsidRDefault="00A3160D" w:rsidP="008E31EF">
            <w:pPr>
              <w:spacing w:after="0" w:line="240" w:lineRule="auto"/>
              <w:rPr>
                <w:rFonts w:ascii="Times New Roman" w:hAnsi="Times New Roman"/>
                <w:bCs/>
                <w:sz w:val="20"/>
                <w:szCs w:val="20"/>
              </w:rPr>
            </w:pPr>
            <w:r w:rsidRPr="000F5B3A">
              <w:rPr>
                <w:rFonts w:ascii="Times New Roman" w:hAnsi="Times New Roman"/>
                <w:bCs/>
                <w:sz w:val="20"/>
                <w:szCs w:val="20"/>
              </w:rPr>
              <w:t>Zlín</w:t>
            </w:r>
          </w:p>
        </w:tc>
        <w:tc>
          <w:tcPr>
            <w:tcW w:w="3274" w:type="dxa"/>
            <w:shd w:val="clear" w:color="000000" w:fill="FFFFFF"/>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250</w:t>
            </w:r>
          </w:p>
        </w:tc>
        <w:tc>
          <w:tcPr>
            <w:tcW w:w="3557" w:type="dxa"/>
            <w:shd w:val="clear" w:color="000000" w:fill="FFFFFF"/>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690 000</w:t>
            </w:r>
          </w:p>
        </w:tc>
      </w:tr>
      <w:tr w:rsidR="00A3160D" w:rsidRPr="000F5B3A" w:rsidTr="008E31EF">
        <w:trPr>
          <w:trHeight w:val="297"/>
        </w:trPr>
        <w:tc>
          <w:tcPr>
            <w:tcW w:w="2292" w:type="dxa"/>
            <w:shd w:val="clear" w:color="000000" w:fill="FFFFFF"/>
            <w:vAlign w:val="center"/>
            <w:hideMark/>
          </w:tcPr>
          <w:p w:rsidR="00A3160D" w:rsidRPr="000F5B3A" w:rsidRDefault="00A3160D" w:rsidP="008E31EF">
            <w:pPr>
              <w:spacing w:after="0" w:line="240" w:lineRule="auto"/>
              <w:rPr>
                <w:rFonts w:ascii="Times New Roman" w:hAnsi="Times New Roman"/>
                <w:bCs/>
                <w:sz w:val="20"/>
                <w:szCs w:val="20"/>
              </w:rPr>
            </w:pPr>
            <w:r w:rsidRPr="000F5B3A">
              <w:rPr>
                <w:rFonts w:ascii="Times New Roman" w:hAnsi="Times New Roman"/>
                <w:bCs/>
                <w:sz w:val="20"/>
                <w:szCs w:val="20"/>
              </w:rPr>
              <w:t>Černošice</w:t>
            </w:r>
          </w:p>
        </w:tc>
        <w:tc>
          <w:tcPr>
            <w:tcW w:w="3274" w:type="dxa"/>
            <w:shd w:val="clear" w:color="000000" w:fill="FFFFFF"/>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63</w:t>
            </w:r>
          </w:p>
        </w:tc>
        <w:tc>
          <w:tcPr>
            <w:tcW w:w="3557" w:type="dxa"/>
            <w:shd w:val="clear" w:color="000000" w:fill="FFFFFF"/>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207 000</w:t>
            </w:r>
          </w:p>
        </w:tc>
      </w:tr>
      <w:tr w:rsidR="00A3160D" w:rsidRPr="000F5B3A" w:rsidTr="008E31EF">
        <w:trPr>
          <w:trHeight w:val="297"/>
        </w:trPr>
        <w:tc>
          <w:tcPr>
            <w:tcW w:w="2292" w:type="dxa"/>
            <w:shd w:val="clear" w:color="000000" w:fill="FFFFFF"/>
            <w:vAlign w:val="center"/>
            <w:hideMark/>
          </w:tcPr>
          <w:p w:rsidR="00A3160D" w:rsidRPr="000F5B3A" w:rsidRDefault="00A3160D" w:rsidP="008E31EF">
            <w:pPr>
              <w:spacing w:after="0" w:line="240" w:lineRule="auto"/>
              <w:rPr>
                <w:rFonts w:ascii="Times New Roman" w:hAnsi="Times New Roman"/>
                <w:bCs/>
                <w:sz w:val="20"/>
                <w:szCs w:val="20"/>
              </w:rPr>
            </w:pPr>
            <w:r w:rsidRPr="000F5B3A">
              <w:rPr>
                <w:rFonts w:ascii="Times New Roman" w:hAnsi="Times New Roman"/>
                <w:bCs/>
                <w:sz w:val="20"/>
                <w:szCs w:val="20"/>
              </w:rPr>
              <w:t>Olomouc</w:t>
            </w:r>
          </w:p>
        </w:tc>
        <w:tc>
          <w:tcPr>
            <w:tcW w:w="3274" w:type="dxa"/>
            <w:shd w:val="clear" w:color="000000" w:fill="FFFFFF"/>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68</w:t>
            </w:r>
          </w:p>
        </w:tc>
        <w:tc>
          <w:tcPr>
            <w:tcW w:w="3557" w:type="dxa"/>
            <w:shd w:val="clear" w:color="000000" w:fill="FFFFFF"/>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207 000</w:t>
            </w:r>
          </w:p>
        </w:tc>
      </w:tr>
      <w:tr w:rsidR="00A3160D" w:rsidRPr="000F5B3A" w:rsidTr="008E31EF">
        <w:trPr>
          <w:trHeight w:val="297"/>
        </w:trPr>
        <w:tc>
          <w:tcPr>
            <w:tcW w:w="2292" w:type="dxa"/>
            <w:shd w:val="clear" w:color="000000" w:fill="FFFFFF"/>
            <w:vAlign w:val="center"/>
            <w:hideMark/>
          </w:tcPr>
          <w:p w:rsidR="00A3160D" w:rsidRPr="000F5B3A" w:rsidRDefault="00A3160D" w:rsidP="008E31EF">
            <w:pPr>
              <w:spacing w:after="0" w:line="240" w:lineRule="auto"/>
              <w:rPr>
                <w:rFonts w:ascii="Times New Roman" w:hAnsi="Times New Roman"/>
                <w:bCs/>
                <w:sz w:val="20"/>
                <w:szCs w:val="20"/>
              </w:rPr>
            </w:pPr>
            <w:r w:rsidRPr="000F5B3A">
              <w:rPr>
                <w:rFonts w:ascii="Times New Roman" w:hAnsi="Times New Roman"/>
                <w:bCs/>
                <w:sz w:val="20"/>
                <w:szCs w:val="20"/>
              </w:rPr>
              <w:t>Karlovy Vary</w:t>
            </w:r>
          </w:p>
        </w:tc>
        <w:tc>
          <w:tcPr>
            <w:tcW w:w="3274" w:type="dxa"/>
            <w:shd w:val="clear" w:color="000000" w:fill="FFFFFF"/>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106</w:t>
            </w:r>
          </w:p>
        </w:tc>
        <w:tc>
          <w:tcPr>
            <w:tcW w:w="3557" w:type="dxa"/>
            <w:shd w:val="clear" w:color="000000" w:fill="FFFFFF"/>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345 000</w:t>
            </w:r>
          </w:p>
        </w:tc>
      </w:tr>
      <w:tr w:rsidR="00A3160D" w:rsidRPr="000F5B3A" w:rsidTr="008E31EF">
        <w:trPr>
          <w:trHeight w:val="297"/>
        </w:trPr>
        <w:tc>
          <w:tcPr>
            <w:tcW w:w="2292" w:type="dxa"/>
            <w:shd w:val="clear" w:color="000000" w:fill="FFFFFF"/>
            <w:vAlign w:val="center"/>
            <w:hideMark/>
          </w:tcPr>
          <w:p w:rsidR="00A3160D" w:rsidRPr="000F5B3A" w:rsidRDefault="00A3160D" w:rsidP="008E31EF">
            <w:pPr>
              <w:spacing w:after="0" w:line="240" w:lineRule="auto"/>
              <w:rPr>
                <w:rFonts w:ascii="Times New Roman" w:hAnsi="Times New Roman"/>
                <w:bCs/>
                <w:sz w:val="20"/>
                <w:szCs w:val="20"/>
              </w:rPr>
            </w:pPr>
            <w:r w:rsidRPr="000F5B3A">
              <w:rPr>
                <w:rFonts w:ascii="Times New Roman" w:hAnsi="Times New Roman"/>
                <w:bCs/>
                <w:sz w:val="20"/>
                <w:szCs w:val="20"/>
              </w:rPr>
              <w:t>Brno</w:t>
            </w:r>
          </w:p>
        </w:tc>
        <w:tc>
          <w:tcPr>
            <w:tcW w:w="3274" w:type="dxa"/>
            <w:shd w:val="clear" w:color="000000" w:fill="FFFFFF"/>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455</w:t>
            </w:r>
          </w:p>
        </w:tc>
        <w:tc>
          <w:tcPr>
            <w:tcW w:w="3557" w:type="dxa"/>
            <w:shd w:val="clear" w:color="000000" w:fill="FFFFFF"/>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1 312 000</w:t>
            </w:r>
          </w:p>
        </w:tc>
      </w:tr>
      <w:tr w:rsidR="00A3160D" w:rsidRPr="000F5B3A" w:rsidTr="008E31EF">
        <w:trPr>
          <w:trHeight w:val="297"/>
        </w:trPr>
        <w:tc>
          <w:tcPr>
            <w:tcW w:w="2292" w:type="dxa"/>
            <w:shd w:val="clear" w:color="000000" w:fill="FFFFFF"/>
            <w:vAlign w:val="center"/>
            <w:hideMark/>
          </w:tcPr>
          <w:p w:rsidR="00A3160D" w:rsidRPr="000F5B3A" w:rsidRDefault="00A3160D" w:rsidP="008E31EF">
            <w:pPr>
              <w:spacing w:after="0" w:line="240" w:lineRule="auto"/>
              <w:rPr>
                <w:rFonts w:ascii="Times New Roman" w:hAnsi="Times New Roman"/>
                <w:bCs/>
                <w:sz w:val="20"/>
                <w:szCs w:val="20"/>
              </w:rPr>
            </w:pPr>
            <w:r w:rsidRPr="000F5B3A">
              <w:rPr>
                <w:rFonts w:ascii="Times New Roman" w:hAnsi="Times New Roman"/>
                <w:bCs/>
                <w:sz w:val="20"/>
                <w:szCs w:val="20"/>
              </w:rPr>
              <w:t>Plzeň</w:t>
            </w:r>
          </w:p>
        </w:tc>
        <w:tc>
          <w:tcPr>
            <w:tcW w:w="3274" w:type="dxa"/>
            <w:shd w:val="clear" w:color="000000" w:fill="FFFFFF"/>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111</w:t>
            </w:r>
          </w:p>
        </w:tc>
        <w:tc>
          <w:tcPr>
            <w:tcW w:w="3557" w:type="dxa"/>
            <w:shd w:val="clear" w:color="000000" w:fill="FFFFFF"/>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345 000</w:t>
            </w:r>
          </w:p>
        </w:tc>
      </w:tr>
      <w:tr w:rsidR="00A3160D" w:rsidRPr="000F5B3A" w:rsidTr="008E31EF">
        <w:trPr>
          <w:trHeight w:val="297"/>
        </w:trPr>
        <w:tc>
          <w:tcPr>
            <w:tcW w:w="2292" w:type="dxa"/>
            <w:shd w:val="clear" w:color="000000" w:fill="FFFFFF"/>
            <w:vAlign w:val="center"/>
            <w:hideMark/>
          </w:tcPr>
          <w:p w:rsidR="00A3160D" w:rsidRPr="000F5B3A" w:rsidRDefault="00A3160D" w:rsidP="008E31EF">
            <w:pPr>
              <w:spacing w:after="0" w:line="240" w:lineRule="auto"/>
              <w:rPr>
                <w:rFonts w:ascii="Times New Roman" w:hAnsi="Times New Roman"/>
                <w:bCs/>
                <w:sz w:val="20"/>
                <w:szCs w:val="20"/>
              </w:rPr>
            </w:pPr>
            <w:r w:rsidRPr="000F5B3A">
              <w:rPr>
                <w:rFonts w:ascii="Times New Roman" w:hAnsi="Times New Roman"/>
                <w:bCs/>
                <w:sz w:val="20"/>
                <w:szCs w:val="20"/>
              </w:rPr>
              <w:t>Pardubice</w:t>
            </w:r>
          </w:p>
        </w:tc>
        <w:tc>
          <w:tcPr>
            <w:tcW w:w="3274" w:type="dxa"/>
            <w:shd w:val="clear" w:color="000000" w:fill="FFFFFF"/>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398</w:t>
            </w:r>
          </w:p>
        </w:tc>
        <w:tc>
          <w:tcPr>
            <w:tcW w:w="3557" w:type="dxa"/>
            <w:shd w:val="clear" w:color="000000" w:fill="FFFFFF"/>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1 105 000</w:t>
            </w:r>
          </w:p>
        </w:tc>
      </w:tr>
      <w:tr w:rsidR="00A3160D" w:rsidRPr="000F5B3A" w:rsidTr="008E31EF">
        <w:trPr>
          <w:trHeight w:val="297"/>
        </w:trPr>
        <w:tc>
          <w:tcPr>
            <w:tcW w:w="2292" w:type="dxa"/>
            <w:shd w:val="clear" w:color="000000" w:fill="FFFFFF"/>
            <w:vAlign w:val="center"/>
            <w:hideMark/>
          </w:tcPr>
          <w:p w:rsidR="00A3160D" w:rsidRPr="000F5B3A" w:rsidRDefault="00A3160D" w:rsidP="008E31EF">
            <w:pPr>
              <w:spacing w:after="0" w:line="240" w:lineRule="auto"/>
              <w:rPr>
                <w:rFonts w:ascii="Times New Roman" w:hAnsi="Times New Roman"/>
                <w:bCs/>
                <w:sz w:val="20"/>
                <w:szCs w:val="20"/>
              </w:rPr>
            </w:pPr>
            <w:r w:rsidRPr="000F5B3A">
              <w:rPr>
                <w:rFonts w:ascii="Times New Roman" w:hAnsi="Times New Roman"/>
                <w:bCs/>
                <w:sz w:val="20"/>
                <w:szCs w:val="20"/>
              </w:rPr>
              <w:t>Ústí nad Labem</w:t>
            </w:r>
          </w:p>
        </w:tc>
        <w:tc>
          <w:tcPr>
            <w:tcW w:w="3274" w:type="dxa"/>
            <w:shd w:val="clear" w:color="000000" w:fill="FFFFFF"/>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31</w:t>
            </w:r>
          </w:p>
        </w:tc>
        <w:tc>
          <w:tcPr>
            <w:tcW w:w="3557" w:type="dxa"/>
            <w:shd w:val="clear" w:color="000000" w:fill="FFFFFF"/>
            <w:noWrap/>
            <w:vAlign w:val="center"/>
          </w:tcPr>
          <w:p w:rsidR="00A3160D" w:rsidRPr="00071CD6" w:rsidRDefault="00A3160D" w:rsidP="008E31EF">
            <w:pPr>
              <w:widowControl w:val="0"/>
              <w:autoSpaceDE w:val="0"/>
              <w:autoSpaceDN w:val="0"/>
              <w:adjustRightInd w:val="0"/>
              <w:spacing w:after="0"/>
              <w:jc w:val="center"/>
              <w:rPr>
                <w:rFonts w:ascii="Times New Roman" w:hAnsi="Times New Roman"/>
                <w:sz w:val="20"/>
                <w:szCs w:val="20"/>
              </w:rPr>
            </w:pPr>
            <w:r w:rsidRPr="00071CD6">
              <w:rPr>
                <w:rFonts w:ascii="Times New Roman" w:hAnsi="Times New Roman"/>
                <w:sz w:val="20"/>
                <w:szCs w:val="20"/>
              </w:rPr>
              <w:t>138 000</w:t>
            </w:r>
          </w:p>
        </w:tc>
      </w:tr>
    </w:tbl>
    <w:p w:rsidR="00A3160D" w:rsidRDefault="00A3160D" w:rsidP="00A3160D">
      <w:pPr>
        <w:widowControl w:val="0"/>
        <w:overflowPunct w:val="0"/>
        <w:autoSpaceDE w:val="0"/>
        <w:autoSpaceDN w:val="0"/>
        <w:adjustRightInd w:val="0"/>
        <w:spacing w:after="0" w:line="240" w:lineRule="auto"/>
        <w:ind w:right="40"/>
        <w:jc w:val="both"/>
        <w:rPr>
          <w:rFonts w:ascii="Times New Roman" w:hAnsi="Times New Roman"/>
          <w:b/>
          <w:sz w:val="24"/>
          <w:szCs w:val="24"/>
        </w:rPr>
      </w:pPr>
    </w:p>
    <w:p w:rsidR="00A3160D" w:rsidRPr="000F5B3A" w:rsidRDefault="00A3160D" w:rsidP="00A3160D">
      <w:pPr>
        <w:widowControl w:val="0"/>
        <w:overflowPunct w:val="0"/>
        <w:autoSpaceDE w:val="0"/>
        <w:autoSpaceDN w:val="0"/>
        <w:adjustRightInd w:val="0"/>
        <w:spacing w:after="0" w:line="240" w:lineRule="auto"/>
        <w:ind w:right="40"/>
        <w:jc w:val="both"/>
        <w:rPr>
          <w:rFonts w:ascii="Times New Roman" w:hAnsi="Times New Roman"/>
          <w:b/>
          <w:sz w:val="24"/>
          <w:szCs w:val="24"/>
        </w:rPr>
      </w:pPr>
      <w:r w:rsidRPr="000F5B3A">
        <w:rPr>
          <w:rFonts w:ascii="Times New Roman" w:hAnsi="Times New Roman"/>
          <w:b/>
          <w:sz w:val="24"/>
          <w:szCs w:val="24"/>
        </w:rPr>
        <w:t>F) Financování vydávání občanských průkazů</w:t>
      </w:r>
    </w:p>
    <w:p w:rsidR="00A3160D" w:rsidRPr="000F5B3A" w:rsidRDefault="00A3160D" w:rsidP="00A3160D">
      <w:pPr>
        <w:widowControl w:val="0"/>
        <w:overflowPunct w:val="0"/>
        <w:autoSpaceDE w:val="0"/>
        <w:autoSpaceDN w:val="0"/>
        <w:adjustRightInd w:val="0"/>
        <w:spacing w:after="0" w:line="240" w:lineRule="auto"/>
        <w:ind w:right="40"/>
        <w:jc w:val="both"/>
        <w:rPr>
          <w:rFonts w:ascii="Times New Roman" w:hAnsi="Times New Roman"/>
          <w:sz w:val="24"/>
          <w:szCs w:val="24"/>
        </w:rPr>
      </w:pPr>
    </w:p>
    <w:p w:rsidR="00A3160D"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4124D9">
        <w:rPr>
          <w:rFonts w:ascii="Times New Roman" w:hAnsi="Times New Roman"/>
          <w:sz w:val="20"/>
          <w:szCs w:val="20"/>
        </w:rPr>
        <w:t>Obec, kde byla podána žádost o vydání občanského průkazu (tzv. "místo nabrání")</w:t>
      </w:r>
      <w:r w:rsidR="00C35E1E">
        <w:rPr>
          <w:rFonts w:ascii="Times New Roman" w:hAnsi="Times New Roman"/>
          <w:sz w:val="20"/>
          <w:szCs w:val="20"/>
        </w:rPr>
        <w:t>,</w:t>
      </w:r>
      <w:r w:rsidRPr="004124D9">
        <w:rPr>
          <w:rFonts w:ascii="Times New Roman" w:hAnsi="Times New Roman"/>
          <w:sz w:val="20"/>
          <w:szCs w:val="20"/>
        </w:rPr>
        <w:t xml:space="preserve"> obdrží příspěvek ve výši násobku 115 Kč za každou přijatou žádost o vydání občanského průkazu. Příspěvek nenáleží za přijatou žádost</w:t>
      </w:r>
      <w:r>
        <w:rPr>
          <w:rFonts w:ascii="Times New Roman" w:hAnsi="Times New Roman"/>
          <w:sz w:val="20"/>
          <w:szCs w:val="20"/>
        </w:rPr>
        <w:t>, u které byl inkasován správní poplatek - tj. žádost</w:t>
      </w:r>
      <w:r w:rsidRPr="004124D9">
        <w:rPr>
          <w:rFonts w:ascii="Times New Roman" w:hAnsi="Times New Roman"/>
          <w:sz w:val="20"/>
          <w:szCs w:val="20"/>
        </w:rPr>
        <w:t xml:space="preserve"> o vydání občanského průkazu s dobou vydání do pěti p</w:t>
      </w:r>
      <w:r>
        <w:rPr>
          <w:rFonts w:ascii="Times New Roman" w:hAnsi="Times New Roman"/>
          <w:sz w:val="20"/>
          <w:szCs w:val="20"/>
        </w:rPr>
        <w:t>racovních dnů a do 24 hodin, žádost o vydání občanského průkazu</w:t>
      </w:r>
      <w:r w:rsidRPr="004124D9">
        <w:rPr>
          <w:rFonts w:ascii="Times New Roman" w:hAnsi="Times New Roman"/>
          <w:sz w:val="20"/>
          <w:szCs w:val="20"/>
        </w:rPr>
        <w:t xml:space="preserve"> s dobou platnosti šest, tři nebo 1 měsíc. Současně nenáleží příspěvek za přijaté žádosti o vydání občanského průkazu s kontaktním elektronickým čipem, které byly přijaté do 30. 6. 2018</w:t>
      </w:r>
      <w:r>
        <w:rPr>
          <w:rFonts w:ascii="Times New Roman" w:hAnsi="Times New Roman"/>
          <w:sz w:val="20"/>
          <w:szCs w:val="20"/>
        </w:rPr>
        <w:t>,</w:t>
      </w:r>
      <w:r w:rsidRPr="004124D9">
        <w:rPr>
          <w:rFonts w:ascii="Times New Roman" w:hAnsi="Times New Roman"/>
          <w:sz w:val="20"/>
          <w:szCs w:val="20"/>
        </w:rPr>
        <w:t xml:space="preserve"> a za které byl</w:t>
      </w:r>
      <w:r>
        <w:rPr>
          <w:rFonts w:ascii="Times New Roman" w:hAnsi="Times New Roman"/>
          <w:sz w:val="20"/>
          <w:szCs w:val="20"/>
        </w:rPr>
        <w:t xml:space="preserve"> rovněž</w:t>
      </w:r>
      <w:r w:rsidRPr="004124D9">
        <w:rPr>
          <w:rFonts w:ascii="Times New Roman" w:hAnsi="Times New Roman"/>
          <w:sz w:val="20"/>
          <w:szCs w:val="20"/>
        </w:rPr>
        <w:t xml:space="preserve"> inkasován správní poplatek. Rozhodným obdobím pro stanovení počtu podaných žádostí o vydání občanských průkazů, který je získaný na základě údajů příslušného informačního systému Ministerstva vnitra, je období od 1. 1. do 31. 12. 2018.</w:t>
      </w:r>
    </w:p>
    <w:p w:rsidR="00A3160D" w:rsidRDefault="00A3160D" w:rsidP="00A3160D">
      <w:pPr>
        <w:widowControl w:val="0"/>
        <w:autoSpaceDE w:val="0"/>
        <w:autoSpaceDN w:val="0"/>
        <w:adjustRightInd w:val="0"/>
        <w:spacing w:after="0" w:line="240" w:lineRule="auto"/>
        <w:jc w:val="both"/>
        <w:rPr>
          <w:rFonts w:ascii="Times New Roman" w:hAnsi="Times New Roman"/>
          <w:sz w:val="20"/>
          <w:szCs w:val="20"/>
        </w:rPr>
      </w:pPr>
    </w:p>
    <w:p w:rsidR="00A3160D" w:rsidRPr="004124D9" w:rsidRDefault="00A3160D" w:rsidP="00A3160D">
      <w:pPr>
        <w:widowControl w:val="0"/>
        <w:autoSpaceDE w:val="0"/>
        <w:autoSpaceDN w:val="0"/>
        <w:adjustRightInd w:val="0"/>
        <w:spacing w:after="0" w:line="240" w:lineRule="auto"/>
        <w:jc w:val="both"/>
        <w:rPr>
          <w:rFonts w:ascii="Times New Roman" w:hAnsi="Times New Roman"/>
          <w:b/>
          <w:sz w:val="24"/>
          <w:szCs w:val="24"/>
        </w:rPr>
      </w:pPr>
      <w:r w:rsidRPr="004124D9">
        <w:rPr>
          <w:rFonts w:ascii="Times New Roman" w:hAnsi="Times New Roman"/>
          <w:b/>
          <w:sz w:val="24"/>
          <w:szCs w:val="24"/>
        </w:rPr>
        <w:t xml:space="preserve">G) Financování vydávání řidičských průkazů </w:t>
      </w:r>
    </w:p>
    <w:p w:rsidR="00A3160D" w:rsidRPr="004124D9" w:rsidRDefault="00A3160D" w:rsidP="00A3160D">
      <w:pPr>
        <w:widowControl w:val="0"/>
        <w:autoSpaceDE w:val="0"/>
        <w:autoSpaceDN w:val="0"/>
        <w:adjustRightInd w:val="0"/>
        <w:spacing w:after="0" w:line="240" w:lineRule="auto"/>
        <w:jc w:val="both"/>
        <w:rPr>
          <w:rFonts w:ascii="Times New Roman" w:hAnsi="Times New Roman"/>
          <w:sz w:val="20"/>
          <w:szCs w:val="20"/>
        </w:rPr>
      </w:pPr>
    </w:p>
    <w:p w:rsidR="00A3160D" w:rsidRPr="004124D9"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4124D9">
        <w:rPr>
          <w:rFonts w:ascii="Times New Roman" w:hAnsi="Times New Roman"/>
          <w:sz w:val="20"/>
          <w:szCs w:val="20"/>
        </w:rPr>
        <w:t>Obec, kde byla podána žádost o vydání řidičského průkazu (tzv. "místo nabrání")</w:t>
      </w:r>
      <w:r w:rsidR="00C35E1E">
        <w:rPr>
          <w:rFonts w:ascii="Times New Roman" w:hAnsi="Times New Roman"/>
          <w:sz w:val="20"/>
          <w:szCs w:val="20"/>
        </w:rPr>
        <w:t>,</w:t>
      </w:r>
      <w:r w:rsidRPr="004124D9">
        <w:rPr>
          <w:rFonts w:ascii="Times New Roman" w:hAnsi="Times New Roman"/>
          <w:sz w:val="20"/>
          <w:szCs w:val="20"/>
        </w:rPr>
        <w:t xml:space="preserve"> obdrží příspěvek ve výši násobku 115 Kč za přijatou žádost o vydání řidičského průkazu. Příspěvek nenáleží za přijatou žádost o vydání řidičského průkazu s dobo</w:t>
      </w:r>
      <w:r>
        <w:rPr>
          <w:rFonts w:ascii="Times New Roman" w:hAnsi="Times New Roman"/>
          <w:sz w:val="20"/>
          <w:szCs w:val="20"/>
        </w:rPr>
        <w:t xml:space="preserve">u vydání do pěti pracovních dnů a </w:t>
      </w:r>
      <w:r w:rsidRPr="004124D9">
        <w:rPr>
          <w:rFonts w:ascii="Times New Roman" w:hAnsi="Times New Roman"/>
          <w:sz w:val="20"/>
          <w:szCs w:val="20"/>
        </w:rPr>
        <w:t>žádosti o vydá</w:t>
      </w:r>
      <w:r>
        <w:rPr>
          <w:rFonts w:ascii="Times New Roman" w:hAnsi="Times New Roman"/>
          <w:sz w:val="20"/>
          <w:szCs w:val="20"/>
        </w:rPr>
        <w:t>ní nového řidičského průkazu, u </w:t>
      </w:r>
      <w:r w:rsidRPr="004124D9">
        <w:rPr>
          <w:rFonts w:ascii="Times New Roman" w:hAnsi="Times New Roman"/>
          <w:sz w:val="20"/>
          <w:szCs w:val="20"/>
        </w:rPr>
        <w:t>kterých byl inkasován správní poplatek. Rozhodným obdobím pro stanovení počtu podaných žádostí o vydání řidičských průkazů, který je získaný na základě údajů příslušného informačního systému Ministerstva dopravy, je období od 1. 1. do 31. 12. 2018.</w:t>
      </w:r>
    </w:p>
    <w:p w:rsidR="00A3160D" w:rsidRDefault="00A3160D" w:rsidP="00A3160D">
      <w:pPr>
        <w:widowControl w:val="0"/>
        <w:autoSpaceDE w:val="0"/>
        <w:autoSpaceDN w:val="0"/>
        <w:adjustRightInd w:val="0"/>
        <w:spacing w:after="0" w:line="240" w:lineRule="auto"/>
        <w:jc w:val="both"/>
        <w:rPr>
          <w:rFonts w:ascii="Times New Roman" w:hAnsi="Times New Roman"/>
          <w:sz w:val="20"/>
          <w:szCs w:val="20"/>
        </w:rPr>
      </w:pPr>
    </w:p>
    <w:p w:rsidR="00A3160D" w:rsidRPr="004124D9" w:rsidRDefault="00A3160D" w:rsidP="00A3160D">
      <w:pPr>
        <w:widowControl w:val="0"/>
        <w:autoSpaceDE w:val="0"/>
        <w:autoSpaceDN w:val="0"/>
        <w:adjustRightInd w:val="0"/>
        <w:spacing w:after="0" w:line="240" w:lineRule="auto"/>
        <w:jc w:val="both"/>
        <w:rPr>
          <w:rFonts w:ascii="Times New Roman" w:hAnsi="Times New Roman"/>
          <w:b/>
          <w:sz w:val="24"/>
          <w:szCs w:val="24"/>
        </w:rPr>
      </w:pPr>
      <w:r w:rsidRPr="004124D9">
        <w:rPr>
          <w:rFonts w:ascii="Times New Roman" w:hAnsi="Times New Roman"/>
          <w:b/>
          <w:sz w:val="24"/>
          <w:szCs w:val="24"/>
        </w:rPr>
        <w:t>H) Financování matričních úřadů</w:t>
      </w:r>
    </w:p>
    <w:p w:rsidR="00A3160D" w:rsidRPr="004124D9" w:rsidRDefault="00A3160D" w:rsidP="00A3160D">
      <w:pPr>
        <w:widowControl w:val="0"/>
        <w:autoSpaceDE w:val="0"/>
        <w:autoSpaceDN w:val="0"/>
        <w:adjustRightInd w:val="0"/>
        <w:spacing w:after="0" w:line="240" w:lineRule="auto"/>
        <w:jc w:val="both"/>
        <w:rPr>
          <w:rFonts w:ascii="Times New Roman" w:hAnsi="Times New Roman"/>
          <w:sz w:val="20"/>
          <w:szCs w:val="20"/>
        </w:rPr>
      </w:pPr>
    </w:p>
    <w:p w:rsidR="00A3160D" w:rsidRPr="004124D9"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4124D9">
        <w:rPr>
          <w:rFonts w:ascii="Times New Roman" w:hAnsi="Times New Roman"/>
          <w:sz w:val="20"/>
          <w:szCs w:val="20"/>
        </w:rPr>
        <w:t>Celkový objem prostředků, určených na financování matričních úřadů</w:t>
      </w:r>
      <w:r>
        <w:rPr>
          <w:rFonts w:ascii="Times New Roman" w:hAnsi="Times New Roman"/>
          <w:sz w:val="20"/>
          <w:szCs w:val="20"/>
        </w:rPr>
        <w:t>,</w:t>
      </w:r>
      <w:r w:rsidRPr="004124D9">
        <w:rPr>
          <w:rFonts w:ascii="Times New Roman" w:hAnsi="Times New Roman"/>
          <w:sz w:val="20"/>
          <w:szCs w:val="20"/>
        </w:rPr>
        <w:t xml:space="preserve"> byl rozdělen </w:t>
      </w:r>
      <w:r>
        <w:rPr>
          <w:rFonts w:ascii="Times New Roman" w:hAnsi="Times New Roman"/>
          <w:sz w:val="20"/>
          <w:szCs w:val="20"/>
        </w:rPr>
        <w:t xml:space="preserve">přibližně </w:t>
      </w:r>
      <w:r w:rsidRPr="004124D9">
        <w:rPr>
          <w:rFonts w:ascii="Times New Roman" w:hAnsi="Times New Roman"/>
          <w:sz w:val="20"/>
          <w:szCs w:val="20"/>
        </w:rPr>
        <w:t xml:space="preserve">na dvě </w:t>
      </w:r>
      <w:r>
        <w:rPr>
          <w:rFonts w:ascii="Times New Roman" w:hAnsi="Times New Roman"/>
          <w:sz w:val="20"/>
          <w:szCs w:val="20"/>
        </w:rPr>
        <w:t>shodné části</w:t>
      </w:r>
      <w:r w:rsidRPr="004124D9">
        <w:rPr>
          <w:rFonts w:ascii="Times New Roman" w:hAnsi="Times New Roman"/>
          <w:sz w:val="20"/>
          <w:szCs w:val="20"/>
        </w:rPr>
        <w:t xml:space="preserve">. První část byla obcím alokována na základě </w:t>
      </w:r>
      <w:r>
        <w:rPr>
          <w:rFonts w:ascii="Times New Roman" w:hAnsi="Times New Roman"/>
          <w:sz w:val="20"/>
          <w:szCs w:val="20"/>
        </w:rPr>
        <w:t xml:space="preserve">vzorců a koeficientů zahrnující počet obyvatel </w:t>
      </w:r>
      <w:r w:rsidRPr="006D37EB">
        <w:rPr>
          <w:rFonts w:ascii="Times New Roman" w:hAnsi="Times New Roman"/>
          <w:sz w:val="20"/>
          <w:szCs w:val="20"/>
        </w:rPr>
        <w:t xml:space="preserve">ve správním obvodu </w:t>
      </w:r>
      <w:r>
        <w:rPr>
          <w:rFonts w:ascii="Times New Roman" w:hAnsi="Times New Roman"/>
          <w:sz w:val="20"/>
          <w:szCs w:val="20"/>
        </w:rPr>
        <w:t xml:space="preserve">viz </w:t>
      </w:r>
      <w:proofErr w:type="gramStart"/>
      <w:r>
        <w:rPr>
          <w:rFonts w:ascii="Times New Roman" w:hAnsi="Times New Roman"/>
          <w:sz w:val="20"/>
          <w:szCs w:val="20"/>
        </w:rPr>
        <w:t>část 1.A) a 1.B)</w:t>
      </w:r>
      <w:r w:rsidRPr="004124D9">
        <w:rPr>
          <w:rFonts w:ascii="Times New Roman" w:hAnsi="Times New Roman"/>
          <w:sz w:val="20"/>
          <w:szCs w:val="20"/>
        </w:rPr>
        <w:t>.</w:t>
      </w:r>
      <w:proofErr w:type="gramEnd"/>
      <w:r w:rsidRPr="004124D9">
        <w:rPr>
          <w:rFonts w:ascii="Times New Roman" w:hAnsi="Times New Roman"/>
          <w:sz w:val="20"/>
          <w:szCs w:val="20"/>
        </w:rPr>
        <w:t xml:space="preserve"> Druhá část byla rozdělena na základě počtu sledovaných úkonů. Obec, jejíž matriční úřad provedl v rozhodném období od 1. 1</w:t>
      </w:r>
      <w:r>
        <w:rPr>
          <w:rFonts w:ascii="Times New Roman" w:hAnsi="Times New Roman"/>
          <w:sz w:val="20"/>
          <w:szCs w:val="20"/>
        </w:rPr>
        <w:t>.</w:t>
      </w:r>
      <w:r w:rsidRPr="004124D9">
        <w:rPr>
          <w:rFonts w:ascii="Times New Roman" w:hAnsi="Times New Roman"/>
          <w:sz w:val="20"/>
          <w:szCs w:val="20"/>
        </w:rPr>
        <w:t xml:space="preserve"> do 31. 12. 2018 úkon, obdrží za jeho provedení příspěvek. Za každý provedený zápis v knize narození obdrží obec příspěvek ve výši 690</w:t>
      </w:r>
      <w:r>
        <w:rPr>
          <w:rFonts w:ascii="Times New Roman" w:hAnsi="Times New Roman"/>
          <w:sz w:val="20"/>
          <w:szCs w:val="20"/>
        </w:rPr>
        <w:t xml:space="preserve"> Kč. Za každý provedený zápis v </w:t>
      </w:r>
      <w:r w:rsidRPr="004124D9">
        <w:rPr>
          <w:rFonts w:ascii="Times New Roman" w:hAnsi="Times New Roman"/>
          <w:sz w:val="20"/>
          <w:szCs w:val="20"/>
        </w:rPr>
        <w:t xml:space="preserve">knize manželství nebo partnerství obdrží obec příspěvek ve výši 2 760 Kč a za každý provedený zápis v knize úmrtí obdrží obec příspěvek 920 Kč. Za každý úkon určení otcovství souhlasným prohlášením rodičů obdrží obec příspěvek ve výši 209 Kč, a to za období od 1. 1. do 31. 12. 2018. </w:t>
      </w:r>
    </w:p>
    <w:p w:rsidR="00A3160D" w:rsidRPr="004124D9" w:rsidRDefault="00A3160D" w:rsidP="00A3160D">
      <w:pPr>
        <w:widowControl w:val="0"/>
        <w:autoSpaceDE w:val="0"/>
        <w:autoSpaceDN w:val="0"/>
        <w:adjustRightInd w:val="0"/>
        <w:spacing w:after="0" w:line="240" w:lineRule="auto"/>
        <w:jc w:val="both"/>
        <w:rPr>
          <w:rFonts w:ascii="Times New Roman" w:hAnsi="Times New Roman"/>
          <w:sz w:val="20"/>
          <w:szCs w:val="20"/>
        </w:rPr>
      </w:pPr>
    </w:p>
    <w:p w:rsidR="00A3160D" w:rsidRPr="004124D9"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4124D9">
        <w:rPr>
          <w:rFonts w:ascii="Times New Roman" w:hAnsi="Times New Roman"/>
          <w:sz w:val="20"/>
          <w:szCs w:val="20"/>
        </w:rPr>
        <w:t>V případě obce s rozšířenou působnosti se zvláštním postavením, které vykonávaly do 31. 12. 2002 působnost okresního úřadu podle § 10 zákona č. 147/2000 Sb., o okresních úřadech, ve znění zákona č. 320/2001 Sb. (zákon č. 147/2000 Sb. byl zrušen ke dni 1. 1. 2003), bude financována jen výkonová složka, a to</w:t>
      </w:r>
      <w:r>
        <w:rPr>
          <w:rFonts w:ascii="Times New Roman" w:hAnsi="Times New Roman"/>
          <w:sz w:val="20"/>
          <w:szCs w:val="20"/>
        </w:rPr>
        <w:t xml:space="preserve"> z důvodu vznikající úspory z rozsahu. Č</w:t>
      </w:r>
      <w:r w:rsidRPr="004124D9">
        <w:rPr>
          <w:rFonts w:ascii="Times New Roman" w:hAnsi="Times New Roman"/>
          <w:sz w:val="20"/>
          <w:szCs w:val="20"/>
        </w:rPr>
        <w:t xml:space="preserve">ástky za provedené zápisy </w:t>
      </w:r>
      <w:r>
        <w:rPr>
          <w:rFonts w:ascii="Times New Roman" w:hAnsi="Times New Roman"/>
          <w:sz w:val="20"/>
          <w:szCs w:val="20"/>
        </w:rPr>
        <w:t>a úkon určení otcovství odpovídají</w:t>
      </w:r>
      <w:r w:rsidRPr="004124D9">
        <w:rPr>
          <w:rFonts w:ascii="Times New Roman" w:hAnsi="Times New Roman"/>
          <w:sz w:val="20"/>
          <w:szCs w:val="20"/>
        </w:rPr>
        <w:t xml:space="preserve"> výše uvedenému. </w:t>
      </w:r>
      <w:r w:rsidRPr="004124D9">
        <w:rPr>
          <w:rFonts w:ascii="Times New Roman" w:hAnsi="Times New Roman"/>
          <w:sz w:val="20"/>
          <w:szCs w:val="20"/>
        </w:rPr>
        <w:lastRenderedPageBreak/>
        <w:t xml:space="preserve">Výše příspěvku bude přičtena k celkovému příspěvku </w:t>
      </w:r>
      <w:r>
        <w:rPr>
          <w:rFonts w:ascii="Times New Roman" w:hAnsi="Times New Roman"/>
          <w:sz w:val="20"/>
          <w:szCs w:val="20"/>
        </w:rPr>
        <w:t xml:space="preserve">na zvláštní postavení, viz </w:t>
      </w:r>
      <w:proofErr w:type="gramStart"/>
      <w:r>
        <w:rPr>
          <w:rFonts w:ascii="Times New Roman" w:hAnsi="Times New Roman"/>
          <w:sz w:val="20"/>
          <w:szCs w:val="20"/>
        </w:rPr>
        <w:t>část</w:t>
      </w:r>
      <w:r w:rsidRPr="004124D9">
        <w:rPr>
          <w:rFonts w:ascii="Times New Roman" w:hAnsi="Times New Roman"/>
          <w:sz w:val="20"/>
          <w:szCs w:val="20"/>
        </w:rPr>
        <w:t xml:space="preserve"> </w:t>
      </w:r>
      <w:r>
        <w:rPr>
          <w:rFonts w:ascii="Times New Roman" w:hAnsi="Times New Roman"/>
          <w:sz w:val="20"/>
          <w:szCs w:val="20"/>
        </w:rPr>
        <w:t>1.</w:t>
      </w:r>
      <w:r w:rsidRPr="004124D9">
        <w:rPr>
          <w:rFonts w:ascii="Times New Roman" w:hAnsi="Times New Roman"/>
          <w:sz w:val="20"/>
          <w:szCs w:val="20"/>
        </w:rPr>
        <w:t>C</w:t>
      </w:r>
      <w:r>
        <w:rPr>
          <w:rFonts w:ascii="Times New Roman" w:hAnsi="Times New Roman"/>
          <w:sz w:val="20"/>
          <w:szCs w:val="20"/>
        </w:rPr>
        <w:t>)</w:t>
      </w:r>
      <w:r w:rsidRPr="004124D9">
        <w:rPr>
          <w:rFonts w:ascii="Times New Roman" w:hAnsi="Times New Roman"/>
          <w:sz w:val="20"/>
          <w:szCs w:val="20"/>
        </w:rPr>
        <w:t>.</w:t>
      </w:r>
      <w:proofErr w:type="gramEnd"/>
    </w:p>
    <w:p w:rsidR="00A3160D" w:rsidRPr="004124D9" w:rsidRDefault="00A3160D" w:rsidP="00A3160D">
      <w:pPr>
        <w:widowControl w:val="0"/>
        <w:autoSpaceDE w:val="0"/>
        <w:autoSpaceDN w:val="0"/>
        <w:adjustRightInd w:val="0"/>
        <w:spacing w:after="0" w:line="240" w:lineRule="auto"/>
        <w:jc w:val="both"/>
        <w:rPr>
          <w:rFonts w:ascii="Times New Roman" w:hAnsi="Times New Roman"/>
          <w:sz w:val="20"/>
          <w:szCs w:val="20"/>
        </w:rPr>
      </w:pPr>
    </w:p>
    <w:p w:rsidR="00A3160D" w:rsidRPr="000F5B3A"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4124D9">
        <w:rPr>
          <w:rFonts w:ascii="Times New Roman" w:hAnsi="Times New Roman"/>
          <w:sz w:val="20"/>
          <w:szCs w:val="20"/>
        </w:rPr>
        <w:t>Počty zápisů vycházejí ze statistického zjišťování prováděného Českým statistickým úřadem.</w:t>
      </w:r>
      <w:r>
        <w:rPr>
          <w:rFonts w:ascii="Times New Roman" w:hAnsi="Times New Roman"/>
          <w:sz w:val="20"/>
          <w:szCs w:val="20"/>
        </w:rPr>
        <w:t xml:space="preserve">  </w:t>
      </w:r>
    </w:p>
    <w:p w:rsidR="00A3160D" w:rsidRPr="004124D9" w:rsidRDefault="00A3160D" w:rsidP="00A3160D">
      <w:pPr>
        <w:widowControl w:val="0"/>
        <w:overflowPunct w:val="0"/>
        <w:autoSpaceDE w:val="0"/>
        <w:autoSpaceDN w:val="0"/>
        <w:adjustRightInd w:val="0"/>
        <w:spacing w:after="0" w:line="240" w:lineRule="auto"/>
        <w:ind w:right="40"/>
        <w:jc w:val="both"/>
        <w:rPr>
          <w:rFonts w:ascii="Times New Roman" w:hAnsi="Times New Roman"/>
          <w:sz w:val="20"/>
          <w:szCs w:val="20"/>
        </w:rPr>
      </w:pPr>
    </w:p>
    <w:p w:rsidR="00A3160D" w:rsidRPr="000A0896" w:rsidRDefault="00A3160D" w:rsidP="00A3160D">
      <w:pPr>
        <w:widowControl w:val="0"/>
        <w:overflowPunct w:val="0"/>
        <w:autoSpaceDE w:val="0"/>
        <w:autoSpaceDN w:val="0"/>
        <w:adjustRightInd w:val="0"/>
        <w:spacing w:after="0" w:line="240" w:lineRule="auto"/>
        <w:ind w:right="40"/>
        <w:jc w:val="both"/>
        <w:rPr>
          <w:rFonts w:ascii="Times New Roman" w:hAnsi="Times New Roman"/>
          <w:b/>
          <w:sz w:val="24"/>
          <w:szCs w:val="24"/>
        </w:rPr>
      </w:pPr>
      <w:r>
        <w:rPr>
          <w:rFonts w:ascii="Times New Roman" w:hAnsi="Times New Roman"/>
          <w:b/>
          <w:sz w:val="24"/>
          <w:szCs w:val="24"/>
        </w:rPr>
        <w:t>I</w:t>
      </w:r>
      <w:r w:rsidRPr="000A0896">
        <w:rPr>
          <w:rFonts w:ascii="Times New Roman" w:hAnsi="Times New Roman"/>
          <w:b/>
          <w:sz w:val="24"/>
          <w:szCs w:val="24"/>
        </w:rPr>
        <w:t>) Financování úřadů územního plánování</w:t>
      </w:r>
    </w:p>
    <w:p w:rsidR="00A3160D" w:rsidRPr="000F5B3A" w:rsidRDefault="00A3160D" w:rsidP="00A3160D">
      <w:pPr>
        <w:widowControl w:val="0"/>
        <w:overflowPunct w:val="0"/>
        <w:autoSpaceDE w:val="0"/>
        <w:autoSpaceDN w:val="0"/>
        <w:adjustRightInd w:val="0"/>
        <w:spacing w:after="0" w:line="240" w:lineRule="auto"/>
        <w:ind w:right="40"/>
        <w:jc w:val="both"/>
        <w:rPr>
          <w:rFonts w:ascii="Times New Roman" w:hAnsi="Times New Roman"/>
          <w:sz w:val="24"/>
          <w:szCs w:val="24"/>
        </w:rPr>
      </w:pPr>
    </w:p>
    <w:p w:rsidR="00A3160D" w:rsidRPr="00EF2AB7"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4B6F91">
        <w:rPr>
          <w:rFonts w:ascii="Times New Roman" w:hAnsi="Times New Roman"/>
          <w:sz w:val="20"/>
          <w:szCs w:val="20"/>
        </w:rPr>
        <w:t>Vedle části příspěvku pro obce s rozší</w:t>
      </w:r>
      <w:r>
        <w:rPr>
          <w:rFonts w:ascii="Times New Roman" w:hAnsi="Times New Roman"/>
          <w:sz w:val="20"/>
          <w:szCs w:val="20"/>
        </w:rPr>
        <w:t xml:space="preserve">řenou působností podle </w:t>
      </w:r>
      <w:proofErr w:type="gramStart"/>
      <w:r>
        <w:rPr>
          <w:rFonts w:ascii="Times New Roman" w:hAnsi="Times New Roman"/>
          <w:sz w:val="20"/>
          <w:szCs w:val="20"/>
        </w:rPr>
        <w:t>části 1.</w:t>
      </w:r>
      <w:r w:rsidRPr="004B6F91">
        <w:rPr>
          <w:rFonts w:ascii="Times New Roman" w:hAnsi="Times New Roman"/>
          <w:sz w:val="20"/>
          <w:szCs w:val="20"/>
        </w:rPr>
        <w:t>B), který</w:t>
      </w:r>
      <w:proofErr w:type="gramEnd"/>
      <w:r w:rsidRPr="004B6F91">
        <w:rPr>
          <w:rFonts w:ascii="Times New Roman" w:hAnsi="Times New Roman"/>
          <w:sz w:val="20"/>
          <w:szCs w:val="20"/>
        </w:rPr>
        <w:t xml:space="preserve"> obsahuje i poměrnou část příspěvku na pokrytí výkonu agendy úřadů územního plánování, v souladu s platnou právní úpravou, tj. zákonem  č. 183/2006 Sb., o územním plánování a stavebním řádu (stavební zákon), ve znění pozdějších předpisů, obdrží obce s rozšířenou působností další část příspěvku</w:t>
      </w:r>
      <w:r w:rsidRPr="00EF2AB7">
        <w:rPr>
          <w:rFonts w:ascii="Times New Roman" w:hAnsi="Times New Roman"/>
          <w:sz w:val="20"/>
          <w:szCs w:val="20"/>
        </w:rPr>
        <w:t xml:space="preserve">. </w:t>
      </w:r>
      <w:r w:rsidR="002F3A51" w:rsidRPr="00EF2AB7">
        <w:rPr>
          <w:rFonts w:ascii="Times New Roman" w:hAnsi="Times New Roman"/>
          <w:sz w:val="20"/>
          <w:szCs w:val="20"/>
        </w:rPr>
        <w:t>Agenda uvedená ve větě první byla do zákona č. 183/2006 Sb. doplněna zákonem č. 225/2017 Sb., kterým se mění zákon č. 183/2006 Sb., o územním plánování a stavebním řádu (stavební zákon), ve znění pozdějších předpisů, a další související zákony.</w:t>
      </w:r>
    </w:p>
    <w:p w:rsidR="00A3160D" w:rsidRPr="00EF2AB7" w:rsidRDefault="00A3160D" w:rsidP="00A3160D">
      <w:pPr>
        <w:widowControl w:val="0"/>
        <w:autoSpaceDE w:val="0"/>
        <w:autoSpaceDN w:val="0"/>
        <w:adjustRightInd w:val="0"/>
        <w:spacing w:after="0" w:line="240" w:lineRule="auto"/>
        <w:jc w:val="both"/>
        <w:rPr>
          <w:rFonts w:ascii="Times New Roman" w:hAnsi="Times New Roman"/>
          <w:sz w:val="20"/>
          <w:szCs w:val="20"/>
        </w:rPr>
      </w:pPr>
    </w:p>
    <w:p w:rsidR="00A3160D" w:rsidRPr="004B6F91"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4B6F91">
        <w:rPr>
          <w:rFonts w:ascii="Times New Roman" w:hAnsi="Times New Roman"/>
          <w:sz w:val="20"/>
          <w:szCs w:val="20"/>
        </w:rPr>
        <w:t xml:space="preserve">Obec s rozšířenou působností obdrží příspěvek za každé závazné stanovisko vydané v období od 1. 1. do 31. 12. 2018 podle § 96b zákona č. 183/2006 Sb., o územním plánování a stavebním řádu (stavební zákon), ve znění zákona č. 225/2017 Sb. Částka pro rok 2020 za jeden úkon činí 2 </w:t>
      </w:r>
      <w:r>
        <w:rPr>
          <w:rFonts w:ascii="Times New Roman" w:hAnsi="Times New Roman"/>
          <w:sz w:val="20"/>
          <w:szCs w:val="20"/>
        </w:rPr>
        <w:t> </w:t>
      </w:r>
      <w:r w:rsidRPr="004B6F91">
        <w:rPr>
          <w:rFonts w:ascii="Times New Roman" w:hAnsi="Times New Roman"/>
          <w:sz w:val="20"/>
          <w:szCs w:val="20"/>
        </w:rPr>
        <w:t xml:space="preserve">477 </w:t>
      </w:r>
      <w:r>
        <w:rPr>
          <w:rFonts w:ascii="Times New Roman" w:hAnsi="Times New Roman"/>
          <w:sz w:val="20"/>
          <w:szCs w:val="20"/>
        </w:rPr>
        <w:t> </w:t>
      </w:r>
      <w:r w:rsidRPr="004B6F91">
        <w:rPr>
          <w:rFonts w:ascii="Times New Roman" w:hAnsi="Times New Roman"/>
          <w:sz w:val="20"/>
          <w:szCs w:val="20"/>
        </w:rPr>
        <w:t xml:space="preserve">Kč. Celkový objem finančních prostředků </w:t>
      </w:r>
      <w:r w:rsidRPr="006E0578">
        <w:rPr>
          <w:rFonts w:ascii="Times New Roman" w:hAnsi="Times New Roman"/>
          <w:sz w:val="20"/>
          <w:szCs w:val="20"/>
        </w:rPr>
        <w:t>207</w:t>
      </w:r>
      <w:r>
        <w:rPr>
          <w:rFonts w:ascii="Times New Roman" w:hAnsi="Times New Roman"/>
          <w:sz w:val="20"/>
          <w:szCs w:val="20"/>
        </w:rPr>
        <w:t> 852 501</w:t>
      </w:r>
      <w:r w:rsidRPr="004B6F91">
        <w:rPr>
          <w:rFonts w:ascii="Times New Roman" w:hAnsi="Times New Roman"/>
          <w:sz w:val="20"/>
          <w:szCs w:val="20"/>
        </w:rPr>
        <w:t xml:space="preserve"> Kč je meziročně zachován.</w:t>
      </w:r>
    </w:p>
    <w:p w:rsidR="00A3160D" w:rsidRPr="004B6F91" w:rsidRDefault="00A3160D" w:rsidP="00A3160D">
      <w:pPr>
        <w:widowControl w:val="0"/>
        <w:autoSpaceDE w:val="0"/>
        <w:autoSpaceDN w:val="0"/>
        <w:adjustRightInd w:val="0"/>
        <w:spacing w:after="0" w:line="240" w:lineRule="auto"/>
        <w:jc w:val="both"/>
        <w:rPr>
          <w:rFonts w:ascii="Times New Roman" w:hAnsi="Times New Roman"/>
          <w:sz w:val="20"/>
          <w:szCs w:val="20"/>
        </w:rPr>
      </w:pPr>
    </w:p>
    <w:p w:rsidR="00A3160D" w:rsidRPr="004B6F91"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4B6F91">
        <w:rPr>
          <w:rFonts w:ascii="Times New Roman" w:hAnsi="Times New Roman"/>
          <w:sz w:val="20"/>
          <w:szCs w:val="20"/>
        </w:rPr>
        <w:t xml:space="preserve">Počty závazných stanovisek, které nejsou samostatným rozhodnutím ve správním řízení, vycházejí ze statistického zjišťování prováděného Ministerstvem pro místní rozvoj. </w:t>
      </w:r>
    </w:p>
    <w:p w:rsidR="00A3160D" w:rsidRPr="004B6F91"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4B6F91">
        <w:rPr>
          <w:rFonts w:ascii="Times New Roman" w:hAnsi="Times New Roman"/>
          <w:sz w:val="20"/>
          <w:szCs w:val="20"/>
        </w:rPr>
        <w:t xml:space="preserve"> </w:t>
      </w:r>
    </w:p>
    <w:p w:rsidR="00A3160D" w:rsidRPr="000F5B3A" w:rsidRDefault="00A3160D" w:rsidP="00A3160D">
      <w:pPr>
        <w:widowControl w:val="0"/>
        <w:autoSpaceDE w:val="0"/>
        <w:autoSpaceDN w:val="0"/>
        <w:adjustRightInd w:val="0"/>
        <w:spacing w:after="0" w:line="240" w:lineRule="auto"/>
        <w:jc w:val="both"/>
        <w:rPr>
          <w:rFonts w:ascii="Times New Roman" w:hAnsi="Times New Roman"/>
          <w:sz w:val="20"/>
          <w:szCs w:val="20"/>
        </w:rPr>
      </w:pPr>
    </w:p>
    <w:p w:rsidR="00A3160D" w:rsidRDefault="00A3160D" w:rsidP="00A3160D">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2.</w:t>
      </w:r>
      <w:r w:rsidRPr="00BC5D2C">
        <w:rPr>
          <w:rFonts w:ascii="Times New Roman" w:hAnsi="Times New Roman"/>
          <w:b/>
          <w:bCs/>
          <w:sz w:val="24"/>
          <w:szCs w:val="24"/>
        </w:rPr>
        <w:t xml:space="preserve"> Postup pro stanovení výše příspěvku na výkon státní správy hlavnímu městu Praze</w:t>
      </w:r>
      <w:r w:rsidRPr="00BC5D2C">
        <w:rPr>
          <w:rFonts w:ascii="Times New Roman" w:hAnsi="Times New Roman"/>
          <w:bCs/>
          <w:sz w:val="20"/>
          <w:szCs w:val="20"/>
          <w:vertAlign w:val="superscript"/>
        </w:rPr>
        <w:t>1</w:t>
      </w:r>
      <w:r>
        <w:rPr>
          <w:rFonts w:ascii="Times New Roman" w:hAnsi="Times New Roman"/>
          <w:bCs/>
          <w:sz w:val="20"/>
          <w:szCs w:val="20"/>
          <w:vertAlign w:val="superscript"/>
        </w:rPr>
        <w:t>6</w:t>
      </w:r>
      <w:r w:rsidRPr="00BC5D2C">
        <w:rPr>
          <w:rFonts w:ascii="Times New Roman" w:hAnsi="Times New Roman"/>
          <w:bCs/>
          <w:sz w:val="20"/>
          <w:szCs w:val="20"/>
          <w:vertAlign w:val="superscript"/>
        </w:rPr>
        <w:t>)</w:t>
      </w:r>
      <w:r w:rsidRPr="00BC5D2C">
        <w:rPr>
          <w:rFonts w:ascii="Times New Roman" w:hAnsi="Times New Roman"/>
          <w:b/>
          <w:bCs/>
          <w:sz w:val="24"/>
          <w:szCs w:val="24"/>
        </w:rPr>
        <w:t xml:space="preserve"> </w:t>
      </w:r>
    </w:p>
    <w:p w:rsidR="00A3160D" w:rsidRDefault="00A3160D" w:rsidP="00A3160D">
      <w:pPr>
        <w:widowControl w:val="0"/>
        <w:autoSpaceDE w:val="0"/>
        <w:autoSpaceDN w:val="0"/>
        <w:adjustRightInd w:val="0"/>
        <w:spacing w:after="0" w:line="240" w:lineRule="auto"/>
        <w:jc w:val="both"/>
        <w:rPr>
          <w:rFonts w:ascii="Times New Roman" w:hAnsi="Times New Roman"/>
          <w:b/>
          <w:bCs/>
          <w:sz w:val="24"/>
          <w:szCs w:val="24"/>
        </w:rPr>
      </w:pPr>
    </w:p>
    <w:p w:rsidR="00A3160D"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520D6">
        <w:rPr>
          <w:rFonts w:ascii="Times New Roman" w:hAnsi="Times New Roman"/>
          <w:sz w:val="20"/>
          <w:szCs w:val="20"/>
        </w:rPr>
        <w:t>Výše příspěvku na výkon státní správy pro hlavní město Prahu zahrnuje část</w:t>
      </w:r>
      <w:r>
        <w:rPr>
          <w:rFonts w:ascii="Times New Roman" w:hAnsi="Times New Roman"/>
          <w:sz w:val="20"/>
          <w:szCs w:val="20"/>
        </w:rPr>
        <w:t>ky určené postupem stanoveným v </w:t>
      </w:r>
      <w:proofErr w:type="gramStart"/>
      <w:r w:rsidRPr="000520D6">
        <w:rPr>
          <w:rFonts w:ascii="Times New Roman" w:hAnsi="Times New Roman"/>
          <w:sz w:val="20"/>
          <w:szCs w:val="20"/>
        </w:rPr>
        <w:t>části,</w:t>
      </w:r>
      <w:r>
        <w:rPr>
          <w:rFonts w:ascii="Times New Roman" w:hAnsi="Times New Roman"/>
          <w:sz w:val="20"/>
          <w:szCs w:val="20"/>
        </w:rPr>
        <w:t xml:space="preserve"> 2.A), 2.B) [včetně</w:t>
      </w:r>
      <w:proofErr w:type="gramEnd"/>
      <w:r>
        <w:rPr>
          <w:rFonts w:ascii="Times New Roman" w:hAnsi="Times New Roman"/>
          <w:sz w:val="20"/>
          <w:szCs w:val="20"/>
        </w:rPr>
        <w:t xml:space="preserve"> B1), B2) a B3)], 2.C), 2.D) a 2.E)</w:t>
      </w:r>
      <w:r w:rsidRPr="000520D6">
        <w:rPr>
          <w:rFonts w:ascii="Times New Roman" w:hAnsi="Times New Roman"/>
          <w:sz w:val="20"/>
          <w:szCs w:val="20"/>
        </w:rPr>
        <w:t xml:space="preserve">. </w:t>
      </w:r>
    </w:p>
    <w:p w:rsidR="00A3160D" w:rsidRDefault="00A3160D" w:rsidP="00A3160D">
      <w:pPr>
        <w:widowControl w:val="0"/>
        <w:autoSpaceDE w:val="0"/>
        <w:autoSpaceDN w:val="0"/>
        <w:adjustRightInd w:val="0"/>
        <w:spacing w:after="0" w:line="240" w:lineRule="auto"/>
        <w:jc w:val="both"/>
        <w:rPr>
          <w:rFonts w:ascii="Times New Roman" w:hAnsi="Times New Roman"/>
          <w:sz w:val="20"/>
          <w:szCs w:val="20"/>
        </w:rPr>
      </w:pPr>
    </w:p>
    <w:p w:rsidR="00A3160D"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520D6">
        <w:rPr>
          <w:rFonts w:ascii="Times New Roman" w:hAnsi="Times New Roman"/>
          <w:sz w:val="20"/>
          <w:szCs w:val="20"/>
        </w:rPr>
        <w:t>Takto zjištěná hodnota se zaokrouhluje na celé stokoruny podle matematických zásad.</w:t>
      </w:r>
    </w:p>
    <w:p w:rsidR="00A3160D" w:rsidRPr="00BC5D2C" w:rsidRDefault="00A3160D" w:rsidP="00A3160D">
      <w:pPr>
        <w:widowControl w:val="0"/>
        <w:autoSpaceDE w:val="0"/>
        <w:autoSpaceDN w:val="0"/>
        <w:adjustRightInd w:val="0"/>
        <w:spacing w:after="0" w:line="240" w:lineRule="auto"/>
        <w:jc w:val="both"/>
        <w:rPr>
          <w:rFonts w:ascii="Times New Roman" w:hAnsi="Times New Roman"/>
          <w:b/>
          <w:bCs/>
          <w:sz w:val="24"/>
          <w:szCs w:val="24"/>
        </w:rPr>
      </w:pPr>
    </w:p>
    <w:p w:rsidR="00A3160D" w:rsidRDefault="00A3160D" w:rsidP="00A3160D">
      <w:pPr>
        <w:widowControl w:val="0"/>
        <w:autoSpaceDE w:val="0"/>
        <w:autoSpaceDN w:val="0"/>
        <w:adjustRightInd w:val="0"/>
        <w:spacing w:after="0" w:line="240" w:lineRule="auto"/>
        <w:rPr>
          <w:rFonts w:ascii="Times New Roman" w:hAnsi="Times New Roman"/>
          <w:i/>
          <w:sz w:val="20"/>
          <w:szCs w:val="20"/>
        </w:rPr>
      </w:pPr>
      <w:r w:rsidRPr="00681031">
        <w:rPr>
          <w:rFonts w:ascii="Times New Roman" w:hAnsi="Times New Roman"/>
          <w:sz w:val="20"/>
          <w:szCs w:val="20"/>
          <w:vertAlign w:val="superscript"/>
        </w:rPr>
        <w:t>1</w:t>
      </w:r>
      <w:r>
        <w:rPr>
          <w:rFonts w:ascii="Times New Roman" w:hAnsi="Times New Roman"/>
          <w:sz w:val="20"/>
          <w:szCs w:val="20"/>
          <w:vertAlign w:val="superscript"/>
        </w:rPr>
        <w:t>6</w:t>
      </w:r>
      <w:r w:rsidRPr="00681031">
        <w:rPr>
          <w:rFonts w:ascii="Times New Roman" w:hAnsi="Times New Roman"/>
          <w:sz w:val="20"/>
          <w:szCs w:val="20"/>
          <w:vertAlign w:val="superscript"/>
        </w:rPr>
        <w:t xml:space="preserve">) </w:t>
      </w:r>
      <w:hyperlink r:id="rId19" w:history="1">
        <w:r w:rsidRPr="000F5B3A">
          <w:rPr>
            <w:rFonts w:ascii="Times New Roman" w:hAnsi="Times New Roman"/>
            <w:i/>
            <w:sz w:val="20"/>
            <w:szCs w:val="20"/>
            <w:u w:val="single"/>
          </w:rPr>
          <w:t>§ 31 odst. 4 zákona č. 131/2000 Sb.</w:t>
        </w:r>
      </w:hyperlink>
      <w:r w:rsidRPr="000F5B3A">
        <w:rPr>
          <w:rFonts w:ascii="Times New Roman" w:hAnsi="Times New Roman"/>
          <w:i/>
          <w:sz w:val="20"/>
          <w:szCs w:val="20"/>
        </w:rPr>
        <w:t>, o hlavním městě Praze, ve znění pozdějších předpisů.</w:t>
      </w:r>
    </w:p>
    <w:p w:rsidR="00A3160D" w:rsidRPr="00BC5D2C" w:rsidRDefault="00A3160D" w:rsidP="00A3160D">
      <w:pPr>
        <w:widowControl w:val="0"/>
        <w:autoSpaceDE w:val="0"/>
        <w:autoSpaceDN w:val="0"/>
        <w:adjustRightInd w:val="0"/>
        <w:spacing w:after="0" w:line="240" w:lineRule="auto"/>
        <w:rPr>
          <w:rFonts w:ascii="Times New Roman" w:hAnsi="Times New Roman"/>
          <w:sz w:val="20"/>
          <w:szCs w:val="20"/>
          <w:vertAlign w:val="superscript"/>
        </w:rPr>
      </w:pPr>
    </w:p>
    <w:p w:rsidR="00A3160D" w:rsidRPr="000F5B3A" w:rsidRDefault="00A3160D" w:rsidP="00A3160D">
      <w:pPr>
        <w:widowControl w:val="0"/>
        <w:autoSpaceDE w:val="0"/>
        <w:autoSpaceDN w:val="0"/>
        <w:adjustRightInd w:val="0"/>
        <w:spacing w:after="0" w:line="240" w:lineRule="auto"/>
        <w:jc w:val="both"/>
        <w:rPr>
          <w:rFonts w:ascii="Times New Roman" w:hAnsi="Times New Roman"/>
          <w:b/>
          <w:bCs/>
          <w:sz w:val="24"/>
          <w:szCs w:val="24"/>
        </w:rPr>
      </w:pPr>
      <w:r w:rsidRPr="000F5B3A">
        <w:rPr>
          <w:rFonts w:ascii="Times New Roman" w:hAnsi="Times New Roman"/>
          <w:b/>
          <w:bCs/>
          <w:sz w:val="24"/>
          <w:szCs w:val="24"/>
        </w:rPr>
        <w:t xml:space="preserve">A) Výkon působnosti, která je svěřena orgánům krajů v souladu s ustanovením </w:t>
      </w:r>
      <w:hyperlink r:id="rId20" w:history="1">
        <w:r w:rsidRPr="000F5B3A">
          <w:rPr>
            <w:rFonts w:ascii="Times New Roman" w:hAnsi="Times New Roman"/>
            <w:b/>
            <w:bCs/>
            <w:sz w:val="24"/>
            <w:szCs w:val="24"/>
            <w:u w:val="single"/>
          </w:rPr>
          <w:t>§ 31 odst. 1 zákona č. 131/2000 Sb.</w:t>
        </w:r>
      </w:hyperlink>
      <w:r w:rsidRPr="000F5B3A">
        <w:rPr>
          <w:rFonts w:ascii="Times New Roman" w:hAnsi="Times New Roman"/>
          <w:b/>
          <w:bCs/>
          <w:sz w:val="24"/>
          <w:szCs w:val="24"/>
        </w:rPr>
        <w:t xml:space="preserve">, o hlavním městě Praze, ve znění pozdějších předpisů </w:t>
      </w:r>
    </w:p>
    <w:p w:rsidR="00A3160D" w:rsidRPr="000F5B3A" w:rsidRDefault="00A3160D" w:rsidP="00A3160D">
      <w:pPr>
        <w:widowControl w:val="0"/>
        <w:autoSpaceDE w:val="0"/>
        <w:autoSpaceDN w:val="0"/>
        <w:adjustRightInd w:val="0"/>
        <w:spacing w:after="0" w:line="240" w:lineRule="auto"/>
        <w:rPr>
          <w:rFonts w:ascii="Times New Roman" w:hAnsi="Times New Roman"/>
          <w:b/>
          <w:bCs/>
          <w:sz w:val="24"/>
          <w:szCs w:val="24"/>
        </w:rPr>
      </w:pPr>
      <w:r w:rsidRPr="000F5B3A">
        <w:rPr>
          <w:rFonts w:ascii="Times New Roman" w:hAnsi="Times New Roman"/>
          <w:b/>
          <w:bCs/>
          <w:sz w:val="20"/>
          <w:szCs w:val="20"/>
        </w:rPr>
        <w:t xml:space="preserve"> </w:t>
      </w:r>
    </w:p>
    <w:p w:rsidR="00A3160D"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F5B3A">
        <w:rPr>
          <w:rFonts w:ascii="Times New Roman" w:hAnsi="Times New Roman"/>
          <w:sz w:val="20"/>
          <w:szCs w:val="20"/>
        </w:rPr>
        <w:t>Východiskem pro objem příspěvku na výkon státní správy pro rok 20</w:t>
      </w:r>
      <w:r>
        <w:rPr>
          <w:rFonts w:ascii="Times New Roman" w:hAnsi="Times New Roman"/>
          <w:sz w:val="20"/>
          <w:szCs w:val="20"/>
        </w:rPr>
        <w:t>20</w:t>
      </w:r>
      <w:r w:rsidRPr="000F5B3A">
        <w:rPr>
          <w:rFonts w:ascii="Times New Roman" w:hAnsi="Times New Roman"/>
          <w:sz w:val="20"/>
          <w:szCs w:val="20"/>
        </w:rPr>
        <w:t xml:space="preserve"> je výsledná částka příspěvku pro rok 20</w:t>
      </w:r>
      <w:r>
        <w:rPr>
          <w:rFonts w:ascii="Times New Roman" w:hAnsi="Times New Roman"/>
          <w:sz w:val="20"/>
          <w:szCs w:val="20"/>
        </w:rPr>
        <w:t>19 navýšená o 12,97</w:t>
      </w:r>
      <w:r w:rsidRPr="00592E6A">
        <w:rPr>
          <w:rFonts w:ascii="Times New Roman" w:hAnsi="Times New Roman"/>
          <w:sz w:val="20"/>
          <w:szCs w:val="20"/>
        </w:rPr>
        <w:t xml:space="preserve"> %.</w:t>
      </w:r>
      <w:r w:rsidRPr="000F5B3A">
        <w:rPr>
          <w:rFonts w:ascii="Times New Roman" w:hAnsi="Times New Roman"/>
          <w:sz w:val="20"/>
          <w:szCs w:val="20"/>
        </w:rPr>
        <w:t xml:space="preserve"> </w:t>
      </w:r>
    </w:p>
    <w:p w:rsidR="00A3160D" w:rsidRPr="000F5B3A" w:rsidRDefault="00A3160D" w:rsidP="00A3160D">
      <w:pPr>
        <w:widowControl w:val="0"/>
        <w:autoSpaceDE w:val="0"/>
        <w:autoSpaceDN w:val="0"/>
        <w:adjustRightInd w:val="0"/>
        <w:spacing w:after="0" w:line="240" w:lineRule="auto"/>
        <w:jc w:val="both"/>
        <w:rPr>
          <w:rFonts w:ascii="Times New Roman" w:hAnsi="Times New Roman"/>
          <w:strike/>
          <w:sz w:val="20"/>
          <w:szCs w:val="20"/>
        </w:rPr>
      </w:pPr>
    </w:p>
    <w:p w:rsidR="00A3160D" w:rsidRPr="000F5B3A" w:rsidRDefault="00A3160D" w:rsidP="00A3160D">
      <w:pPr>
        <w:widowControl w:val="0"/>
        <w:autoSpaceDE w:val="0"/>
        <w:autoSpaceDN w:val="0"/>
        <w:adjustRightInd w:val="0"/>
        <w:spacing w:after="0" w:line="240" w:lineRule="auto"/>
        <w:jc w:val="both"/>
        <w:rPr>
          <w:rFonts w:ascii="Times New Roman" w:hAnsi="Times New Roman"/>
          <w:b/>
          <w:bCs/>
          <w:sz w:val="24"/>
          <w:szCs w:val="24"/>
        </w:rPr>
      </w:pPr>
      <w:r w:rsidRPr="000F5B3A">
        <w:rPr>
          <w:rFonts w:ascii="Times New Roman" w:hAnsi="Times New Roman"/>
          <w:b/>
          <w:bCs/>
          <w:sz w:val="24"/>
          <w:szCs w:val="24"/>
        </w:rPr>
        <w:t xml:space="preserve">B) Výkon působnosti, která je svěřena orgánům obcí, orgánům obcí s pověřeným obecním úřadem a orgánům obcí s rozšířenou působností v souladu s ustanovením </w:t>
      </w:r>
      <w:hyperlink r:id="rId21" w:history="1">
        <w:r w:rsidRPr="000F5B3A">
          <w:rPr>
            <w:rFonts w:ascii="Times New Roman" w:hAnsi="Times New Roman"/>
            <w:b/>
            <w:bCs/>
            <w:sz w:val="24"/>
            <w:szCs w:val="24"/>
            <w:u w:val="single"/>
          </w:rPr>
          <w:t>§ 31 odst. 2 zákona č. 131/2000 Sb.</w:t>
        </w:r>
      </w:hyperlink>
      <w:r w:rsidRPr="000F5B3A">
        <w:rPr>
          <w:rFonts w:ascii="Times New Roman" w:hAnsi="Times New Roman"/>
          <w:b/>
          <w:bCs/>
          <w:sz w:val="24"/>
          <w:szCs w:val="24"/>
        </w:rPr>
        <w:t xml:space="preserve">, o hlavním městě Praze, ve znění pozdějších předpisů </w:t>
      </w:r>
    </w:p>
    <w:p w:rsidR="00A3160D" w:rsidRPr="004B6F91"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4B6F91">
        <w:rPr>
          <w:rFonts w:ascii="Times New Roman" w:hAnsi="Times New Roman"/>
          <w:sz w:val="20"/>
          <w:szCs w:val="20"/>
        </w:rPr>
        <w:t xml:space="preserve"> </w:t>
      </w:r>
    </w:p>
    <w:p w:rsidR="00A3160D" w:rsidRPr="004B6F91"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4B6F91">
        <w:rPr>
          <w:rFonts w:ascii="Times New Roman" w:hAnsi="Times New Roman"/>
          <w:sz w:val="20"/>
          <w:szCs w:val="20"/>
        </w:rPr>
        <w:t>Výše příspěvku se stanoví na základě pevné sazby na každých 100 obyvatel trvale bydlících v území, v němž hlavní město Praha vykonává státní správu. Příspěvek je tedy násobkem pevné sazby a jedné setiny celkového počtu obyvatel v území. Sazba je</w:t>
      </w:r>
      <w:r>
        <w:rPr>
          <w:rFonts w:ascii="Times New Roman" w:hAnsi="Times New Roman"/>
          <w:sz w:val="20"/>
          <w:szCs w:val="20"/>
        </w:rPr>
        <w:t xml:space="preserve"> pro rok 2020 valorizována o 4,</w:t>
      </w:r>
      <w:r w:rsidRPr="004B6F91">
        <w:rPr>
          <w:rFonts w:ascii="Times New Roman" w:hAnsi="Times New Roman"/>
          <w:sz w:val="20"/>
          <w:szCs w:val="20"/>
        </w:rPr>
        <w:t>6</w:t>
      </w:r>
      <w:r>
        <w:rPr>
          <w:rFonts w:ascii="Times New Roman" w:hAnsi="Times New Roman"/>
          <w:sz w:val="20"/>
          <w:szCs w:val="20"/>
        </w:rPr>
        <w:t>4</w:t>
      </w:r>
      <w:r w:rsidRPr="004B6F91">
        <w:rPr>
          <w:rFonts w:ascii="Times New Roman" w:hAnsi="Times New Roman"/>
          <w:sz w:val="20"/>
          <w:szCs w:val="20"/>
        </w:rPr>
        <w:t xml:space="preserve"> % a činí 78 2</w:t>
      </w:r>
      <w:r>
        <w:rPr>
          <w:rFonts w:ascii="Times New Roman" w:hAnsi="Times New Roman"/>
          <w:sz w:val="20"/>
          <w:szCs w:val="20"/>
        </w:rPr>
        <w:t>67</w:t>
      </w:r>
      <w:r w:rsidRPr="004B6F91">
        <w:rPr>
          <w:rFonts w:ascii="Times New Roman" w:hAnsi="Times New Roman"/>
          <w:sz w:val="20"/>
          <w:szCs w:val="20"/>
        </w:rPr>
        <w:t xml:space="preserve"> Kč. Meziroční změna příspěvku oproti roku 2019 je také výsledkem nárůstu počtu obyvatel hlavního města Prahy dle údajů Českého statistického úřadu se stavem k 1. 1. 2019</w:t>
      </w:r>
      <w:r>
        <w:rPr>
          <w:rFonts w:ascii="Times New Roman" w:hAnsi="Times New Roman"/>
          <w:sz w:val="20"/>
          <w:szCs w:val="20"/>
        </w:rPr>
        <w:t>.</w:t>
      </w:r>
    </w:p>
    <w:p w:rsidR="00A3160D" w:rsidRPr="000F5B3A" w:rsidRDefault="00A3160D" w:rsidP="00A3160D">
      <w:pPr>
        <w:widowControl w:val="0"/>
        <w:autoSpaceDE w:val="0"/>
        <w:autoSpaceDN w:val="0"/>
        <w:adjustRightInd w:val="0"/>
        <w:spacing w:after="0" w:line="240" w:lineRule="auto"/>
        <w:jc w:val="both"/>
        <w:rPr>
          <w:rFonts w:ascii="Times New Roman" w:hAnsi="Times New Roman"/>
          <w:b/>
          <w:bCs/>
          <w:sz w:val="20"/>
          <w:szCs w:val="20"/>
        </w:rPr>
      </w:pPr>
    </w:p>
    <w:p w:rsidR="00A3160D" w:rsidRPr="000F5B3A" w:rsidRDefault="00A3160D" w:rsidP="00A3160D">
      <w:pPr>
        <w:widowControl w:val="0"/>
        <w:overflowPunct w:val="0"/>
        <w:autoSpaceDE w:val="0"/>
        <w:autoSpaceDN w:val="0"/>
        <w:adjustRightInd w:val="0"/>
        <w:spacing w:after="0" w:line="240" w:lineRule="auto"/>
        <w:ind w:right="40"/>
        <w:jc w:val="both"/>
        <w:rPr>
          <w:rFonts w:ascii="Times New Roman" w:hAnsi="Times New Roman"/>
          <w:b/>
          <w:sz w:val="24"/>
          <w:szCs w:val="24"/>
        </w:rPr>
      </w:pPr>
      <w:r w:rsidRPr="00592E6A">
        <w:rPr>
          <w:rFonts w:ascii="Times New Roman" w:hAnsi="Times New Roman"/>
          <w:b/>
          <w:sz w:val="24"/>
          <w:szCs w:val="24"/>
        </w:rPr>
        <w:t>B1) Financování</w:t>
      </w:r>
      <w:r w:rsidRPr="000F5B3A">
        <w:rPr>
          <w:rFonts w:ascii="Times New Roman" w:hAnsi="Times New Roman"/>
          <w:b/>
          <w:sz w:val="24"/>
          <w:szCs w:val="24"/>
        </w:rPr>
        <w:t xml:space="preserve"> vydávání občanských průkazů</w:t>
      </w:r>
    </w:p>
    <w:p w:rsidR="00A3160D" w:rsidRPr="000F5B3A" w:rsidRDefault="00A3160D" w:rsidP="00A3160D">
      <w:pPr>
        <w:widowControl w:val="0"/>
        <w:overflowPunct w:val="0"/>
        <w:autoSpaceDE w:val="0"/>
        <w:autoSpaceDN w:val="0"/>
        <w:adjustRightInd w:val="0"/>
        <w:spacing w:after="0" w:line="240" w:lineRule="auto"/>
        <w:ind w:right="40"/>
        <w:jc w:val="both"/>
        <w:rPr>
          <w:rFonts w:ascii="Times New Roman" w:hAnsi="Times New Roman"/>
          <w:sz w:val="20"/>
          <w:szCs w:val="20"/>
        </w:rPr>
      </w:pPr>
    </w:p>
    <w:p w:rsidR="00A3160D" w:rsidRPr="000F5B3A"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F5B3A">
        <w:rPr>
          <w:rFonts w:ascii="Times New Roman" w:hAnsi="Times New Roman"/>
          <w:sz w:val="20"/>
          <w:szCs w:val="20"/>
        </w:rPr>
        <w:t>V celkové částce příspěvku na výkon státní správy pro hlavní město Prahu, je obsažena i částka</w:t>
      </w:r>
      <w:r>
        <w:rPr>
          <w:rFonts w:ascii="Times New Roman" w:hAnsi="Times New Roman"/>
          <w:sz w:val="20"/>
          <w:szCs w:val="20"/>
        </w:rPr>
        <w:t xml:space="preserve"> </w:t>
      </w:r>
      <w:r w:rsidRPr="004B6F91">
        <w:rPr>
          <w:rFonts w:ascii="Times New Roman" w:hAnsi="Times New Roman"/>
          <w:sz w:val="20"/>
          <w:szCs w:val="20"/>
        </w:rPr>
        <w:t xml:space="preserve">18 468 885 </w:t>
      </w:r>
      <w:r>
        <w:rPr>
          <w:rFonts w:ascii="Times New Roman" w:hAnsi="Times New Roman"/>
          <w:sz w:val="20"/>
          <w:szCs w:val="20"/>
        </w:rPr>
        <w:t>Kč</w:t>
      </w:r>
      <w:r w:rsidRPr="000F5B3A">
        <w:rPr>
          <w:rFonts w:ascii="Times New Roman" w:hAnsi="Times New Roman"/>
          <w:sz w:val="20"/>
          <w:szCs w:val="20"/>
        </w:rPr>
        <w:t xml:space="preserve"> k pokrytí financování vydávání občanských průkazů jednotlivými </w:t>
      </w:r>
      <w:r w:rsidR="00C44EBB" w:rsidRPr="00EF2AB7">
        <w:rPr>
          <w:rFonts w:ascii="Times New Roman" w:hAnsi="Times New Roman"/>
          <w:sz w:val="20"/>
          <w:szCs w:val="20"/>
        </w:rPr>
        <w:t xml:space="preserve">úřady </w:t>
      </w:r>
      <w:r w:rsidRPr="00EF2AB7">
        <w:rPr>
          <w:rFonts w:ascii="Times New Roman" w:hAnsi="Times New Roman"/>
          <w:sz w:val="20"/>
          <w:szCs w:val="20"/>
        </w:rPr>
        <w:t xml:space="preserve">městských </w:t>
      </w:r>
      <w:r w:rsidRPr="000F5B3A">
        <w:rPr>
          <w:rFonts w:ascii="Times New Roman" w:hAnsi="Times New Roman"/>
          <w:sz w:val="20"/>
          <w:szCs w:val="20"/>
        </w:rPr>
        <w:t xml:space="preserve">částí. </w:t>
      </w:r>
    </w:p>
    <w:p w:rsidR="00A3160D" w:rsidRPr="000F5B3A" w:rsidRDefault="00A3160D" w:rsidP="00A3160D">
      <w:pPr>
        <w:widowControl w:val="0"/>
        <w:autoSpaceDE w:val="0"/>
        <w:autoSpaceDN w:val="0"/>
        <w:adjustRightInd w:val="0"/>
        <w:spacing w:after="0" w:line="240" w:lineRule="auto"/>
        <w:jc w:val="both"/>
        <w:rPr>
          <w:rFonts w:ascii="Times New Roman" w:hAnsi="Times New Roman"/>
          <w:sz w:val="20"/>
          <w:szCs w:val="20"/>
        </w:rPr>
      </w:pPr>
    </w:p>
    <w:p w:rsidR="00A3160D" w:rsidRPr="000F5B3A"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F5B3A">
        <w:rPr>
          <w:rFonts w:ascii="Times New Roman" w:hAnsi="Times New Roman"/>
          <w:sz w:val="20"/>
          <w:szCs w:val="20"/>
        </w:rPr>
        <w:t>Financování vydávání občanských průkazů včetně souvislostí se řídí podle ustanovení obsažených v </w:t>
      </w:r>
      <w:proofErr w:type="gramStart"/>
      <w:r>
        <w:rPr>
          <w:rFonts w:ascii="Times New Roman" w:hAnsi="Times New Roman"/>
          <w:sz w:val="20"/>
          <w:szCs w:val="20"/>
        </w:rPr>
        <w:t>části 1.</w:t>
      </w:r>
      <w:r w:rsidRPr="000F5B3A">
        <w:rPr>
          <w:rFonts w:ascii="Times New Roman" w:hAnsi="Times New Roman"/>
          <w:sz w:val="20"/>
          <w:szCs w:val="20"/>
        </w:rPr>
        <w:t>F) této</w:t>
      </w:r>
      <w:proofErr w:type="gramEnd"/>
      <w:r w:rsidRPr="000F5B3A">
        <w:rPr>
          <w:rFonts w:ascii="Times New Roman" w:hAnsi="Times New Roman"/>
          <w:sz w:val="20"/>
          <w:szCs w:val="20"/>
        </w:rPr>
        <w:t xml:space="preserve"> přílohy.</w:t>
      </w:r>
    </w:p>
    <w:p w:rsidR="00A3160D" w:rsidRPr="000F5B3A" w:rsidRDefault="00A3160D" w:rsidP="00A3160D">
      <w:pPr>
        <w:widowControl w:val="0"/>
        <w:autoSpaceDE w:val="0"/>
        <w:autoSpaceDN w:val="0"/>
        <w:adjustRightInd w:val="0"/>
        <w:spacing w:after="0" w:line="240" w:lineRule="auto"/>
        <w:jc w:val="both"/>
        <w:rPr>
          <w:rFonts w:ascii="Times New Roman" w:hAnsi="Times New Roman"/>
          <w:b/>
          <w:bCs/>
          <w:sz w:val="20"/>
          <w:szCs w:val="20"/>
        </w:rPr>
      </w:pPr>
    </w:p>
    <w:p w:rsidR="00A3160D" w:rsidRPr="00592E6A" w:rsidRDefault="00A3160D" w:rsidP="00A3160D">
      <w:pPr>
        <w:widowControl w:val="0"/>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B</w:t>
      </w:r>
      <w:r w:rsidRPr="00592E6A">
        <w:rPr>
          <w:rFonts w:ascii="Times New Roman" w:hAnsi="Times New Roman"/>
          <w:b/>
          <w:sz w:val="24"/>
          <w:szCs w:val="24"/>
        </w:rPr>
        <w:t xml:space="preserve">2) Financování vydávání řidičských průkazů </w:t>
      </w:r>
    </w:p>
    <w:p w:rsidR="00A3160D" w:rsidRPr="00592E6A" w:rsidRDefault="00A3160D" w:rsidP="00A3160D">
      <w:pPr>
        <w:widowControl w:val="0"/>
        <w:autoSpaceDE w:val="0"/>
        <w:autoSpaceDN w:val="0"/>
        <w:adjustRightInd w:val="0"/>
        <w:spacing w:after="0" w:line="240" w:lineRule="auto"/>
        <w:jc w:val="both"/>
        <w:rPr>
          <w:rFonts w:ascii="Times New Roman" w:hAnsi="Times New Roman"/>
          <w:b/>
          <w:bCs/>
          <w:sz w:val="20"/>
          <w:szCs w:val="20"/>
        </w:rPr>
      </w:pPr>
    </w:p>
    <w:p w:rsidR="00A3160D"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592E6A">
        <w:rPr>
          <w:rFonts w:ascii="Times New Roman" w:hAnsi="Times New Roman"/>
          <w:sz w:val="20"/>
          <w:szCs w:val="20"/>
        </w:rPr>
        <w:t xml:space="preserve">V celkové částce příspěvku na výkon státní správy pro hlavní město Prahu, je obsažena i částka 5 198 575 Kč </w:t>
      </w:r>
      <w:r w:rsidRPr="00592E6A">
        <w:rPr>
          <w:rFonts w:ascii="Times New Roman" w:hAnsi="Times New Roman"/>
          <w:sz w:val="20"/>
          <w:szCs w:val="20"/>
        </w:rPr>
        <w:lastRenderedPageBreak/>
        <w:t>k</w:t>
      </w:r>
      <w:r>
        <w:rPr>
          <w:rFonts w:ascii="Times New Roman" w:hAnsi="Times New Roman"/>
          <w:sz w:val="20"/>
          <w:szCs w:val="20"/>
        </w:rPr>
        <w:t> </w:t>
      </w:r>
      <w:r w:rsidRPr="00592E6A">
        <w:rPr>
          <w:rFonts w:ascii="Times New Roman" w:hAnsi="Times New Roman"/>
          <w:sz w:val="20"/>
          <w:szCs w:val="20"/>
        </w:rPr>
        <w:t>pokrytí financování vydávání řidičských průkazů Magistrátem hlavního města Prahy.</w:t>
      </w:r>
    </w:p>
    <w:p w:rsidR="00A3160D" w:rsidRDefault="00A3160D" w:rsidP="00A3160D">
      <w:pPr>
        <w:widowControl w:val="0"/>
        <w:autoSpaceDE w:val="0"/>
        <w:autoSpaceDN w:val="0"/>
        <w:adjustRightInd w:val="0"/>
        <w:spacing w:after="0" w:line="240" w:lineRule="auto"/>
        <w:jc w:val="both"/>
        <w:rPr>
          <w:rFonts w:ascii="Times New Roman" w:hAnsi="Times New Roman"/>
          <w:sz w:val="20"/>
          <w:szCs w:val="20"/>
        </w:rPr>
      </w:pPr>
    </w:p>
    <w:p w:rsidR="00A3160D" w:rsidRPr="000F5B3A"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F5B3A">
        <w:rPr>
          <w:rFonts w:ascii="Times New Roman" w:hAnsi="Times New Roman"/>
          <w:sz w:val="20"/>
          <w:szCs w:val="20"/>
        </w:rPr>
        <w:t xml:space="preserve">Financování vydávání </w:t>
      </w:r>
      <w:r>
        <w:rPr>
          <w:rFonts w:ascii="Times New Roman" w:hAnsi="Times New Roman"/>
          <w:sz w:val="20"/>
          <w:szCs w:val="20"/>
        </w:rPr>
        <w:t xml:space="preserve">řidičských průkazů </w:t>
      </w:r>
      <w:r w:rsidRPr="000F5B3A">
        <w:rPr>
          <w:rFonts w:ascii="Times New Roman" w:hAnsi="Times New Roman"/>
          <w:sz w:val="20"/>
          <w:szCs w:val="20"/>
        </w:rPr>
        <w:t>včetně souvislostí se řídí podle ustanovení obsažených v </w:t>
      </w:r>
      <w:proofErr w:type="gramStart"/>
      <w:r>
        <w:rPr>
          <w:rFonts w:ascii="Times New Roman" w:hAnsi="Times New Roman"/>
          <w:sz w:val="20"/>
          <w:szCs w:val="20"/>
        </w:rPr>
        <w:t>části 1.G</w:t>
      </w:r>
      <w:r w:rsidRPr="000F5B3A">
        <w:rPr>
          <w:rFonts w:ascii="Times New Roman" w:hAnsi="Times New Roman"/>
          <w:sz w:val="20"/>
          <w:szCs w:val="20"/>
        </w:rPr>
        <w:t>) této</w:t>
      </w:r>
      <w:proofErr w:type="gramEnd"/>
      <w:r w:rsidRPr="000F5B3A">
        <w:rPr>
          <w:rFonts w:ascii="Times New Roman" w:hAnsi="Times New Roman"/>
          <w:sz w:val="20"/>
          <w:szCs w:val="20"/>
        </w:rPr>
        <w:t xml:space="preserve"> přílohy.</w:t>
      </w:r>
    </w:p>
    <w:p w:rsidR="00A3160D" w:rsidRDefault="00A3160D" w:rsidP="00A3160D">
      <w:pPr>
        <w:widowControl w:val="0"/>
        <w:autoSpaceDE w:val="0"/>
        <w:autoSpaceDN w:val="0"/>
        <w:adjustRightInd w:val="0"/>
        <w:spacing w:after="0" w:line="240" w:lineRule="auto"/>
        <w:jc w:val="both"/>
        <w:rPr>
          <w:rFonts w:ascii="Times New Roman" w:hAnsi="Times New Roman"/>
          <w:sz w:val="20"/>
          <w:szCs w:val="20"/>
        </w:rPr>
      </w:pPr>
    </w:p>
    <w:p w:rsidR="00A3160D" w:rsidRPr="00BC5D2C" w:rsidRDefault="00A3160D" w:rsidP="00A3160D">
      <w:pPr>
        <w:widowControl w:val="0"/>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B3) Financování matričních úřadů</w:t>
      </w:r>
      <w:r w:rsidRPr="00BC5D2C">
        <w:rPr>
          <w:rFonts w:ascii="Times New Roman" w:hAnsi="Times New Roman"/>
          <w:b/>
          <w:sz w:val="24"/>
          <w:szCs w:val="24"/>
        </w:rPr>
        <w:t xml:space="preserve"> </w:t>
      </w:r>
    </w:p>
    <w:p w:rsidR="00A3160D" w:rsidRPr="00592E6A" w:rsidRDefault="00A3160D" w:rsidP="00A3160D">
      <w:pPr>
        <w:widowControl w:val="0"/>
        <w:autoSpaceDE w:val="0"/>
        <w:autoSpaceDN w:val="0"/>
        <w:adjustRightInd w:val="0"/>
        <w:spacing w:after="0" w:line="240" w:lineRule="auto"/>
        <w:jc w:val="both"/>
        <w:rPr>
          <w:rFonts w:ascii="Times New Roman" w:hAnsi="Times New Roman"/>
          <w:sz w:val="20"/>
          <w:szCs w:val="20"/>
        </w:rPr>
      </w:pPr>
    </w:p>
    <w:p w:rsidR="00A3160D"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592E6A">
        <w:rPr>
          <w:rFonts w:ascii="Times New Roman" w:hAnsi="Times New Roman"/>
          <w:sz w:val="20"/>
          <w:szCs w:val="20"/>
        </w:rPr>
        <w:t xml:space="preserve">V celkové částce příspěvku na výkon státní správy pro </w:t>
      </w:r>
      <w:r>
        <w:rPr>
          <w:rFonts w:ascii="Times New Roman" w:hAnsi="Times New Roman"/>
          <w:sz w:val="20"/>
          <w:szCs w:val="20"/>
        </w:rPr>
        <w:t>hlavní město Prahu je obsažena výkonová složka ve výši</w:t>
      </w:r>
      <w:r w:rsidRPr="00592E6A">
        <w:rPr>
          <w:rFonts w:ascii="Times New Roman" w:hAnsi="Times New Roman"/>
          <w:sz w:val="20"/>
          <w:szCs w:val="20"/>
        </w:rPr>
        <w:t xml:space="preserve"> 39 028 911 Kč k pokrytí financování úkonů učiněných v rámci jednotlivých matričních úřadů.</w:t>
      </w:r>
    </w:p>
    <w:p w:rsidR="00A3160D" w:rsidRDefault="00A3160D" w:rsidP="00A3160D">
      <w:pPr>
        <w:widowControl w:val="0"/>
        <w:autoSpaceDE w:val="0"/>
        <w:autoSpaceDN w:val="0"/>
        <w:adjustRightInd w:val="0"/>
        <w:spacing w:after="0" w:line="240" w:lineRule="auto"/>
        <w:jc w:val="both"/>
        <w:rPr>
          <w:rFonts w:ascii="Times New Roman" w:hAnsi="Times New Roman"/>
          <w:sz w:val="20"/>
          <w:szCs w:val="20"/>
        </w:rPr>
      </w:pPr>
    </w:p>
    <w:p w:rsidR="00A3160D" w:rsidRPr="00592E6A"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F5B3A">
        <w:rPr>
          <w:rFonts w:ascii="Times New Roman" w:hAnsi="Times New Roman"/>
          <w:sz w:val="20"/>
          <w:szCs w:val="20"/>
        </w:rPr>
        <w:t xml:space="preserve">Financování </w:t>
      </w:r>
      <w:r>
        <w:rPr>
          <w:rFonts w:ascii="Times New Roman" w:hAnsi="Times New Roman"/>
          <w:sz w:val="20"/>
          <w:szCs w:val="20"/>
        </w:rPr>
        <w:t xml:space="preserve">matričních úřadů </w:t>
      </w:r>
      <w:r w:rsidRPr="000F5B3A">
        <w:rPr>
          <w:rFonts w:ascii="Times New Roman" w:hAnsi="Times New Roman"/>
          <w:sz w:val="20"/>
          <w:szCs w:val="20"/>
        </w:rPr>
        <w:t>včetně souvislostí se řídí podle ustanovení obsažených v </w:t>
      </w:r>
      <w:proofErr w:type="gramStart"/>
      <w:r>
        <w:rPr>
          <w:rFonts w:ascii="Times New Roman" w:hAnsi="Times New Roman"/>
          <w:sz w:val="20"/>
          <w:szCs w:val="20"/>
        </w:rPr>
        <w:t>části 1.H</w:t>
      </w:r>
      <w:r w:rsidRPr="000F5B3A">
        <w:rPr>
          <w:rFonts w:ascii="Times New Roman" w:hAnsi="Times New Roman"/>
          <w:sz w:val="20"/>
          <w:szCs w:val="20"/>
        </w:rPr>
        <w:t>) této</w:t>
      </w:r>
      <w:proofErr w:type="gramEnd"/>
      <w:r w:rsidRPr="000F5B3A">
        <w:rPr>
          <w:rFonts w:ascii="Times New Roman" w:hAnsi="Times New Roman"/>
          <w:sz w:val="20"/>
          <w:szCs w:val="20"/>
        </w:rPr>
        <w:t xml:space="preserve"> přílohy.</w:t>
      </w:r>
    </w:p>
    <w:p w:rsidR="00A3160D" w:rsidRPr="000F5B3A" w:rsidRDefault="00A3160D" w:rsidP="00A3160D">
      <w:pPr>
        <w:widowControl w:val="0"/>
        <w:autoSpaceDE w:val="0"/>
        <w:autoSpaceDN w:val="0"/>
        <w:adjustRightInd w:val="0"/>
        <w:spacing w:after="0" w:line="240" w:lineRule="auto"/>
        <w:jc w:val="both"/>
        <w:rPr>
          <w:rFonts w:ascii="Times New Roman" w:hAnsi="Times New Roman"/>
          <w:b/>
          <w:bCs/>
          <w:sz w:val="20"/>
          <w:szCs w:val="20"/>
        </w:rPr>
      </w:pPr>
    </w:p>
    <w:p w:rsidR="00A3160D" w:rsidRPr="000F5B3A" w:rsidRDefault="00A3160D" w:rsidP="00A3160D">
      <w:pPr>
        <w:widowControl w:val="0"/>
        <w:autoSpaceDE w:val="0"/>
        <w:autoSpaceDN w:val="0"/>
        <w:adjustRightInd w:val="0"/>
        <w:spacing w:after="0" w:line="240" w:lineRule="auto"/>
        <w:jc w:val="both"/>
        <w:rPr>
          <w:rFonts w:ascii="Times New Roman" w:hAnsi="Times New Roman"/>
          <w:b/>
          <w:bCs/>
          <w:sz w:val="24"/>
          <w:szCs w:val="24"/>
        </w:rPr>
      </w:pPr>
      <w:r w:rsidRPr="000F5B3A">
        <w:rPr>
          <w:rFonts w:ascii="Times New Roman" w:hAnsi="Times New Roman"/>
          <w:b/>
          <w:bCs/>
          <w:sz w:val="24"/>
          <w:szCs w:val="24"/>
        </w:rPr>
        <w:t xml:space="preserve">C) Financování veřejného opatrovnictví včetně souvislostí </w:t>
      </w:r>
    </w:p>
    <w:p w:rsidR="00A3160D" w:rsidRPr="0002637A" w:rsidRDefault="00A3160D" w:rsidP="00A3160D">
      <w:pPr>
        <w:widowControl w:val="0"/>
        <w:autoSpaceDE w:val="0"/>
        <w:autoSpaceDN w:val="0"/>
        <w:adjustRightInd w:val="0"/>
        <w:spacing w:after="0" w:line="240" w:lineRule="auto"/>
        <w:jc w:val="both"/>
        <w:rPr>
          <w:rFonts w:ascii="Times New Roman" w:hAnsi="Times New Roman"/>
          <w:sz w:val="20"/>
          <w:szCs w:val="20"/>
        </w:rPr>
      </w:pPr>
    </w:p>
    <w:p w:rsidR="00A3160D" w:rsidRPr="000F5B3A"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F5B3A">
        <w:rPr>
          <w:rFonts w:ascii="Times New Roman" w:hAnsi="Times New Roman"/>
          <w:sz w:val="20"/>
          <w:szCs w:val="20"/>
        </w:rPr>
        <w:t>Příspěvek na výkon státní správy pro hlavní m</w:t>
      </w:r>
      <w:r>
        <w:rPr>
          <w:rFonts w:ascii="Times New Roman" w:hAnsi="Times New Roman"/>
          <w:sz w:val="20"/>
          <w:szCs w:val="20"/>
        </w:rPr>
        <w:t xml:space="preserve">ěsto Prahu se navyšuje o částku </w:t>
      </w:r>
      <w:r w:rsidRPr="0002637A">
        <w:rPr>
          <w:rFonts w:ascii="Times New Roman" w:hAnsi="Times New Roman"/>
          <w:sz w:val="20"/>
          <w:szCs w:val="20"/>
        </w:rPr>
        <w:t>24 679</w:t>
      </w:r>
      <w:r>
        <w:rPr>
          <w:rFonts w:ascii="Times New Roman" w:hAnsi="Times New Roman"/>
          <w:sz w:val="20"/>
          <w:szCs w:val="20"/>
        </w:rPr>
        <w:t xml:space="preserve"> 000 </w:t>
      </w:r>
      <w:r w:rsidRPr="000F5B3A">
        <w:rPr>
          <w:rFonts w:ascii="Times New Roman" w:hAnsi="Times New Roman"/>
          <w:sz w:val="20"/>
          <w:szCs w:val="20"/>
        </w:rPr>
        <w:t>Kč k pokrytí financování veřejného opatrovnictví k</w:t>
      </w:r>
      <w:r>
        <w:rPr>
          <w:rFonts w:ascii="Times New Roman" w:hAnsi="Times New Roman"/>
          <w:sz w:val="20"/>
          <w:szCs w:val="20"/>
        </w:rPr>
        <w:t> </w:t>
      </w:r>
      <w:r w:rsidRPr="000F5B3A">
        <w:rPr>
          <w:rFonts w:ascii="Times New Roman" w:hAnsi="Times New Roman"/>
          <w:sz w:val="20"/>
          <w:szCs w:val="20"/>
        </w:rPr>
        <w:t>zabezpečení</w:t>
      </w:r>
      <w:r>
        <w:rPr>
          <w:rFonts w:ascii="Times New Roman" w:hAnsi="Times New Roman"/>
          <w:sz w:val="20"/>
          <w:szCs w:val="20"/>
        </w:rPr>
        <w:t xml:space="preserve"> 851</w:t>
      </w:r>
      <w:r w:rsidRPr="000F5B3A">
        <w:rPr>
          <w:rFonts w:ascii="Times New Roman" w:hAnsi="Times New Roman"/>
          <w:sz w:val="20"/>
          <w:szCs w:val="20"/>
        </w:rPr>
        <w:t xml:space="preserve"> </w:t>
      </w:r>
      <w:proofErr w:type="spellStart"/>
      <w:r w:rsidRPr="000F5B3A">
        <w:rPr>
          <w:rFonts w:ascii="Times New Roman" w:hAnsi="Times New Roman"/>
          <w:sz w:val="20"/>
          <w:szCs w:val="20"/>
        </w:rPr>
        <w:t>opatrovanců</w:t>
      </w:r>
      <w:proofErr w:type="spellEnd"/>
      <w:r w:rsidRPr="000F5B3A">
        <w:rPr>
          <w:rFonts w:ascii="Times New Roman" w:hAnsi="Times New Roman"/>
          <w:sz w:val="20"/>
          <w:szCs w:val="20"/>
        </w:rPr>
        <w:t xml:space="preserve">. </w:t>
      </w:r>
    </w:p>
    <w:p w:rsidR="00A3160D" w:rsidRPr="000F5B3A" w:rsidRDefault="00A3160D" w:rsidP="00A3160D">
      <w:pPr>
        <w:widowControl w:val="0"/>
        <w:autoSpaceDE w:val="0"/>
        <w:autoSpaceDN w:val="0"/>
        <w:adjustRightInd w:val="0"/>
        <w:spacing w:after="0" w:line="240" w:lineRule="auto"/>
        <w:jc w:val="both"/>
        <w:rPr>
          <w:rFonts w:ascii="Times New Roman" w:hAnsi="Times New Roman"/>
          <w:sz w:val="20"/>
          <w:szCs w:val="20"/>
        </w:rPr>
      </w:pPr>
    </w:p>
    <w:p w:rsidR="00A3160D" w:rsidRPr="000F5B3A"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F5B3A">
        <w:rPr>
          <w:rFonts w:ascii="Times New Roman" w:hAnsi="Times New Roman"/>
          <w:sz w:val="20"/>
          <w:szCs w:val="20"/>
        </w:rPr>
        <w:t xml:space="preserve">Financování veřejného opatrovnictví včetně souvislostí se řídí podle ustanovení obsažených v </w:t>
      </w:r>
      <w:proofErr w:type="gramStart"/>
      <w:r w:rsidRPr="000F5B3A">
        <w:rPr>
          <w:rFonts w:ascii="Times New Roman" w:hAnsi="Times New Roman"/>
          <w:sz w:val="20"/>
          <w:szCs w:val="20"/>
        </w:rPr>
        <w:t>části 1.D) této</w:t>
      </w:r>
      <w:proofErr w:type="gramEnd"/>
      <w:r w:rsidRPr="000F5B3A">
        <w:rPr>
          <w:rFonts w:ascii="Times New Roman" w:hAnsi="Times New Roman"/>
          <w:sz w:val="20"/>
          <w:szCs w:val="20"/>
        </w:rPr>
        <w:t xml:space="preserve"> přílohy. </w:t>
      </w:r>
    </w:p>
    <w:p w:rsidR="00A3160D" w:rsidRPr="000F5B3A" w:rsidRDefault="00A3160D" w:rsidP="00A3160D">
      <w:pPr>
        <w:widowControl w:val="0"/>
        <w:autoSpaceDE w:val="0"/>
        <w:autoSpaceDN w:val="0"/>
        <w:adjustRightInd w:val="0"/>
        <w:spacing w:after="0" w:line="240" w:lineRule="auto"/>
        <w:jc w:val="both"/>
        <w:rPr>
          <w:rFonts w:ascii="Times New Roman" w:hAnsi="Times New Roman"/>
          <w:b/>
          <w:sz w:val="24"/>
          <w:szCs w:val="24"/>
        </w:rPr>
      </w:pPr>
    </w:p>
    <w:p w:rsidR="00A3160D" w:rsidRPr="000F5B3A" w:rsidRDefault="00A3160D" w:rsidP="00A3160D">
      <w:pPr>
        <w:widowControl w:val="0"/>
        <w:autoSpaceDE w:val="0"/>
        <w:autoSpaceDN w:val="0"/>
        <w:adjustRightInd w:val="0"/>
        <w:spacing w:after="0" w:line="240" w:lineRule="auto"/>
        <w:jc w:val="both"/>
        <w:rPr>
          <w:rFonts w:ascii="Times New Roman" w:hAnsi="Times New Roman"/>
          <w:b/>
          <w:sz w:val="24"/>
          <w:szCs w:val="24"/>
        </w:rPr>
      </w:pPr>
      <w:r w:rsidRPr="000F5B3A">
        <w:rPr>
          <w:rFonts w:ascii="Times New Roman" w:hAnsi="Times New Roman"/>
          <w:b/>
          <w:sz w:val="24"/>
          <w:szCs w:val="24"/>
        </w:rPr>
        <w:t xml:space="preserve">D) Financování jednotných kontaktních míst </w:t>
      </w:r>
    </w:p>
    <w:p w:rsidR="00A3160D" w:rsidRPr="000F5B3A" w:rsidRDefault="00A3160D" w:rsidP="00A3160D">
      <w:pPr>
        <w:widowControl w:val="0"/>
        <w:autoSpaceDE w:val="0"/>
        <w:autoSpaceDN w:val="0"/>
        <w:adjustRightInd w:val="0"/>
        <w:spacing w:after="0" w:line="240" w:lineRule="auto"/>
        <w:jc w:val="both"/>
        <w:rPr>
          <w:rFonts w:ascii="Times New Roman" w:hAnsi="Times New Roman"/>
          <w:b/>
          <w:sz w:val="20"/>
          <w:szCs w:val="20"/>
        </w:rPr>
      </w:pPr>
    </w:p>
    <w:p w:rsidR="00A3160D"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592E6A">
        <w:rPr>
          <w:rFonts w:ascii="Times New Roman" w:hAnsi="Times New Roman"/>
          <w:sz w:val="20"/>
          <w:szCs w:val="20"/>
        </w:rPr>
        <w:t>Příspěvek na výkon státní správy pro hlavní mě</w:t>
      </w:r>
      <w:r>
        <w:rPr>
          <w:rFonts w:ascii="Times New Roman" w:hAnsi="Times New Roman"/>
          <w:sz w:val="20"/>
          <w:szCs w:val="20"/>
        </w:rPr>
        <w:t>sto Prahu se navyšuje o částku 2 140</w:t>
      </w:r>
      <w:r w:rsidRPr="00592E6A">
        <w:rPr>
          <w:rFonts w:ascii="Times New Roman" w:hAnsi="Times New Roman"/>
          <w:sz w:val="20"/>
          <w:szCs w:val="20"/>
        </w:rPr>
        <w:t xml:space="preserve"> 000 Kč k zabezpečení činnosti jednotných kontaktních míst Úřadu městské části Praha 1 a Úřadu městské části Praha 7. Pro Prahu 1 příspěvek činí 1 726 000 Kč za 602 zaevidovaných a následně řešených dotazů klientů a pro Prahu 7 je příspěvek ve výši 414 000 Kč za 140 zaevidovaných a následně řešených dotazů klientů.</w:t>
      </w:r>
    </w:p>
    <w:p w:rsidR="00A3160D" w:rsidRPr="000F5B3A" w:rsidRDefault="00A3160D" w:rsidP="00A3160D">
      <w:pPr>
        <w:widowControl w:val="0"/>
        <w:autoSpaceDE w:val="0"/>
        <w:autoSpaceDN w:val="0"/>
        <w:adjustRightInd w:val="0"/>
        <w:spacing w:after="0" w:line="240" w:lineRule="auto"/>
        <w:jc w:val="both"/>
        <w:rPr>
          <w:rFonts w:ascii="Times New Roman" w:hAnsi="Times New Roman"/>
          <w:sz w:val="20"/>
          <w:szCs w:val="20"/>
        </w:rPr>
      </w:pPr>
    </w:p>
    <w:p w:rsidR="00A3160D" w:rsidRPr="000F5B3A" w:rsidRDefault="00A3160D" w:rsidP="00A3160D">
      <w:pPr>
        <w:widowControl w:val="0"/>
        <w:autoSpaceDE w:val="0"/>
        <w:autoSpaceDN w:val="0"/>
        <w:adjustRightInd w:val="0"/>
        <w:spacing w:after="0" w:line="240" w:lineRule="auto"/>
        <w:jc w:val="both"/>
        <w:rPr>
          <w:rFonts w:ascii="Times New Roman" w:hAnsi="Times New Roman"/>
          <w:sz w:val="20"/>
          <w:szCs w:val="20"/>
        </w:rPr>
      </w:pPr>
      <w:r w:rsidRPr="000F5B3A">
        <w:rPr>
          <w:rFonts w:ascii="Times New Roman" w:hAnsi="Times New Roman"/>
          <w:sz w:val="20"/>
          <w:szCs w:val="20"/>
        </w:rPr>
        <w:t xml:space="preserve">Financování jednotných kontaktních míst včetně souvislostí se řídí podle ustanovení obsažených v </w:t>
      </w:r>
      <w:proofErr w:type="gramStart"/>
      <w:r w:rsidRPr="000F5B3A">
        <w:rPr>
          <w:rFonts w:ascii="Times New Roman" w:hAnsi="Times New Roman"/>
          <w:sz w:val="20"/>
          <w:szCs w:val="20"/>
        </w:rPr>
        <w:t>části 1.E) této</w:t>
      </w:r>
      <w:proofErr w:type="gramEnd"/>
      <w:r w:rsidRPr="000F5B3A">
        <w:rPr>
          <w:rFonts w:ascii="Times New Roman" w:hAnsi="Times New Roman"/>
          <w:sz w:val="20"/>
          <w:szCs w:val="20"/>
        </w:rPr>
        <w:t xml:space="preserve"> přílohy.</w:t>
      </w:r>
    </w:p>
    <w:p w:rsidR="00A3160D" w:rsidRPr="000F5B3A" w:rsidRDefault="00A3160D" w:rsidP="00A3160D">
      <w:pPr>
        <w:widowControl w:val="0"/>
        <w:autoSpaceDE w:val="0"/>
        <w:autoSpaceDN w:val="0"/>
        <w:adjustRightInd w:val="0"/>
        <w:spacing w:after="0" w:line="240" w:lineRule="auto"/>
        <w:jc w:val="both"/>
        <w:rPr>
          <w:rFonts w:ascii="Times New Roman" w:hAnsi="Times New Roman"/>
          <w:b/>
          <w:sz w:val="20"/>
          <w:szCs w:val="20"/>
        </w:rPr>
      </w:pPr>
    </w:p>
    <w:p w:rsidR="00A3160D" w:rsidRPr="000F5B3A" w:rsidRDefault="00A3160D" w:rsidP="00A3160D">
      <w:pPr>
        <w:widowControl w:val="0"/>
        <w:overflowPunct w:val="0"/>
        <w:autoSpaceDE w:val="0"/>
        <w:autoSpaceDN w:val="0"/>
        <w:adjustRightInd w:val="0"/>
        <w:spacing w:after="0" w:line="240" w:lineRule="auto"/>
        <w:ind w:right="40"/>
        <w:jc w:val="both"/>
        <w:rPr>
          <w:rFonts w:ascii="Times New Roman" w:hAnsi="Times New Roman"/>
          <w:b/>
          <w:sz w:val="24"/>
          <w:szCs w:val="24"/>
        </w:rPr>
      </w:pPr>
      <w:r>
        <w:rPr>
          <w:rFonts w:ascii="Times New Roman" w:hAnsi="Times New Roman"/>
          <w:b/>
          <w:sz w:val="24"/>
          <w:szCs w:val="24"/>
        </w:rPr>
        <w:t>E</w:t>
      </w:r>
      <w:r w:rsidRPr="000F5B3A">
        <w:rPr>
          <w:rFonts w:ascii="Times New Roman" w:hAnsi="Times New Roman"/>
          <w:b/>
          <w:sz w:val="24"/>
          <w:szCs w:val="24"/>
        </w:rPr>
        <w:t>) Financování úřadů územního plánování</w:t>
      </w:r>
    </w:p>
    <w:p w:rsidR="00A3160D" w:rsidRPr="000F5B3A" w:rsidRDefault="00A3160D" w:rsidP="00A3160D">
      <w:pPr>
        <w:widowControl w:val="0"/>
        <w:overflowPunct w:val="0"/>
        <w:autoSpaceDE w:val="0"/>
        <w:autoSpaceDN w:val="0"/>
        <w:adjustRightInd w:val="0"/>
        <w:spacing w:after="0" w:line="240" w:lineRule="auto"/>
        <w:ind w:right="40"/>
        <w:jc w:val="both"/>
        <w:rPr>
          <w:rFonts w:ascii="Times New Roman" w:hAnsi="Times New Roman"/>
          <w:sz w:val="20"/>
          <w:szCs w:val="20"/>
        </w:rPr>
      </w:pPr>
    </w:p>
    <w:p w:rsidR="00A3160D" w:rsidRPr="000F5B3A" w:rsidRDefault="00A3160D" w:rsidP="00A3160D">
      <w:pPr>
        <w:widowControl w:val="0"/>
        <w:autoSpaceDE w:val="0"/>
        <w:autoSpaceDN w:val="0"/>
        <w:adjustRightInd w:val="0"/>
        <w:spacing w:after="0" w:line="240" w:lineRule="auto"/>
        <w:jc w:val="both"/>
        <w:rPr>
          <w:rFonts w:ascii="Times New Roman" w:hAnsi="Times New Roman"/>
          <w:sz w:val="20"/>
          <w:szCs w:val="20"/>
        </w:rPr>
      </w:pPr>
      <w:r>
        <w:rPr>
          <w:rFonts w:ascii="Times New Roman" w:hAnsi="Times New Roman"/>
          <w:sz w:val="20"/>
          <w:szCs w:val="20"/>
        </w:rPr>
        <w:t>P</w:t>
      </w:r>
      <w:r w:rsidRPr="000F5B3A">
        <w:rPr>
          <w:rFonts w:ascii="Times New Roman" w:hAnsi="Times New Roman"/>
          <w:sz w:val="20"/>
          <w:szCs w:val="20"/>
        </w:rPr>
        <w:t>říspěv</w:t>
      </w:r>
      <w:r>
        <w:rPr>
          <w:rFonts w:ascii="Times New Roman" w:hAnsi="Times New Roman"/>
          <w:sz w:val="20"/>
          <w:szCs w:val="20"/>
        </w:rPr>
        <w:t>e</w:t>
      </w:r>
      <w:r w:rsidRPr="000F5B3A">
        <w:rPr>
          <w:rFonts w:ascii="Times New Roman" w:hAnsi="Times New Roman"/>
          <w:sz w:val="20"/>
          <w:szCs w:val="20"/>
        </w:rPr>
        <w:t>k na výkon státní správy pro hlavní město Prahu se navyšuje o částku</w:t>
      </w:r>
      <w:r>
        <w:rPr>
          <w:rFonts w:ascii="Times New Roman" w:hAnsi="Times New Roman"/>
          <w:sz w:val="20"/>
          <w:szCs w:val="20"/>
        </w:rPr>
        <w:t xml:space="preserve"> </w:t>
      </w:r>
      <w:r w:rsidRPr="0002637A">
        <w:rPr>
          <w:rFonts w:ascii="Times New Roman" w:hAnsi="Times New Roman"/>
          <w:sz w:val="20"/>
          <w:szCs w:val="20"/>
        </w:rPr>
        <w:t>9 784</w:t>
      </w:r>
      <w:r>
        <w:rPr>
          <w:rFonts w:ascii="Times New Roman" w:hAnsi="Times New Roman"/>
          <w:sz w:val="20"/>
          <w:szCs w:val="20"/>
        </w:rPr>
        <w:t> </w:t>
      </w:r>
      <w:r w:rsidRPr="0002637A">
        <w:rPr>
          <w:rFonts w:ascii="Times New Roman" w:hAnsi="Times New Roman"/>
          <w:sz w:val="20"/>
          <w:szCs w:val="20"/>
        </w:rPr>
        <w:t>150</w:t>
      </w:r>
      <w:r>
        <w:rPr>
          <w:rFonts w:ascii="Times New Roman" w:hAnsi="Times New Roman"/>
          <w:sz w:val="20"/>
          <w:szCs w:val="20"/>
        </w:rPr>
        <w:t xml:space="preserve"> </w:t>
      </w:r>
      <w:r w:rsidRPr="000F5B3A">
        <w:rPr>
          <w:rFonts w:ascii="Times New Roman" w:hAnsi="Times New Roman"/>
          <w:sz w:val="20"/>
          <w:szCs w:val="20"/>
        </w:rPr>
        <w:t>Kč k pokrytí financování nárůstu agendy úřadu územního plánování.</w:t>
      </w:r>
    </w:p>
    <w:p w:rsidR="00A3160D" w:rsidRPr="000F5B3A" w:rsidRDefault="00A3160D" w:rsidP="00A3160D">
      <w:pPr>
        <w:widowControl w:val="0"/>
        <w:overflowPunct w:val="0"/>
        <w:autoSpaceDE w:val="0"/>
        <w:autoSpaceDN w:val="0"/>
        <w:adjustRightInd w:val="0"/>
        <w:spacing w:after="0" w:line="240" w:lineRule="auto"/>
        <w:ind w:right="40"/>
        <w:jc w:val="both"/>
        <w:rPr>
          <w:rFonts w:ascii="Times New Roman" w:hAnsi="Times New Roman"/>
          <w:sz w:val="24"/>
          <w:szCs w:val="24"/>
        </w:rPr>
      </w:pPr>
    </w:p>
    <w:p w:rsidR="00A3160D" w:rsidRDefault="00A3160D" w:rsidP="00A3160D">
      <w:pPr>
        <w:widowControl w:val="0"/>
        <w:overflowPunct w:val="0"/>
        <w:autoSpaceDE w:val="0"/>
        <w:autoSpaceDN w:val="0"/>
        <w:adjustRightInd w:val="0"/>
        <w:spacing w:after="0" w:line="240" w:lineRule="auto"/>
        <w:ind w:right="40"/>
        <w:jc w:val="both"/>
        <w:rPr>
          <w:rFonts w:ascii="Times New Roman" w:hAnsi="Times New Roman"/>
          <w:sz w:val="20"/>
          <w:szCs w:val="20"/>
        </w:rPr>
      </w:pPr>
      <w:r w:rsidRPr="000A0896">
        <w:rPr>
          <w:rFonts w:ascii="Times New Roman" w:hAnsi="Times New Roman"/>
          <w:sz w:val="20"/>
          <w:szCs w:val="20"/>
        </w:rPr>
        <w:t>Financování úřadu územního plánování včetně souvislostí se řídí podle u</w:t>
      </w:r>
      <w:r>
        <w:rPr>
          <w:rFonts w:ascii="Times New Roman" w:hAnsi="Times New Roman"/>
          <w:sz w:val="20"/>
          <w:szCs w:val="20"/>
        </w:rPr>
        <w:t>stanovení obsažených v </w:t>
      </w:r>
      <w:proofErr w:type="gramStart"/>
      <w:r>
        <w:rPr>
          <w:rFonts w:ascii="Times New Roman" w:hAnsi="Times New Roman"/>
          <w:sz w:val="20"/>
          <w:szCs w:val="20"/>
        </w:rPr>
        <w:t>části 1.I) této</w:t>
      </w:r>
      <w:proofErr w:type="gramEnd"/>
      <w:r w:rsidRPr="000A0896">
        <w:rPr>
          <w:rFonts w:ascii="Times New Roman" w:hAnsi="Times New Roman"/>
          <w:sz w:val="20"/>
          <w:szCs w:val="20"/>
        </w:rPr>
        <w:t xml:space="preserve"> přílohy.</w:t>
      </w:r>
    </w:p>
    <w:p w:rsidR="00EF2AB7" w:rsidRPr="000A0896" w:rsidRDefault="00EF2AB7" w:rsidP="00A3160D">
      <w:pPr>
        <w:widowControl w:val="0"/>
        <w:overflowPunct w:val="0"/>
        <w:autoSpaceDE w:val="0"/>
        <w:autoSpaceDN w:val="0"/>
        <w:adjustRightInd w:val="0"/>
        <w:spacing w:after="0" w:line="240" w:lineRule="auto"/>
        <w:ind w:right="40"/>
        <w:jc w:val="both"/>
        <w:rPr>
          <w:rFonts w:ascii="Times New Roman" w:hAnsi="Times New Roman"/>
          <w:sz w:val="20"/>
          <w:szCs w:val="20"/>
        </w:rPr>
      </w:pPr>
    </w:p>
    <w:p w:rsidR="00A3160D" w:rsidRPr="000A0896" w:rsidRDefault="00A3160D" w:rsidP="00A3160D">
      <w:pPr>
        <w:widowControl w:val="0"/>
        <w:autoSpaceDE w:val="0"/>
        <w:autoSpaceDN w:val="0"/>
        <w:adjustRightInd w:val="0"/>
        <w:spacing w:after="0" w:line="240" w:lineRule="auto"/>
        <w:jc w:val="both"/>
        <w:rPr>
          <w:rFonts w:ascii="Times New Roman" w:hAnsi="Times New Roman"/>
          <w:sz w:val="20"/>
          <w:szCs w:val="20"/>
        </w:rPr>
      </w:pPr>
    </w:p>
    <w:p w:rsidR="00A3160D" w:rsidRPr="000F5B3A" w:rsidRDefault="00A3160D" w:rsidP="00A3160D">
      <w:pPr>
        <w:widowControl w:val="0"/>
        <w:autoSpaceDE w:val="0"/>
        <w:autoSpaceDN w:val="0"/>
        <w:adjustRightInd w:val="0"/>
        <w:spacing w:after="0" w:line="240" w:lineRule="auto"/>
        <w:jc w:val="both"/>
        <w:rPr>
          <w:rFonts w:ascii="Times New Roman" w:hAnsi="Times New Roman"/>
          <w:b/>
          <w:bCs/>
          <w:sz w:val="24"/>
          <w:szCs w:val="24"/>
        </w:rPr>
      </w:pPr>
      <w:r w:rsidRPr="000F5B3A">
        <w:rPr>
          <w:rFonts w:ascii="Times New Roman" w:hAnsi="Times New Roman"/>
          <w:b/>
          <w:bCs/>
          <w:sz w:val="24"/>
          <w:szCs w:val="24"/>
        </w:rPr>
        <w:t xml:space="preserve">3. Postup pro přerozdělení výše příspěvku na výkon státní správy v průběhu kalendářního roku </w:t>
      </w:r>
    </w:p>
    <w:p w:rsidR="00A3160D" w:rsidRPr="000F5B3A" w:rsidRDefault="00A3160D" w:rsidP="00A3160D">
      <w:pPr>
        <w:widowControl w:val="0"/>
        <w:autoSpaceDE w:val="0"/>
        <w:autoSpaceDN w:val="0"/>
        <w:adjustRightInd w:val="0"/>
        <w:spacing w:after="0" w:line="240" w:lineRule="auto"/>
        <w:jc w:val="both"/>
        <w:rPr>
          <w:rFonts w:ascii="Times New Roman" w:hAnsi="Times New Roman"/>
          <w:sz w:val="20"/>
          <w:szCs w:val="20"/>
        </w:rPr>
      </w:pPr>
    </w:p>
    <w:p w:rsidR="00A3160D" w:rsidRPr="004B6F91" w:rsidRDefault="00A3160D" w:rsidP="00A3160D">
      <w:pPr>
        <w:widowControl w:val="0"/>
        <w:autoSpaceDE w:val="0"/>
        <w:autoSpaceDN w:val="0"/>
        <w:adjustRightInd w:val="0"/>
        <w:spacing w:after="0"/>
        <w:jc w:val="both"/>
        <w:rPr>
          <w:rFonts w:ascii="Times New Roman" w:hAnsi="Times New Roman"/>
          <w:sz w:val="20"/>
          <w:szCs w:val="20"/>
        </w:rPr>
      </w:pPr>
      <w:r w:rsidRPr="004B6F91">
        <w:rPr>
          <w:rFonts w:ascii="Times New Roman" w:hAnsi="Times New Roman"/>
          <w:sz w:val="20"/>
          <w:szCs w:val="20"/>
        </w:rPr>
        <w:t>Pokud krajský úřad zcela výjimečně rozhodne o převodu výkonu přenesené působnosti v průběhu kalendářního roku, náleží příslušná část příspěvku na výkon státní správy dosavadního vykonavatele obci, která povinnost výkonu přenesené působnosti přebírá, a to vždy v poměrné části příspěvku od začátku čtvrtletí následujícího po rozhodnutí krajského úřadu. Krajský úřad o svém rozhodnutí a s tím souvisejícími změnami správních obvodů výkonu přenesené působnosti jednotlivých obcí neprodleně informuje Ministerstvo vnitra a Ministerstvo financí.</w:t>
      </w:r>
    </w:p>
    <w:p w:rsidR="00A3160D" w:rsidRPr="004B6F91" w:rsidRDefault="00A3160D" w:rsidP="00A3160D">
      <w:pPr>
        <w:widowControl w:val="0"/>
        <w:autoSpaceDE w:val="0"/>
        <w:autoSpaceDN w:val="0"/>
        <w:adjustRightInd w:val="0"/>
        <w:spacing w:after="0"/>
        <w:jc w:val="both"/>
        <w:rPr>
          <w:rFonts w:ascii="Times New Roman" w:hAnsi="Times New Roman"/>
          <w:sz w:val="20"/>
          <w:szCs w:val="20"/>
        </w:rPr>
      </w:pPr>
    </w:p>
    <w:p w:rsidR="00A3160D" w:rsidRDefault="00A3160D" w:rsidP="00A3160D">
      <w:pPr>
        <w:widowControl w:val="0"/>
        <w:autoSpaceDE w:val="0"/>
        <w:autoSpaceDN w:val="0"/>
        <w:adjustRightInd w:val="0"/>
        <w:spacing w:after="0"/>
        <w:jc w:val="both"/>
        <w:rPr>
          <w:rFonts w:ascii="Times New Roman" w:hAnsi="Times New Roman"/>
          <w:sz w:val="24"/>
          <w:szCs w:val="24"/>
        </w:rPr>
      </w:pPr>
      <w:r w:rsidRPr="004B6F91">
        <w:rPr>
          <w:rFonts w:ascii="Times New Roman" w:hAnsi="Times New Roman"/>
          <w:sz w:val="20"/>
          <w:szCs w:val="20"/>
        </w:rPr>
        <w:t>V případě jmenování správce obce Ministerstvem vnitra rozhodne krajský úřad o převedení poměrné části příspěvku na výkon státní správy v přenesené působnosti náležejícího dotčené obci na obec</w:t>
      </w:r>
      <w:r>
        <w:rPr>
          <w:rFonts w:ascii="Times New Roman" w:hAnsi="Times New Roman"/>
          <w:sz w:val="20"/>
          <w:szCs w:val="20"/>
        </w:rPr>
        <w:t>,</w:t>
      </w:r>
      <w:r w:rsidRPr="004B6F91">
        <w:rPr>
          <w:rFonts w:ascii="Times New Roman" w:hAnsi="Times New Roman"/>
          <w:sz w:val="20"/>
          <w:szCs w:val="20"/>
        </w:rPr>
        <w:t xml:space="preserve"> kterou nově svým rozhodnutím pověřil k dočasnému výkonu přenesené působnosti. Převedená část příspěvku odpovídá poměru počtu dnů, po které správce obce svou činnost vykonává, a celkového počtu 365 dnů v kalendářním roce. Krajský úřad vydá v kalendářním roce takovéto rozhodnutí vždy s účinností maximálně do 31. 12. téhož roku. Pokud činnost správce obce bude pokračovat i po tomto datu, vydá krajský úřad vždy nové rozhodnutí, ve kterém zohlední novou skladbu příspěvku na výkon přenesené působnosti v novém kalendářním roce.</w:t>
      </w:r>
    </w:p>
    <w:sectPr w:rsidR="00A3160D" w:rsidSect="00403CDE">
      <w:headerReference w:type="default" r:id="rId22"/>
      <w:type w:val="continuous"/>
      <w:pgSz w:w="11907" w:h="16840" w:code="9"/>
      <w:pgMar w:top="1418" w:right="1418" w:bottom="1418" w:left="1418" w:header="709" w:footer="709" w:gutter="0"/>
      <w:cols w:space="708"/>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329" w:rsidRDefault="00FB2329">
      <w:pPr>
        <w:spacing w:after="0" w:line="240" w:lineRule="auto"/>
      </w:pPr>
      <w:r>
        <w:separator/>
      </w:r>
    </w:p>
  </w:endnote>
  <w:endnote w:type="continuationSeparator" w:id="0">
    <w:p w:rsidR="00FB2329" w:rsidRDefault="00FB2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475" w:rsidRDefault="00FB2329">
    <w:pPr>
      <w:pStyle w:val="Zpat"/>
      <w:jc w:val="center"/>
    </w:pPr>
  </w:p>
  <w:p w:rsidR="00B45475" w:rsidRDefault="00FB2329">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329" w:rsidRDefault="00FB2329">
      <w:pPr>
        <w:spacing w:after="0" w:line="240" w:lineRule="auto"/>
      </w:pPr>
      <w:r>
        <w:separator/>
      </w:r>
    </w:p>
  </w:footnote>
  <w:footnote w:type="continuationSeparator" w:id="0">
    <w:p w:rsidR="00FB2329" w:rsidRDefault="00FB23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2992673"/>
      <w:docPartObj>
        <w:docPartGallery w:val="Page Numbers (Top of Page)"/>
        <w:docPartUnique/>
      </w:docPartObj>
    </w:sdtPr>
    <w:sdtEndPr/>
    <w:sdtContent>
      <w:p w:rsidR="00B45475" w:rsidRDefault="00A3160D">
        <w:pPr>
          <w:pStyle w:val="Zhlav"/>
          <w:jc w:val="center"/>
        </w:pPr>
        <w:r>
          <w:fldChar w:fldCharType="begin"/>
        </w:r>
        <w:r>
          <w:instrText>PAGE   \* MERGEFORMAT</w:instrText>
        </w:r>
        <w:r>
          <w:fldChar w:fldCharType="separate"/>
        </w:r>
        <w:r w:rsidR="00D7702F">
          <w:rPr>
            <w:noProof/>
          </w:rPr>
          <w:t>67</w:t>
        </w:r>
        <w: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2456497"/>
      <w:docPartObj>
        <w:docPartGallery w:val="Page Numbers (Top of Page)"/>
        <w:docPartUnique/>
      </w:docPartObj>
    </w:sdtPr>
    <w:sdtEndPr/>
    <w:sdtContent>
      <w:p w:rsidR="00A87ECA" w:rsidRDefault="00A3160D">
        <w:pPr>
          <w:pStyle w:val="Zhlav"/>
          <w:jc w:val="center"/>
        </w:pPr>
        <w:r>
          <w:t>68</w:t>
        </w:r>
      </w:p>
    </w:sdtContent>
  </w:sdt>
  <w:p w:rsidR="00A87ECA" w:rsidRDefault="00FB2329">
    <w:pPr>
      <w:pStyle w:val="Zhlav"/>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715025"/>
      <w:docPartObj>
        <w:docPartGallery w:val="Page Numbers (Top of Page)"/>
        <w:docPartUnique/>
      </w:docPartObj>
    </w:sdtPr>
    <w:sdtEndPr/>
    <w:sdtContent>
      <w:p w:rsidR="00B45475" w:rsidRDefault="00A3160D">
        <w:pPr>
          <w:pStyle w:val="Zhlav"/>
          <w:jc w:val="center"/>
        </w:pPr>
        <w:r>
          <w:fldChar w:fldCharType="begin"/>
        </w:r>
        <w:r>
          <w:instrText xml:space="preserve"> PAGE   \* MERGEFORMAT </w:instrText>
        </w:r>
        <w:r>
          <w:fldChar w:fldCharType="separate"/>
        </w:r>
        <w:r w:rsidR="00D7702F">
          <w:rPr>
            <w:noProof/>
          </w:rPr>
          <w:t>73</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462D0"/>
    <w:multiLevelType w:val="hybridMultilevel"/>
    <w:tmpl w:val="06229884"/>
    <w:lvl w:ilvl="0" w:tplc="886065C0">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60D"/>
    <w:rsid w:val="000B4944"/>
    <w:rsid w:val="00220A3A"/>
    <w:rsid w:val="00222144"/>
    <w:rsid w:val="002248F4"/>
    <w:rsid w:val="00296FB2"/>
    <w:rsid w:val="002F3A51"/>
    <w:rsid w:val="0051503F"/>
    <w:rsid w:val="005A324D"/>
    <w:rsid w:val="005A564B"/>
    <w:rsid w:val="00684EAC"/>
    <w:rsid w:val="006E1504"/>
    <w:rsid w:val="00770380"/>
    <w:rsid w:val="007D68F7"/>
    <w:rsid w:val="00870883"/>
    <w:rsid w:val="008C7FF4"/>
    <w:rsid w:val="00962A30"/>
    <w:rsid w:val="00A3160D"/>
    <w:rsid w:val="00A9470A"/>
    <w:rsid w:val="00AF062F"/>
    <w:rsid w:val="00B2133D"/>
    <w:rsid w:val="00B55624"/>
    <w:rsid w:val="00C35E1E"/>
    <w:rsid w:val="00C442E7"/>
    <w:rsid w:val="00C44EBB"/>
    <w:rsid w:val="00CE18CF"/>
    <w:rsid w:val="00D26773"/>
    <w:rsid w:val="00D7702F"/>
    <w:rsid w:val="00DE0C06"/>
    <w:rsid w:val="00E93731"/>
    <w:rsid w:val="00EF2AB7"/>
    <w:rsid w:val="00F42F5A"/>
    <w:rsid w:val="00FB232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3160D"/>
    <w:rPr>
      <w:rFonts w:ascii="Calibri" w:eastAsia="Times New Roman" w:hAnsi="Calibri" w:cs="Times New Roman"/>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A3160D"/>
    <w:pPr>
      <w:tabs>
        <w:tab w:val="center" w:pos="4536"/>
        <w:tab w:val="right" w:pos="9072"/>
      </w:tabs>
    </w:pPr>
  </w:style>
  <w:style w:type="character" w:customStyle="1" w:styleId="ZhlavChar">
    <w:name w:val="Záhlaví Char"/>
    <w:basedOn w:val="Standardnpsmoodstavce"/>
    <w:link w:val="Zhlav"/>
    <w:uiPriority w:val="99"/>
    <w:rsid w:val="00A3160D"/>
    <w:rPr>
      <w:rFonts w:ascii="Calibri" w:eastAsia="Times New Roman" w:hAnsi="Calibri" w:cs="Times New Roman"/>
      <w:lang w:eastAsia="cs-CZ"/>
    </w:rPr>
  </w:style>
  <w:style w:type="paragraph" w:styleId="Zpat">
    <w:name w:val="footer"/>
    <w:basedOn w:val="Normln"/>
    <w:link w:val="ZpatChar"/>
    <w:uiPriority w:val="99"/>
    <w:unhideWhenUsed/>
    <w:rsid w:val="00A3160D"/>
    <w:pPr>
      <w:tabs>
        <w:tab w:val="center" w:pos="4536"/>
        <w:tab w:val="right" w:pos="9072"/>
      </w:tabs>
      <w:spacing w:after="0" w:line="240" w:lineRule="auto"/>
    </w:pPr>
  </w:style>
  <w:style w:type="character" w:customStyle="1" w:styleId="ZpatChar">
    <w:name w:val="Zápatí Char"/>
    <w:basedOn w:val="Standardnpsmoodstavce"/>
    <w:link w:val="Zpat"/>
    <w:uiPriority w:val="99"/>
    <w:rsid w:val="00A3160D"/>
    <w:rPr>
      <w:rFonts w:ascii="Calibri" w:eastAsia="Times New Roman" w:hAnsi="Calibri" w:cs="Times New Roman"/>
      <w:lang w:eastAsia="cs-CZ"/>
    </w:rPr>
  </w:style>
  <w:style w:type="paragraph" w:styleId="Textbubliny">
    <w:name w:val="Balloon Text"/>
    <w:basedOn w:val="Normln"/>
    <w:link w:val="TextbublinyChar"/>
    <w:uiPriority w:val="99"/>
    <w:semiHidden/>
    <w:unhideWhenUsed/>
    <w:rsid w:val="00D7702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7702F"/>
    <w:rPr>
      <w:rFonts w:ascii="Tahoma" w:eastAsia="Times New Roman" w:hAnsi="Tahoma" w:cs="Tahoma"/>
      <w:sz w:val="16"/>
      <w:szCs w:val="16"/>
      <w:lang w:eastAsia="cs-C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3160D"/>
    <w:rPr>
      <w:rFonts w:ascii="Calibri" w:eastAsia="Times New Roman" w:hAnsi="Calibri" w:cs="Times New Roman"/>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A3160D"/>
    <w:pPr>
      <w:tabs>
        <w:tab w:val="center" w:pos="4536"/>
        <w:tab w:val="right" w:pos="9072"/>
      </w:tabs>
    </w:pPr>
  </w:style>
  <w:style w:type="character" w:customStyle="1" w:styleId="ZhlavChar">
    <w:name w:val="Záhlaví Char"/>
    <w:basedOn w:val="Standardnpsmoodstavce"/>
    <w:link w:val="Zhlav"/>
    <w:uiPriority w:val="99"/>
    <w:rsid w:val="00A3160D"/>
    <w:rPr>
      <w:rFonts w:ascii="Calibri" w:eastAsia="Times New Roman" w:hAnsi="Calibri" w:cs="Times New Roman"/>
      <w:lang w:eastAsia="cs-CZ"/>
    </w:rPr>
  </w:style>
  <w:style w:type="paragraph" w:styleId="Zpat">
    <w:name w:val="footer"/>
    <w:basedOn w:val="Normln"/>
    <w:link w:val="ZpatChar"/>
    <w:uiPriority w:val="99"/>
    <w:unhideWhenUsed/>
    <w:rsid w:val="00A3160D"/>
    <w:pPr>
      <w:tabs>
        <w:tab w:val="center" w:pos="4536"/>
        <w:tab w:val="right" w:pos="9072"/>
      </w:tabs>
      <w:spacing w:after="0" w:line="240" w:lineRule="auto"/>
    </w:pPr>
  </w:style>
  <w:style w:type="character" w:customStyle="1" w:styleId="ZpatChar">
    <w:name w:val="Zápatí Char"/>
    <w:basedOn w:val="Standardnpsmoodstavce"/>
    <w:link w:val="Zpat"/>
    <w:uiPriority w:val="99"/>
    <w:rsid w:val="00A3160D"/>
    <w:rPr>
      <w:rFonts w:ascii="Calibri" w:eastAsia="Times New Roman" w:hAnsi="Calibri" w:cs="Times New Roman"/>
      <w:lang w:eastAsia="cs-CZ"/>
    </w:rPr>
  </w:style>
  <w:style w:type="paragraph" w:styleId="Textbubliny">
    <w:name w:val="Balloon Text"/>
    <w:basedOn w:val="Normln"/>
    <w:link w:val="TextbublinyChar"/>
    <w:uiPriority w:val="99"/>
    <w:semiHidden/>
    <w:unhideWhenUsed/>
    <w:rsid w:val="00D7702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7702F"/>
    <w:rPr>
      <w:rFonts w:ascii="Tahoma" w:eastAsia="Times New Roman" w:hAnsi="Tahoma" w:cs="Tahoma"/>
      <w:sz w:val="16"/>
      <w:szCs w:val="16"/>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spi://module='ASPI'&amp;link='314/2002%20Sb.%25232'&amp;ucin-k-dni='30.12.9999'" TargetMode="External"/><Relationship Id="rId18" Type="http://schemas.openxmlformats.org/officeDocument/2006/relationships/hyperlink" Target="aspi://module='ASPI'&amp;link='186/2013%20Sb.%252331-37'&amp;ucin-k-dni='30.12.9999'" TargetMode="External"/><Relationship Id="rId3" Type="http://schemas.openxmlformats.org/officeDocument/2006/relationships/styles" Target="styles.xml"/><Relationship Id="rId21" Type="http://schemas.openxmlformats.org/officeDocument/2006/relationships/hyperlink" Target="aspi://module='ASPI'&amp;link='131/2000%20Sb.%252331'&amp;ucin-k-dni='30.12.9999'"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aspi://module='ASPI'&amp;link='301/2000%20Sb.%25233'&amp;ucin-k-dni='30.12.9999'" TargetMode="External"/><Relationship Id="rId2" Type="http://schemas.openxmlformats.org/officeDocument/2006/relationships/numbering" Target="numbering.xml"/><Relationship Id="rId16" Type="http://schemas.openxmlformats.org/officeDocument/2006/relationships/hyperlink" Target="aspi://module='ASPI'&amp;link='147/2000%20Sb.%2523'&amp;ucin-k-dni='30.12.9999'" TargetMode="External"/><Relationship Id="rId20" Type="http://schemas.openxmlformats.org/officeDocument/2006/relationships/hyperlink" Target="aspi://module='ASPI'&amp;link='131/2000%20Sb.%252331'&amp;ucin-k-dni='30.12.999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aspi://module='ASPI'&amp;link='320/2001%20Sb.%2523'&amp;ucin-k-dni='30.12.9999'"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aspi://module='ASPI'&amp;link='131/2000%20Sb.%252331'&amp;ucin-k-dni='30.12.9999'" TargetMode="External"/><Relationship Id="rId4" Type="http://schemas.microsoft.com/office/2007/relationships/stylesWithEffects" Target="stylesWithEffects.xml"/><Relationship Id="rId9" Type="http://schemas.openxmlformats.org/officeDocument/2006/relationships/hyperlink" Target="aspi://module='ASPI'&amp;link='128/2000%20Sb.%252362'&amp;ucin-k-dni='30.12.9999'" TargetMode="External"/><Relationship Id="rId14" Type="http://schemas.openxmlformats.org/officeDocument/2006/relationships/hyperlink" Target="aspi://module='ASPI'&amp;link='147/2000%20Sb.%252310'&amp;ucin-k-dni='30.12.9999'" TargetMode="External"/><Relationship Id="rId22" Type="http://schemas.openxmlformats.org/officeDocument/2006/relationships/header" Target="header3.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8256E-62D7-46C0-8D1C-D42C0BE58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3142</Words>
  <Characters>18540</Characters>
  <Application>Microsoft Office Word</Application>
  <DocSecurity>0</DocSecurity>
  <Lines>154</Lines>
  <Paragraphs>43</Paragraphs>
  <ScaleCrop>false</ScaleCrop>
  <HeadingPairs>
    <vt:vector size="2" baseType="variant">
      <vt:variant>
        <vt:lpstr>Název</vt:lpstr>
      </vt:variant>
      <vt:variant>
        <vt:i4>1</vt:i4>
      </vt:variant>
    </vt:vector>
  </HeadingPairs>
  <TitlesOfParts>
    <vt:vector size="1" baseType="lpstr">
      <vt:lpstr/>
    </vt:vector>
  </TitlesOfParts>
  <Company>Úřad vlády ČR</Company>
  <LinksUpToDate>false</LinksUpToDate>
  <CharactersWithSpaces>21639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Vaníčková Eva</dc:creator>
  <cp:lastModifiedBy>Brožová Sandra JUDr. LL.M.</cp:lastModifiedBy>
  <cp:revision>3</cp:revision>
  <cp:lastPrinted>2019-09-25T08:23:00Z</cp:lastPrinted>
  <dcterms:created xsi:type="dcterms:W3CDTF">2019-09-25T08:23:00Z</dcterms:created>
  <dcterms:modified xsi:type="dcterms:W3CDTF">2019-09-25T08:23:00Z</dcterms:modified>
</cp:coreProperties>
</file>