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r>
        <w:rPr>
          <w:b/>
          <w:sz w:val="44"/>
          <w:szCs w:val="44"/>
        </w:rPr>
        <w:t xml:space="preserve">CHU TEA</w:t>
      </w:r>
    </w:p>
    <w:p>
      <w:r>
        <w:rPr>
          <w:b/>
          <w:sz w:val="28"/>
          <w:szCs w:val="28"/>
        </w:rPr>
        <w:t xml:space="preserve">Q&amp;A для инвесторов</w:t>
      </w:r>
    </w:p>
    <w:p/>
    <w:p>
      <w:r>
        <w:rPr>
          <w:b/>
          <w:sz w:val="24"/>
          <w:szCs w:val="24"/>
        </w:rPr>
        <w:t xml:space="preserve">Ключевые цифры (36 месяцев)</w:t>
      </w:r>
    </w:p>
    <w:p>
      <w:r>
        <w:rPr>
          <w:b/>
          <w:sz w:val="22"/>
          <w:szCs w:val="22"/>
        </w:rPr>
        <w:t xml:space="preserve">Остров (Island)</w:t>
      </w:r>
    </w:p>
    <w:p>
      <w:r>
        <w:t xml:space="preserve">ROI инвестора: 288.1%</w:t>
      </w:r>
    </w:p>
    <w:p>
      <w:r>
        <w:t xml:space="preserve">Инвестор получил: ₽ 14,434,851</w:t>
      </w:r>
    </w:p>
    <w:p>
      <w:r>
        <w:t xml:space="preserve">Магазин заработал: ₽ 23,104,106</w:t>
      </w:r>
    </w:p>
    <w:p>
      <w:r>
        <w:t xml:space="preserve">Head Office: ₽ 2,667,214</w:t>
      </w:r>
    </w:p>
    <w:p>
      <w:r>
        <w:t xml:space="preserve">Op Team: ₽ 5,651,507</w:t>
      </w:r>
    </w:p>
    <w:p/>
    <w:p>
      <w:r>
        <w:rPr>
          <w:b/>
          <w:sz w:val="22"/>
          <w:szCs w:val="22"/>
        </w:rPr>
        <w:t xml:space="preserve">ТЦ (Mall)</w:t>
      </w:r>
    </w:p>
    <w:p>
      <w:r>
        <w:t xml:space="preserve">ROI инвестора: 226.0%</w:t>
      </w:r>
    </w:p>
    <w:p>
      <w:r>
        <w:t xml:space="preserve">Инвестор получил: ₽ 14,443,290</w:t>
      </w:r>
    </w:p>
    <w:p>
      <w:r>
        <w:t xml:space="preserve">Магазин заработал: ₽ 21,812,835</w:t>
      </w:r>
    </w:p>
    <w:p>
      <w:r>
        <w:t xml:space="preserve">Head Office: ₽ 2,820,740</w:t>
      </w:r>
    </w:p>
    <w:p>
      <w:r>
        <w:t xml:space="preserve">Op Team: ₽ 4,557,579</w:t>
      </w:r>
    </w:p>
    <w:p/>
    <w:p>
      <w:r>
        <w:rPr>
          <w:b/>
          <w:sz w:val="22"/>
          <w:szCs w:val="22"/>
        </w:rPr>
        <w:t xml:space="preserve">Стрит (Street)</w:t>
      </w:r>
    </w:p>
    <w:p>
      <w:r>
        <w:t xml:space="preserve">ROI инвестора: 230.5%</w:t>
      </w:r>
    </w:p>
    <w:p>
      <w:r>
        <w:t xml:space="preserve">Инвестор получил: ₽ 14,265,117</w:t>
      </w:r>
    </w:p>
    <w:p>
      <w:r>
        <w:t xml:space="preserve">Магазин заработал: ₽ 21,697,848</w:t>
      </w:r>
    </w:p>
    <w:p>
      <w:r>
        <w:t xml:space="preserve">Head Office: ₽ 2,785,301</w:t>
      </w:r>
    </w:p>
    <w:p>
      <w:r>
        <w:t xml:space="preserve">Op Team: ₽ 4,505,891</w:t>
      </w:r>
    </w:p>
    <w:p/>
    <w:p>
      <w:r>
        <w:rPr>
          <w:b/>
          <w:sz w:val="24"/>
          <w:szCs w:val="24"/>
        </w:rPr>
        <w:t xml:space="preserve">Вопросы и ответы</w:t>
      </w:r>
    </w:p>
    <w:p>
      <w:r>
        <w:rPr>
          <w:b/>
          <w:sz w:val="22"/>
          <w:szCs w:val="22"/>
        </w:rPr>
        <w:t xml:space="preserve">1) Что означают 3 модели (Island / Mall / Street)?</w:t>
      </w:r>
    </w:p>
    <w:p>
      <w:r>
        <w:t xml:space="preserve">• Island островной формат (обычно высокий трафик, меньше посадочных мест).</w:t>
      </w:r>
    </w:p>
    <w:p>
      <w:r>
        <w:t xml:space="preserve">• Mall точка в ТЦ (аренда/условия зависят от ТЦ, трафик более прогнозируемый).</w:t>
      </w:r>
    </w:p>
    <w:p>
      <w:r>
        <w:t xml:space="preserve">• Street стрит-ритейл (сильнее влияет сезонность и локация).</w:t>
      </w:r>
    </w:p>
    <w:p>
      <w:r>
        <w:t xml:space="preserve">Все 3 сценария рассчитаны по одной логике распределения, отличаются входными параметрами (аренда, трафик, штат, выручка и т.д.).</w:t>
      </w:r>
    </w:p>
    <w:p/>
    <w:p>
      <w:r>
        <w:rPr>
          <w:b/>
          <w:sz w:val="22"/>
          <w:szCs w:val="22"/>
        </w:rPr>
        <w:t xml:space="preserve">2) Что такое «Инвестор получил»?</w:t>
      </w:r>
    </w:p>
    <w:p>
      <w:r>
        <w:t xml:space="preserve">Это сумма денежных выплат инвестору «на руки», накопленная за 36 месяцев (cash received). Важно: это не «бумажная прибыль», а именно фактические выплаты инвестору по правилам распределения, принятым в модели.</w:t>
      </w:r>
    </w:p>
    <w:p/>
    <w:p>
      <w:r>
        <w:rPr>
          <w:b/>
          <w:sz w:val="22"/>
          <w:szCs w:val="22"/>
        </w:rPr>
        <w:t xml:space="preserve">3) Как считается ROI инвестора?</w:t>
      </w:r>
    </w:p>
    <w:p>
      <w:r>
        <w:t xml:space="preserve">ROI инвестора = (накопленные выплаты инвестору за период / сумма инвестиций инвестора) × 100%. Если вы хотите пересчитать ROI на другой период (например 24 мес.) — формула та же, меняется период накопления.</w:t>
      </w:r>
    </w:p>
    <w:p/>
    <w:p>
      <w:r>
        <w:rPr>
          <w:b/>
          <w:sz w:val="22"/>
          <w:szCs w:val="22"/>
        </w:rPr>
        <w:t xml:space="preserve">4) Чем отличается ROI проекта от ROI инвестора?</w:t>
      </w:r>
    </w:p>
    <w:p>
      <w:r>
        <w:t xml:space="preserve">• часть результата распределяется в пользу Head Office и Op Team, поэтому ROI инвестора считается по сумме, которую фактически получил инвестор;</w:t>
      </w:r>
    </w:p>
    <w:p>
      <w:r>
        <w:t xml:space="preserve">• часть денежных средств может оставаться в магазине (оборот/резерв), что влияет на ROI проекта, но не является выплатой инвестору.</w:t>
      </w:r>
    </w:p>
    <w:p/>
    <w:p>
      <w:r>
        <w:rPr>
          <w:b/>
          <w:sz w:val="22"/>
          <w:szCs w:val="22"/>
        </w:rPr>
        <w:t xml:space="preserve">5) Как устроено распределение денег между сторонами?</w:t>
      </w:r>
    </w:p>
    <w:p>
      <w:r>
        <w:t xml:space="preserve">• Инвестор — получает выплаты согласно правилам распределения.</w:t>
      </w:r>
    </w:p>
    <w:p>
      <w:r>
        <w:t xml:space="preserve">• Head Office — бренд/управление/поддержка.</w:t>
      </w:r>
    </w:p>
    <w:p>
      <w:r>
        <w:t xml:space="preserve">• Op Team — операционная команда, отвечающая за ежедневное управление.</w:t>
      </w:r>
    </w:p>
    <w:p>
      <w:r>
        <w:t xml:space="preserve">Конкретные доли и график выплат фиксируются в договоре.</w:t>
      </w:r>
    </w:p>
    <w:p/>
    <w:p>
      <w:r>
        <w:rPr>
          <w:b/>
          <w:sz w:val="22"/>
          <w:szCs w:val="22"/>
        </w:rPr>
        <w:t xml:space="preserve">6) Почему Head Office и Op Team получают доход?</w:t>
      </w:r>
    </w:p>
    <w:p>
      <w:r>
        <w:t xml:space="preserve">• Head Office обеспечивает бренд, стандарты, систему управления, поддержку и развитие.</w:t>
      </w:r>
    </w:p>
    <w:p>
      <w:r>
        <w:t xml:space="preserve">• Op Team отвечает за ежедневное управление точкой и выполнение плана (персонал, сервис, контроль списаний и т.д.).</w:t>
      </w:r>
    </w:p>
    <w:p>
      <w:r>
        <w:t xml:space="preserve">Такая структура распределения выравнивает мотивацию и ответственность сторон.</w:t>
      </w:r>
    </w:p>
    <w:p/>
    <w:p>
      <w:r>
        <w:rPr>
          <w:b/>
          <w:sz w:val="22"/>
          <w:szCs w:val="22"/>
        </w:rPr>
        <w:t xml:space="preserve">7) Бытовые расходы — что это?</w:t>
      </w:r>
    </w:p>
    <w:p>
      <w:r>
        <w:t xml:space="preserve">Бытовые расходы — это повседневные затраты на содержание объекта, такие как моющее средство, швабры, туалетная бумага, дезинфицирующие средства и другие необходимые предметы ежедневного использования.</w:t>
      </w:r>
    </w:p>
    <w:p/>
    <w:p>
      <w:r>
        <w:rPr>
          <w:b/>
          <w:sz w:val="22"/>
          <w:szCs w:val="22"/>
        </w:rPr>
        <w:t xml:space="preserve">8) Прочие расходы — что это?</w:t>
      </w:r>
    </w:p>
    <w:p>
      <w:r>
        <w:t xml:space="preserve">Прочие расходы — это возможные комплаенс‑ и сопутствующие затраты, например, музыкальные лицензии, охрана, пожарные проверки/обслуживание и другие разовые или периодические расходы. Суммы — оценочный диапазон и зависят от требований ТЦ/объекта и местных правил.</w:t>
      </w:r>
    </w:p>
    <w:p/>
    <w:p>
      <w:r>
        <w:rPr>
          <w:b/>
          <w:sz w:val="22"/>
          <w:szCs w:val="22"/>
        </w:rPr>
        <w:t xml:space="preserve">9) Амортизация — как считается?</w:t>
      </w:r>
    </w:p>
    <w:p>
      <w:r>
        <w:t xml:space="preserve">• Оборудование</w:t>
      </w:r>
    </w:p>
    <w:p>
      <w:r>
        <w:t xml:space="preserve">• Ремонт и отделка помещений</w:t>
      </w:r>
    </w:p>
    <w:p>
      <w:r>
        <w:t xml:space="preserve">Начисление производится равномерно в течение 36 месяцев.</w:t>
      </w:r>
    </w:p>
    <w:p/>
    <w:p>
      <w:r>
        <w:rPr>
          <w:b/>
          <w:sz w:val="22"/>
          <w:szCs w:val="22"/>
        </w:rPr>
        <w:t xml:space="preserve">10) Какие вопросы по рискам считаются «нормальными»?</w:t>
      </w:r>
    </w:p>
    <w:p>
      <w:r>
        <w:t xml:space="preserve">• Отклонение выручки от плана (ниже трафик, сезонность).</w:t>
      </w:r>
    </w:p>
    <w:p>
      <w:r>
        <w:t xml:space="preserve">• Рост аренды/издержек и влияние на выплаты.</w:t>
      </w:r>
    </w:p>
    <w:p>
      <w:r>
        <w:t xml:space="preserve">• Кадровые риски (текучесть) и контроль качества.</w:t>
      </w:r>
    </w:p>
    <w:p>
      <w:r>
        <w:t xml:space="preserve">• Сроки выхода на стабильную операционную прибыль.</w:t>
      </w:r>
    </w:p>
    <w:p>
      <w:r>
        <w:t xml:space="preserve">Ответ в модели — это сценарный подход (3 формата) и управляемые статьи расходов; фактические цифры зависят от локации и управления.</w:t>
      </w:r>
    </w:p>
    <w:p/>
    <w:p>
      <w:r>
        <w:rPr>
          <w:b/>
          <w:sz w:val="22"/>
          <w:szCs w:val="22"/>
        </w:rPr>
        <w:t xml:space="preserve">11) Чем подтверждаются расчёты и как будет выглядеть отчётность?</w:t>
      </w:r>
    </w:p>
    <w:p>
      <w:r>
        <w:t xml:space="preserve">• Ежемесячный отчёт по выручке, себестоимости, аренде и ФОТ.</w:t>
      </w:r>
    </w:p>
    <w:p>
      <w:r>
        <w:t xml:space="preserve">• Отчёт о фактических выплатах инвестору (cash received).</w:t>
      </w:r>
    </w:p>
    <w:p>
      <w:r>
        <w:t xml:space="preserve">• Пояснения по отклонениям от плана и корректирующие действия.</w:t>
      </w:r>
    </w:p>
    <w:p>
      <w:r>
        <w:t xml:space="preserve">Дополнительно: финансовый контроль и сверка расчётов с инвестором; по ключевым расходам — подтверждающие документы или выдержки из договоров.</w:t>
      </w:r>
    </w:p>
    <w:p/>
    <w:p>
      <w:r>
        <w:rPr>
          <w:b/>
          <w:sz w:val="22"/>
          <w:szCs w:val="22"/>
        </w:rPr>
        <w:t xml:space="preserve">12) Если результаты ниже плана, какие действия предпринимаются?</w:t>
      </w:r>
    </w:p>
    <w:p>
      <w:r>
        <w:t xml:space="preserve">• продукт/цены;</w:t>
      </w:r>
    </w:p>
    <w:p>
      <w:r>
        <w:t xml:space="preserve">• персонал и графики смен;</w:t>
      </w:r>
    </w:p>
    <w:p>
      <w:r>
        <w:t xml:space="preserve">• часы работы и промо‑активности;</w:t>
      </w:r>
    </w:p>
    <w:p>
      <w:r>
        <w:t xml:space="preserve">• контроль качества и списаний.</w:t>
      </w:r>
    </w:p>
    <w:p>
      <w:r>
        <w:t xml:space="preserve">Если после корректировок результат не восстанавливается, мы меняем операционную команду управления.</w:t>
      </w:r>
    </w:p>
    <w:p/>
    <w:sectPr/>
  </w:body>
</w:document>
</file>