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F59E0B"/>
        </w:rPr>
        <w:t>CHU TEA</w:t>
      </w:r>
    </w:p>
    <w:p>
      <w:pPr>
        <w:jc w:val="center"/>
      </w:pPr>
      <w:r>
        <w:rPr>
          <w:b/>
          <w:sz w:val="32"/>
        </w:rPr>
        <w:t>ИНВЕСТИЦИОННЫЙ ПРОГНОЗ (3-Year Vision)</w:t>
      </w:r>
    </w:p>
    <w:p>
      <w:r>
        <w:br/>
      </w:r>
    </w:p>
    <w:p>
      <w:pPr>
        <w:jc w:val="center"/>
      </w:pPr>
      <w:r>
        <w:rPr>
          <w:color w:val="64748B"/>
        </w:rPr>
        <w:t>Total Return on Investment (ROI)</w:t>
      </w:r>
    </w:p>
    <w:p>
      <w:pPr>
        <w:jc w:val="center"/>
      </w:pPr>
      <w:r>
        <w:rPr>
          <w:b/>
          <w:color w:val="10B981"/>
          <w:sz w:val="144"/>
        </w:rPr>
        <w:t>312%</w:t>
      </w:r>
    </w:p>
    <w:p>
      <w:pPr>
        <w:jc w:val="center"/>
      </w:pPr>
      <w:r>
        <w:t>Возврат инвестиций</w:t>
      </w:r>
    </w:p>
    <w:p>
      <w:r>
        <w:br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color w:val="F59E0B"/>
                <w:sz w:val="72"/>
              </w:rPr>
              <w:t>14 мес.</w:t>
            </w:r>
          </w:p>
          <w:p>
            <w:pPr>
              <w:jc w:val="center"/>
            </w:pPr>
            <w:r>
              <w:t>Окупаемость (Payback)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color w:val="3B82F6"/>
                <w:sz w:val="72"/>
              </w:rPr>
              <w:t>₽ 15.6M</w:t>
            </w:r>
          </w:p>
          <w:p>
            <w:pPr>
              <w:jc w:val="center"/>
            </w:pPr>
            <w:r>
              <w:t>Доход Инвестора</w:t>
            </w:r>
          </w:p>
        </w:tc>
      </w:tr>
    </w:tbl>
    <w:p>
      <w:r>
        <w:br/>
      </w:r>
    </w:p>
    <w:p>
      <w:pPr>
        <w:pStyle w:val="Heading2"/>
      </w:pPr>
      <w:r>
        <w:t>Scenarios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Scenario</w:t>
            </w:r>
          </w:p>
        </w:tc>
        <w:tc>
          <w:tcPr>
            <w:tcW w:type="dxa" w:w="2880"/>
          </w:tcPr>
          <w:p>
            <w:r>
              <w:t>Investor (₽)</w:t>
            </w:r>
          </w:p>
        </w:tc>
        <w:tc>
          <w:tcPr>
            <w:tcW w:type="dxa" w:w="2880"/>
          </w:tcPr>
          <w:p>
            <w:r>
              <w:t>ROI</w:t>
            </w:r>
          </w:p>
        </w:tc>
      </w:tr>
      <w:tr>
        <w:tc>
          <w:tcPr>
            <w:tcW w:type="dxa" w:w="2880"/>
          </w:tcPr>
          <w:p>
            <w:r>
              <w:t xml:space="preserve">Пессимистичный </w:t>
            </w:r>
          </w:p>
        </w:tc>
        <w:tc>
          <w:tcPr>
            <w:tcW w:type="dxa" w:w="2880"/>
          </w:tcPr>
          <w:p>
            <w:r>
              <w:t>12,979,202</w:t>
            </w:r>
          </w:p>
        </w:tc>
        <w:tc>
          <w:tcPr>
            <w:tcW w:type="dxa" w:w="2880"/>
          </w:tcPr>
          <w:p>
            <w:r>
              <w:t>259%</w:t>
            </w:r>
          </w:p>
        </w:tc>
      </w:tr>
      <w:tr>
        <w:tc>
          <w:tcPr>
            <w:tcW w:type="dxa" w:w="2880"/>
          </w:tcPr>
          <w:p>
            <w:r>
              <w:t xml:space="preserve">Базовый </w:t>
            </w:r>
          </w:p>
        </w:tc>
        <w:tc>
          <w:tcPr>
            <w:tcW w:type="dxa" w:w="2880"/>
          </w:tcPr>
          <w:p>
            <w:r>
              <w:t>15,630,268</w:t>
            </w:r>
          </w:p>
        </w:tc>
        <w:tc>
          <w:tcPr>
            <w:tcW w:type="dxa" w:w="2880"/>
          </w:tcPr>
          <w:p>
            <w:r>
              <w:t>312%</w:t>
            </w:r>
          </w:p>
        </w:tc>
      </w:tr>
      <w:tr>
        <w:tc>
          <w:tcPr>
            <w:tcW w:type="dxa" w:w="2880"/>
          </w:tcPr>
          <w:p>
            <w:r>
              <w:t xml:space="preserve">Оптимистичный </w:t>
            </w:r>
          </w:p>
        </w:tc>
        <w:tc>
          <w:tcPr>
            <w:tcW w:type="dxa" w:w="2880"/>
          </w:tcPr>
          <w:p>
            <w:r>
              <w:t>18,466,538</w:t>
            </w:r>
          </w:p>
        </w:tc>
        <w:tc>
          <w:tcPr>
            <w:tcW w:type="dxa" w:w="2880"/>
          </w:tcPr>
          <w:p>
            <w:r>
              <w:t>369%</w:t>
            </w:r>
          </w:p>
        </w:tc>
      </w:tr>
    </w:tbl>
    <w:p>
      <w:r>
        <w:br/>
      </w:r>
    </w:p>
    <w:p>
      <w:pPr>
        <w:pStyle w:val="Heading2"/>
      </w:pPr>
      <w:r>
        <w:t>Milestone Investor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Scenario</w:t>
            </w:r>
          </w:p>
        </w:tc>
        <w:tc>
          <w:tcPr>
            <w:tcW w:type="dxa" w:w="1728"/>
          </w:tcPr>
          <w:p>
            <w:r>
              <w:t>3M</w:t>
            </w:r>
          </w:p>
        </w:tc>
        <w:tc>
          <w:tcPr>
            <w:tcW w:type="dxa" w:w="1728"/>
          </w:tcPr>
          <w:p>
            <w:r>
              <w:t>6M</w:t>
            </w:r>
          </w:p>
        </w:tc>
        <w:tc>
          <w:tcPr>
            <w:tcW w:type="dxa" w:w="1728"/>
          </w:tcPr>
          <w:p>
            <w:r>
              <w:t>1Y</w:t>
            </w:r>
          </w:p>
        </w:tc>
        <w:tc>
          <w:tcPr>
            <w:tcW w:type="dxa" w:w="1728"/>
          </w:tcPr>
          <w:p>
            <w:r>
              <w:t>3Y</w:t>
            </w:r>
          </w:p>
        </w:tc>
      </w:tr>
      <w:tr>
        <w:tc>
          <w:tcPr>
            <w:tcW w:type="dxa" w:w="1728"/>
          </w:tcPr>
          <w:p>
            <w:r>
              <w:t xml:space="preserve">Пессимистичный </w:t>
            </w:r>
          </w:p>
        </w:tc>
        <w:tc>
          <w:tcPr>
            <w:tcW w:type="dxa" w:w="1728"/>
          </w:tcPr>
          <w:p>
            <w:r>
              <w:t>203,699</w:t>
            </w:r>
          </w:p>
        </w:tc>
        <w:tc>
          <w:tcPr>
            <w:tcW w:type="dxa" w:w="1728"/>
          </w:tcPr>
          <w:p>
            <w:r>
              <w:t>1,640,561</w:t>
            </w:r>
          </w:p>
        </w:tc>
        <w:tc>
          <w:tcPr>
            <w:tcW w:type="dxa" w:w="1728"/>
          </w:tcPr>
          <w:p>
            <w:r>
              <w:t>3,758,834</w:t>
            </w:r>
          </w:p>
        </w:tc>
        <w:tc>
          <w:tcPr>
            <w:tcW w:type="dxa" w:w="1728"/>
          </w:tcPr>
          <w:p>
            <w:r>
              <w:t>12,979,202</w:t>
            </w:r>
          </w:p>
        </w:tc>
      </w:tr>
      <w:tr>
        <w:tc>
          <w:tcPr>
            <w:tcW w:type="dxa" w:w="1728"/>
          </w:tcPr>
          <w:p>
            <w:r>
              <w:t xml:space="preserve">Базовый </w:t>
            </w:r>
          </w:p>
        </w:tc>
        <w:tc>
          <w:tcPr>
            <w:tcW w:type="dxa" w:w="1728"/>
          </w:tcPr>
          <w:p>
            <w:r>
              <w:t>254,624</w:t>
            </w:r>
          </w:p>
        </w:tc>
        <w:tc>
          <w:tcPr>
            <w:tcW w:type="dxa" w:w="1728"/>
          </w:tcPr>
          <w:p>
            <w:r>
              <w:t>2,050,701</w:t>
            </w:r>
          </w:p>
        </w:tc>
        <w:tc>
          <w:tcPr>
            <w:tcW w:type="dxa" w:w="1728"/>
          </w:tcPr>
          <w:p>
            <w:r>
              <w:t>4,698,542</w:t>
            </w:r>
          </w:p>
        </w:tc>
        <w:tc>
          <w:tcPr>
            <w:tcW w:type="dxa" w:w="1728"/>
          </w:tcPr>
          <w:p>
            <w:r>
              <w:t>15,630,268</w:t>
            </w:r>
          </w:p>
        </w:tc>
      </w:tr>
      <w:tr>
        <w:tc>
          <w:tcPr>
            <w:tcW w:type="dxa" w:w="1728"/>
          </w:tcPr>
          <w:p>
            <w:r>
              <w:t xml:space="preserve">Оптимистичный </w:t>
            </w:r>
          </w:p>
        </w:tc>
        <w:tc>
          <w:tcPr>
            <w:tcW w:type="dxa" w:w="1728"/>
          </w:tcPr>
          <w:p>
            <w:r>
              <w:t>305,549</w:t>
            </w:r>
          </w:p>
        </w:tc>
        <w:tc>
          <w:tcPr>
            <w:tcW w:type="dxa" w:w="1728"/>
          </w:tcPr>
          <w:p>
            <w:r>
              <w:t>2,460,842</w:t>
            </w:r>
          </w:p>
        </w:tc>
        <w:tc>
          <w:tcPr>
            <w:tcW w:type="dxa" w:w="1728"/>
          </w:tcPr>
          <w:p>
            <w:r>
              <w:t>5,621,122</w:t>
            </w:r>
          </w:p>
        </w:tc>
        <w:tc>
          <w:tcPr>
            <w:tcW w:type="dxa" w:w="1728"/>
          </w:tcPr>
          <w:p>
            <w:r>
              <w:t>18,466,538</w:t>
            </w:r>
          </w:p>
        </w:tc>
      </w:tr>
    </w:tbl>
    <w:p>
      <w:r>
        <w:br/>
      </w:r>
    </w:p>
    <w:p>
      <w:pPr>
        <w:pStyle w:val="Heading2"/>
      </w:pPr>
      <w:r>
        <w:t>Yearly Trend</w:t>
      </w:r>
    </w:p>
    <w:p>
      <w:r>
        <w:drawing>
          <wp:inline xmlns:a="http://schemas.openxmlformats.org/drawingml/2006/main" xmlns:pic="http://schemas.openxmlformats.org/drawingml/2006/picture">
            <wp:extent cx="5486400" cy="29153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yearly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Year 1 Cash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Month</w:t>
            </w:r>
          </w:p>
        </w:tc>
        <w:tc>
          <w:tcPr>
            <w:tcW w:type="dxa" w:w="2160"/>
          </w:tcPr>
          <w:p>
            <w:r>
              <w:t>Revenue</w:t>
            </w:r>
          </w:p>
        </w:tc>
        <w:tc>
          <w:tcPr>
            <w:tcW w:type="dxa" w:w="2160"/>
          </w:tcPr>
          <w:p>
            <w:r>
              <w:t>OCF</w:t>
            </w:r>
          </w:p>
        </w:tc>
        <w:tc>
          <w:tcPr>
            <w:tcW w:type="dxa" w:w="2160"/>
          </w:tcPr>
          <w:p>
            <w:r>
              <w:t>Investor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1,053,000</w:t>
            </w:r>
          </w:p>
        </w:tc>
        <w:tc>
          <w:tcPr>
            <w:tcW w:type="dxa" w:w="2160"/>
          </w:tcPr>
          <w:p>
            <w:r>
              <w:t>20,834</w:t>
            </w:r>
          </w:p>
        </w:tc>
        <w:tc>
          <w:tcPr>
            <w:tcW w:type="dxa" w:w="2160"/>
          </w:tcPr>
          <w:p>
            <w:r>
              <w:t>13,125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1,105,650</w:t>
            </w:r>
          </w:p>
        </w:tc>
        <w:tc>
          <w:tcPr>
            <w:tcW w:type="dxa" w:w="2160"/>
          </w:tcPr>
          <w:p>
            <w:r>
              <w:t>53,898</w:t>
            </w:r>
          </w:p>
        </w:tc>
        <w:tc>
          <w:tcPr>
            <w:tcW w:type="dxa" w:w="2160"/>
          </w:tcPr>
          <w:p>
            <w:r>
              <w:t>33,956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1,544,400</w:t>
            </w:r>
          </w:p>
        </w:tc>
        <w:tc>
          <w:tcPr>
            <w:tcW w:type="dxa" w:w="2160"/>
          </w:tcPr>
          <w:p>
            <w:r>
              <w:t>329,433</w:t>
            </w:r>
          </w:p>
        </w:tc>
        <w:tc>
          <w:tcPr>
            <w:tcW w:type="dxa" w:w="2160"/>
          </w:tcPr>
          <w:p>
            <w:r>
              <w:t>207,543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1,930,500</w:t>
            </w:r>
          </w:p>
        </w:tc>
        <w:tc>
          <w:tcPr>
            <w:tcW w:type="dxa" w:w="2160"/>
          </w:tcPr>
          <w:p>
            <w:r>
              <w:t>571,904</w:t>
            </w:r>
          </w:p>
        </w:tc>
        <w:tc>
          <w:tcPr>
            <w:tcW w:type="dxa" w:w="2160"/>
          </w:tcPr>
          <w:p>
            <w:r>
              <w:t>360,300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2,597,400</w:t>
            </w:r>
          </w:p>
        </w:tc>
        <w:tc>
          <w:tcPr>
            <w:tcW w:type="dxa" w:w="2160"/>
          </w:tcPr>
          <w:p>
            <w:r>
              <w:t>990,717</w:t>
            </w:r>
          </w:p>
        </w:tc>
        <w:tc>
          <w:tcPr>
            <w:tcW w:type="dxa" w:w="2160"/>
          </w:tcPr>
          <w:p>
            <w:r>
              <w:t>624,152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3,071,250</w:t>
            </w:r>
          </w:p>
        </w:tc>
        <w:tc>
          <w:tcPr>
            <w:tcW w:type="dxa" w:w="2160"/>
          </w:tcPr>
          <w:p>
            <w:r>
              <w:t>1,288,295</w:t>
            </w:r>
          </w:p>
        </w:tc>
        <w:tc>
          <w:tcPr>
            <w:tcW w:type="dxa" w:w="2160"/>
          </w:tcPr>
          <w:p>
            <w:r>
              <w:t>811,626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2,895,750</w:t>
            </w:r>
          </w:p>
        </w:tc>
        <w:tc>
          <w:tcPr>
            <w:tcW w:type="dxa" w:w="2160"/>
          </w:tcPr>
          <w:p>
            <w:r>
              <w:t>1,178,081</w:t>
            </w:r>
          </w:p>
        </w:tc>
        <w:tc>
          <w:tcPr>
            <w:tcW w:type="dxa" w:w="2160"/>
          </w:tcPr>
          <w:p>
            <w:r>
              <w:t>742,191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2,808,000</w:t>
            </w:r>
          </w:p>
        </w:tc>
        <w:tc>
          <w:tcPr>
            <w:tcW w:type="dxa" w:w="2160"/>
          </w:tcPr>
          <w:p>
            <w:r>
              <w:t>1,122,974</w:t>
            </w:r>
          </w:p>
        </w:tc>
        <w:tc>
          <w:tcPr>
            <w:tcW w:type="dxa" w:w="2160"/>
          </w:tcPr>
          <w:p>
            <w:r>
              <w:t>707,474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2,544,750</w:t>
            </w:r>
          </w:p>
        </w:tc>
        <w:tc>
          <w:tcPr>
            <w:tcW w:type="dxa" w:w="2160"/>
          </w:tcPr>
          <w:p>
            <w:r>
              <w:t>957,653</w:t>
            </w:r>
          </w:p>
        </w:tc>
        <w:tc>
          <w:tcPr>
            <w:tcW w:type="dxa" w:w="2160"/>
          </w:tcPr>
          <w:p>
            <w:r>
              <w:t>603,321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2,018,250</w:t>
            </w:r>
          </w:p>
        </w:tc>
        <w:tc>
          <w:tcPr>
            <w:tcW w:type="dxa" w:w="2160"/>
          </w:tcPr>
          <w:p>
            <w:r>
              <w:t>627,011</w:t>
            </w:r>
          </w:p>
        </w:tc>
        <w:tc>
          <w:tcPr>
            <w:tcW w:type="dxa" w:w="2160"/>
          </w:tcPr>
          <w:p>
            <w:r>
              <w:t>395,017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1,316,250</w:t>
            </w:r>
          </w:p>
        </w:tc>
        <w:tc>
          <w:tcPr>
            <w:tcW w:type="dxa" w:w="2160"/>
          </w:tcPr>
          <w:p>
            <w:r>
              <w:t>186,155</w:t>
            </w:r>
          </w:p>
        </w:tc>
        <w:tc>
          <w:tcPr>
            <w:tcW w:type="dxa" w:w="2160"/>
          </w:tcPr>
          <w:p>
            <w:r>
              <w:t>117,278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1,228,500</w:t>
            </w:r>
          </w:p>
        </w:tc>
        <w:tc>
          <w:tcPr>
            <w:tcW w:type="dxa" w:w="2160"/>
          </w:tcPr>
          <w:p>
            <w:r>
              <w:t>131,048</w:t>
            </w:r>
          </w:p>
        </w:tc>
        <w:tc>
          <w:tcPr>
            <w:tcW w:type="dxa" w:w="2160"/>
          </w:tcPr>
          <w:p>
            <w:r>
              <w:t>82,560</w:t>
            </w:r>
          </w:p>
        </w:tc>
      </w:tr>
    </w:tbl>
    <w:p>
      <w:r>
        <w:br/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CHU TEA FINANCIAL PLANNING -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