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F59E0B"/>
        </w:rPr>
        <w:t>CHU TEA</w:t>
      </w:r>
    </w:p>
    <w:p>
      <w:pPr>
        <w:jc w:val="center"/>
      </w:pPr>
      <w:r>
        <w:rPr>
          <w:b/>
          <w:sz w:val="32"/>
        </w:rPr>
        <w:t>ИНВЕСТИЦИОННЫЙ ПРОГНОЗ (3-Year Vision)</w:t>
      </w:r>
    </w:p>
    <w:p>
      <w:r>
        <w:br/>
      </w:r>
    </w:p>
    <w:p>
      <w:pPr>
        <w:jc w:val="center"/>
      </w:pPr>
      <w:r>
        <w:rPr>
          <w:color w:val="64748B"/>
        </w:rPr>
        <w:t>Total Return on Investment (ROI)</w:t>
      </w:r>
    </w:p>
    <w:p>
      <w:pPr>
        <w:jc w:val="center"/>
      </w:pPr>
      <w:r>
        <w:rPr>
          <w:b/>
          <w:color w:val="10B981"/>
          <w:sz w:val="144"/>
        </w:rPr>
        <w:t>312%</w:t>
      </w:r>
    </w:p>
    <w:p>
      <w:pPr>
        <w:jc w:val="center"/>
      </w:pPr>
      <w:r>
        <w:t>Возврат инвестиций</w:t>
      </w:r>
    </w:p>
    <w:p>
      <w:r>
        <w:br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F59E0B"/>
                <w:sz w:val="72"/>
              </w:rPr>
              <w:t>14 мес.</w:t>
            </w:r>
          </w:p>
          <w:p>
            <w:pPr>
              <w:jc w:val="center"/>
            </w:pPr>
            <w:r>
              <w:t>Окупаемость (Payback)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color w:val="3B82F6"/>
                <w:sz w:val="72"/>
              </w:rPr>
              <w:t>₽ 15.6M</w:t>
            </w:r>
          </w:p>
          <w:p>
            <w:pPr>
              <w:jc w:val="center"/>
            </w:pPr>
            <w:r>
              <w:t>Доход Инвестора</w:t>
            </w:r>
          </w:p>
        </w:tc>
      </w:tr>
    </w:tbl>
    <w:p>
      <w:r>
        <w:br/>
      </w:r>
    </w:p>
    <w:p>
      <w:pPr>
        <w:pStyle w:val="Heading2"/>
      </w:pPr>
      <w:r>
        <w:t>Сценарии (Scenarios)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Сценарий</w:t>
            </w:r>
          </w:p>
        </w:tc>
        <w:tc>
          <w:tcPr>
            <w:tcW w:type="dxa" w:w="2880"/>
          </w:tcPr>
          <w:p>
            <w:r>
              <w:t>Инвестор (₽)</w:t>
            </w:r>
          </w:p>
        </w:tc>
        <w:tc>
          <w:tcPr>
            <w:tcW w:type="dxa" w:w="2880"/>
          </w:tcPr>
          <w:p>
            <w:r>
              <w:t>ROI</w:t>
            </w:r>
          </w:p>
        </w:tc>
      </w:tr>
      <w:tr>
        <w:tc>
          <w:tcPr>
            <w:tcW w:type="dxa" w:w="2880"/>
          </w:tcPr>
          <w:p>
            <w:r>
              <w:t xml:space="preserve">Пессимистичный </w:t>
            </w:r>
          </w:p>
        </w:tc>
        <w:tc>
          <w:tcPr>
            <w:tcW w:type="dxa" w:w="2880"/>
          </w:tcPr>
          <w:p>
            <w:r>
              <w:t>12,979,202</w:t>
            </w:r>
          </w:p>
        </w:tc>
        <w:tc>
          <w:tcPr>
            <w:tcW w:type="dxa" w:w="2880"/>
          </w:tcPr>
          <w:p>
            <w:r>
              <w:t>259%</w:t>
            </w:r>
          </w:p>
        </w:tc>
      </w:tr>
      <w:tr>
        <w:tc>
          <w:tcPr>
            <w:tcW w:type="dxa" w:w="2880"/>
          </w:tcPr>
          <w:p>
            <w:r>
              <w:t xml:space="preserve">Базовый </w:t>
            </w:r>
          </w:p>
        </w:tc>
        <w:tc>
          <w:tcPr>
            <w:tcW w:type="dxa" w:w="2880"/>
          </w:tcPr>
          <w:p>
            <w:r>
              <w:t>15,630,268</w:t>
            </w:r>
          </w:p>
        </w:tc>
        <w:tc>
          <w:tcPr>
            <w:tcW w:type="dxa" w:w="2880"/>
          </w:tcPr>
          <w:p>
            <w:r>
              <w:t>312%</w:t>
            </w:r>
          </w:p>
        </w:tc>
      </w:tr>
      <w:tr>
        <w:tc>
          <w:tcPr>
            <w:tcW w:type="dxa" w:w="2880"/>
          </w:tcPr>
          <w:p>
            <w:r>
              <w:t xml:space="preserve">Оптимистичный </w:t>
            </w:r>
          </w:p>
        </w:tc>
        <w:tc>
          <w:tcPr>
            <w:tcW w:type="dxa" w:w="2880"/>
          </w:tcPr>
          <w:p>
            <w:r>
              <w:t>18,466,538</w:t>
            </w:r>
          </w:p>
        </w:tc>
        <w:tc>
          <w:tcPr>
            <w:tcW w:type="dxa" w:w="2880"/>
          </w:tcPr>
          <w:p>
            <w:r>
              <w:t>369%</w:t>
            </w:r>
          </w:p>
        </w:tc>
      </w:tr>
    </w:tbl>
    <w:p>
      <w:r>
        <w:br/>
      </w:r>
    </w:p>
    <w:p>
      <w:pPr>
        <w:pStyle w:val="Heading2"/>
      </w:pPr>
      <w:r>
        <w:t>Динамика (Yearly Trend)</w:t>
      </w:r>
    </w:p>
    <w:p>
      <w:r>
        <w:drawing>
          <wp:inline xmlns:a="http://schemas.openxmlformats.org/drawingml/2006/main" xmlns:pic="http://schemas.openxmlformats.org/drawingml/2006/picture">
            <wp:extent cx="5486400" cy="2915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yearly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Поток 1-го года (Year 1 Flow)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Мес</w:t>
            </w:r>
          </w:p>
        </w:tc>
        <w:tc>
          <w:tcPr>
            <w:tcW w:type="dxa" w:w="2160"/>
          </w:tcPr>
          <w:p>
            <w:r>
              <w:t>Выручка</w:t>
            </w:r>
          </w:p>
        </w:tc>
        <w:tc>
          <w:tcPr>
            <w:tcW w:type="dxa" w:w="2160"/>
          </w:tcPr>
          <w:p>
            <w:r>
              <w:t>Поток (OCF)</w:t>
            </w:r>
          </w:p>
        </w:tc>
        <w:tc>
          <w:tcPr>
            <w:tcW w:type="dxa" w:w="2160"/>
          </w:tcPr>
          <w:p>
            <w:r>
              <w:t>Инвестор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1,053,000</w:t>
            </w:r>
          </w:p>
        </w:tc>
        <w:tc>
          <w:tcPr>
            <w:tcW w:type="dxa" w:w="2160"/>
          </w:tcPr>
          <w:p>
            <w:r>
              <w:t>20,834</w:t>
            </w:r>
          </w:p>
        </w:tc>
        <w:tc>
          <w:tcPr>
            <w:tcW w:type="dxa" w:w="2160"/>
          </w:tcPr>
          <w:p>
            <w:r>
              <w:t>13,125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1,105,650</w:t>
            </w:r>
          </w:p>
        </w:tc>
        <w:tc>
          <w:tcPr>
            <w:tcW w:type="dxa" w:w="2160"/>
          </w:tcPr>
          <w:p>
            <w:r>
              <w:t>53,898</w:t>
            </w:r>
          </w:p>
        </w:tc>
        <w:tc>
          <w:tcPr>
            <w:tcW w:type="dxa" w:w="2160"/>
          </w:tcPr>
          <w:p>
            <w:r>
              <w:t>33,956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1,544,400</w:t>
            </w:r>
          </w:p>
        </w:tc>
        <w:tc>
          <w:tcPr>
            <w:tcW w:type="dxa" w:w="2160"/>
          </w:tcPr>
          <w:p>
            <w:r>
              <w:t>329,433</w:t>
            </w:r>
          </w:p>
        </w:tc>
        <w:tc>
          <w:tcPr>
            <w:tcW w:type="dxa" w:w="2160"/>
          </w:tcPr>
          <w:p>
            <w:r>
              <w:t>207,543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1,930,500</w:t>
            </w:r>
          </w:p>
        </w:tc>
        <w:tc>
          <w:tcPr>
            <w:tcW w:type="dxa" w:w="2160"/>
          </w:tcPr>
          <w:p>
            <w:r>
              <w:t>571,904</w:t>
            </w:r>
          </w:p>
        </w:tc>
        <w:tc>
          <w:tcPr>
            <w:tcW w:type="dxa" w:w="2160"/>
          </w:tcPr>
          <w:p>
            <w:r>
              <w:t>360,300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2,597,400</w:t>
            </w:r>
          </w:p>
        </w:tc>
        <w:tc>
          <w:tcPr>
            <w:tcW w:type="dxa" w:w="2160"/>
          </w:tcPr>
          <w:p>
            <w:r>
              <w:t>990,717</w:t>
            </w:r>
          </w:p>
        </w:tc>
        <w:tc>
          <w:tcPr>
            <w:tcW w:type="dxa" w:w="2160"/>
          </w:tcPr>
          <w:p>
            <w:r>
              <w:t>624,152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3,071,250</w:t>
            </w:r>
          </w:p>
        </w:tc>
        <w:tc>
          <w:tcPr>
            <w:tcW w:type="dxa" w:w="2160"/>
          </w:tcPr>
          <w:p>
            <w:r>
              <w:t>1,288,295</w:t>
            </w:r>
          </w:p>
        </w:tc>
        <w:tc>
          <w:tcPr>
            <w:tcW w:type="dxa" w:w="2160"/>
          </w:tcPr>
          <w:p>
            <w:r>
              <w:t>811,626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2,895,750</w:t>
            </w:r>
          </w:p>
        </w:tc>
        <w:tc>
          <w:tcPr>
            <w:tcW w:type="dxa" w:w="2160"/>
          </w:tcPr>
          <w:p>
            <w:r>
              <w:t>1,178,081</w:t>
            </w:r>
          </w:p>
        </w:tc>
        <w:tc>
          <w:tcPr>
            <w:tcW w:type="dxa" w:w="2160"/>
          </w:tcPr>
          <w:p>
            <w:r>
              <w:t>742,191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2,808,000</w:t>
            </w:r>
          </w:p>
        </w:tc>
        <w:tc>
          <w:tcPr>
            <w:tcW w:type="dxa" w:w="2160"/>
          </w:tcPr>
          <w:p>
            <w:r>
              <w:t>1,122,974</w:t>
            </w:r>
          </w:p>
        </w:tc>
        <w:tc>
          <w:tcPr>
            <w:tcW w:type="dxa" w:w="2160"/>
          </w:tcPr>
          <w:p>
            <w:r>
              <w:t>707,474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2,544,750</w:t>
            </w:r>
          </w:p>
        </w:tc>
        <w:tc>
          <w:tcPr>
            <w:tcW w:type="dxa" w:w="2160"/>
          </w:tcPr>
          <w:p>
            <w:r>
              <w:t>957,653</w:t>
            </w:r>
          </w:p>
        </w:tc>
        <w:tc>
          <w:tcPr>
            <w:tcW w:type="dxa" w:w="2160"/>
          </w:tcPr>
          <w:p>
            <w:r>
              <w:t>603,321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2,018,250</w:t>
            </w:r>
          </w:p>
        </w:tc>
        <w:tc>
          <w:tcPr>
            <w:tcW w:type="dxa" w:w="2160"/>
          </w:tcPr>
          <w:p>
            <w:r>
              <w:t>627,011</w:t>
            </w:r>
          </w:p>
        </w:tc>
        <w:tc>
          <w:tcPr>
            <w:tcW w:type="dxa" w:w="2160"/>
          </w:tcPr>
          <w:p>
            <w:r>
              <w:t>395,017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1,316,250</w:t>
            </w:r>
          </w:p>
        </w:tc>
        <w:tc>
          <w:tcPr>
            <w:tcW w:type="dxa" w:w="2160"/>
          </w:tcPr>
          <w:p>
            <w:r>
              <w:t>186,155</w:t>
            </w:r>
          </w:p>
        </w:tc>
        <w:tc>
          <w:tcPr>
            <w:tcW w:type="dxa" w:w="2160"/>
          </w:tcPr>
          <w:p>
            <w:r>
              <w:t>117,278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1,228,500</w:t>
            </w:r>
          </w:p>
        </w:tc>
        <w:tc>
          <w:tcPr>
            <w:tcW w:type="dxa" w:w="2160"/>
          </w:tcPr>
          <w:p>
            <w:r>
              <w:t>131,048</w:t>
            </w:r>
          </w:p>
        </w:tc>
        <w:tc>
          <w:tcPr>
            <w:tcW w:type="dxa" w:w="2160"/>
          </w:tcPr>
          <w:p>
            <w:r>
              <w:t>82,560</w:t>
            </w:r>
          </w:p>
        </w:tc>
      </w:tr>
    </w:tbl>
    <w:p>
      <w:r>
        <w:br/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CHU TEA FINANCIAL PLANNING -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