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6F970DD" w:rsidP="56F970DD" w:rsidRDefault="56F970DD" w14:paraId="3D092310" w14:textId="0ED091AB">
      <w:pPr>
        <w:pStyle w:val="Normal"/>
        <w:rPr>
          <w:rFonts w:ascii="Calibri" w:hAnsi="Calibri" w:eastAsia="Calibri" w:cs="Calibri"/>
          <w:b w:val="1"/>
          <w:bCs w:val="1"/>
          <w:i w:val="0"/>
          <w:iCs w:val="0"/>
          <w:caps w:val="0"/>
          <w:smallCaps w:val="0"/>
          <w:noProof w:val="0"/>
          <w:color w:val="222222"/>
          <w:sz w:val="26"/>
          <w:szCs w:val="26"/>
          <w:lang w:val="en-US"/>
        </w:rPr>
      </w:pPr>
      <w:r w:rsidRPr="56F970DD" w:rsidR="56F970DD">
        <w:rPr>
          <w:rFonts w:ascii="Calibri" w:hAnsi="Calibri" w:eastAsia="Calibri" w:cs="Calibri"/>
          <w:b w:val="1"/>
          <w:bCs w:val="1"/>
          <w:i w:val="0"/>
          <w:iCs w:val="0"/>
          <w:caps w:val="0"/>
          <w:smallCaps w:val="0"/>
          <w:noProof w:val="0"/>
          <w:color w:val="222222"/>
          <w:sz w:val="26"/>
          <w:szCs w:val="26"/>
          <w:lang w:val="en-US"/>
        </w:rPr>
        <w:t>Admits per 1000:</w:t>
      </w:r>
    </w:p>
    <w:p w:rsidR="56F970DD" w:rsidP="56F970DD" w:rsidRDefault="56F970DD" w14:paraId="690B05A9" w14:textId="27EB7346">
      <w:pPr>
        <w:pStyle w:val="Normal"/>
        <w:rPr>
          <w:rFonts w:ascii="Calibri" w:hAnsi="Calibri" w:eastAsia="Calibri" w:cs="Calibri"/>
          <w:noProof w:val="0"/>
          <w:sz w:val="22"/>
          <w:szCs w:val="22"/>
          <w:lang w:val="en-US"/>
        </w:rPr>
      </w:pPr>
      <w:r w:rsidRPr="56F970DD" w:rsidR="56F970DD">
        <w:rPr>
          <w:rFonts w:ascii="Calibri" w:hAnsi="Calibri" w:eastAsia="Calibri" w:cs="Calibri"/>
          <w:b w:val="0"/>
          <w:bCs w:val="0"/>
          <w:i w:val="0"/>
          <w:iCs w:val="0"/>
          <w:caps w:val="0"/>
          <w:smallCaps w:val="0"/>
          <w:noProof w:val="0"/>
          <w:color w:val="222222"/>
          <w:sz w:val="26"/>
          <w:szCs w:val="26"/>
          <w:lang w:val="en-US"/>
        </w:rPr>
        <w:t xml:space="preserve">Admits per 1000 refers to the number of patients admitted to a hospital or hospitals per 1,000 population or health plan members. This indicator calculated by taking the total number of inpatient and/or outpatient admissions from a specific group, e.g., employer group, HMO population at risk, for a specific period of time (usually one year), dividing it by the average number of covered members in that group during the same period, and multiplying the result by 1,000. </w:t>
      </w:r>
    </w:p>
    <w:p w:rsidR="56F970DD" w:rsidP="56F970DD" w:rsidRDefault="56F970DD" w14:paraId="6997B966" w14:textId="16C738CC">
      <w:pPr>
        <w:pStyle w:val="Normal"/>
        <w:rPr>
          <w:rFonts w:ascii="Calibri" w:hAnsi="Calibri" w:eastAsia="Calibri" w:cs="Calibri"/>
          <w:b w:val="1"/>
          <w:bCs w:val="1"/>
          <w:i w:val="0"/>
          <w:iCs w:val="0"/>
          <w:caps w:val="0"/>
          <w:smallCaps w:val="0"/>
          <w:noProof w:val="0"/>
          <w:color w:val="222222"/>
          <w:sz w:val="26"/>
          <w:szCs w:val="26"/>
          <w:lang w:val="en-US"/>
        </w:rPr>
      </w:pPr>
      <w:r w:rsidRPr="56F970DD" w:rsidR="56F970DD">
        <w:rPr>
          <w:rFonts w:ascii="Calibri" w:hAnsi="Calibri" w:eastAsia="Calibri" w:cs="Calibri"/>
          <w:b w:val="1"/>
          <w:bCs w:val="1"/>
          <w:i w:val="0"/>
          <w:iCs w:val="0"/>
          <w:caps w:val="0"/>
          <w:smallCaps w:val="0"/>
          <w:noProof w:val="0"/>
          <w:color w:val="222222"/>
          <w:sz w:val="26"/>
          <w:szCs w:val="26"/>
          <w:lang w:val="en-US"/>
        </w:rPr>
        <w:t>Average Length of Stay:</w:t>
      </w:r>
    </w:p>
    <w:p w:rsidR="56F970DD" w:rsidP="56F970DD" w:rsidRDefault="56F970DD" w14:paraId="7B35FBA8" w14:textId="1E1BCA5C">
      <w:pPr>
        <w:pStyle w:val="Normal"/>
        <w:rPr>
          <w:rFonts w:ascii="Calibri" w:hAnsi="Calibri" w:eastAsia="Calibri" w:cs="Calibri"/>
          <w:noProof w:val="0"/>
          <w:sz w:val="26"/>
          <w:szCs w:val="26"/>
          <w:lang w:val="en-US"/>
        </w:rPr>
      </w:pPr>
      <w:r w:rsidRPr="56F970DD" w:rsidR="56F970DD">
        <w:rPr>
          <w:rFonts w:ascii="Calibri" w:hAnsi="Calibri" w:eastAsia="Calibri" w:cs="Calibri"/>
          <w:noProof w:val="0"/>
          <w:sz w:val="26"/>
          <w:szCs w:val="26"/>
          <w:lang w:val="en-US"/>
        </w:rPr>
        <w:t xml:space="preserve">Average length of stay refers to the average number of days that patients spend in hospital. It is generally measured by dividing the total number of days stayed by all inpatients during a year by the number of admissions or discharges. Day cases are excluded. </w:t>
      </w:r>
    </w:p>
    <w:p w:rsidR="56F970DD" w:rsidP="56F970DD" w:rsidRDefault="56F970DD" w14:paraId="51395815" w14:textId="10DB3C55">
      <w:pPr>
        <w:pStyle w:val="Normal"/>
        <w:bidi w:val="0"/>
        <w:spacing w:before="0" w:beforeAutospacing="off" w:after="160" w:afterAutospacing="off" w:line="259" w:lineRule="auto"/>
        <w:ind w:left="0" w:right="0"/>
        <w:jc w:val="left"/>
        <w:rPr>
          <w:rFonts w:ascii="Calibri" w:hAnsi="Calibri" w:eastAsia="Calibri" w:cs="Calibri"/>
          <w:b w:val="1"/>
          <w:bCs w:val="1"/>
          <w:noProof w:val="0"/>
          <w:sz w:val="26"/>
          <w:szCs w:val="26"/>
          <w:lang w:val="en-US"/>
        </w:rPr>
      </w:pPr>
      <w:r w:rsidRPr="56F970DD" w:rsidR="56F970DD">
        <w:rPr>
          <w:rFonts w:ascii="Calibri" w:hAnsi="Calibri" w:eastAsia="Calibri" w:cs="Calibri"/>
          <w:b w:val="1"/>
          <w:bCs w:val="1"/>
          <w:noProof w:val="0"/>
          <w:sz w:val="26"/>
          <w:szCs w:val="26"/>
          <w:lang w:val="en-US"/>
        </w:rPr>
        <w:t>Days per 1000:</w:t>
      </w:r>
    </w:p>
    <w:p w:rsidR="56F970DD" w:rsidP="56F970DD" w:rsidRDefault="56F970DD" w14:paraId="3A5CA8F1" w14:textId="5CD69FA7">
      <w:pPr>
        <w:pStyle w:val="Normal"/>
        <w:bidi w:val="0"/>
        <w:spacing w:before="0" w:beforeAutospacing="off" w:after="160" w:afterAutospacing="off" w:line="259" w:lineRule="auto"/>
        <w:ind w:left="0" w:right="0"/>
        <w:jc w:val="left"/>
        <w:rPr>
          <w:rFonts w:ascii="Calibri" w:hAnsi="Calibri" w:eastAsia="Calibri" w:cs="Calibri"/>
          <w:noProof w:val="0"/>
          <w:sz w:val="26"/>
          <w:szCs w:val="26"/>
          <w:lang w:val="en-US"/>
        </w:rPr>
      </w:pPr>
      <w:r w:rsidRPr="56F970DD" w:rsidR="56F970DD">
        <w:rPr>
          <w:rFonts w:ascii="Calibri" w:hAnsi="Calibri" w:eastAsia="Calibri" w:cs="Calibri"/>
          <w:b w:val="0"/>
          <w:bCs w:val="0"/>
          <w:i w:val="0"/>
          <w:iCs w:val="0"/>
          <w:caps w:val="0"/>
          <w:smallCaps w:val="0"/>
          <w:noProof w:val="0"/>
          <w:color w:val="222222"/>
          <w:sz w:val="26"/>
          <w:szCs w:val="26"/>
          <w:lang w:val="en-US"/>
        </w:rPr>
        <w:t xml:space="preserve">A standard unit of measurement of utilization and refers to an annualized use of the hospital or other institutional care. It is the number of hospital days that are used in a year for each thousand covered lives. </w:t>
      </w:r>
    </w:p>
    <w:p w:rsidR="56F970DD" w:rsidP="56F970DD" w:rsidRDefault="56F970DD" w14:paraId="5FA3CECE" w14:textId="4DB7C912">
      <w:pPr>
        <w:pStyle w:val="Normal"/>
        <w:bidi w:val="0"/>
        <w:spacing w:before="0" w:beforeAutospacing="off" w:after="160" w:afterAutospacing="off" w:line="259" w:lineRule="auto"/>
        <w:ind w:left="0" w:right="0"/>
        <w:jc w:val="left"/>
        <w:rPr>
          <w:rFonts w:ascii="Calibri" w:hAnsi="Calibri" w:eastAsia="Calibri" w:cs="Calibri"/>
          <w:noProof w:val="0"/>
          <w:sz w:val="26"/>
          <w:szCs w:val="26"/>
          <w:lang w:val="en-US"/>
        </w:rPr>
      </w:pPr>
      <w:r w:rsidRPr="56F970DD" w:rsidR="56F970DD">
        <w:rPr>
          <w:rFonts w:ascii="Calibri" w:hAnsi="Calibri" w:eastAsia="Calibri" w:cs="Calibri"/>
          <w:b w:val="0"/>
          <w:bCs w:val="0"/>
          <w:i w:val="0"/>
          <w:iCs w:val="0"/>
          <w:caps w:val="0"/>
          <w:smallCaps w:val="0"/>
          <w:noProof w:val="0"/>
          <w:color w:val="222222"/>
          <w:sz w:val="26"/>
          <w:szCs w:val="26"/>
          <w:lang w:val="en-US"/>
        </w:rPr>
        <w:t xml:space="preserve">The formula used to calculate days per thousand is as follows: (# of days/member months) x (1000 members) x (# of months). </w:t>
      </w:r>
    </w:p>
    <w:p w:rsidR="56F970DD" w:rsidP="56F970DD" w:rsidRDefault="56F970DD" w14:paraId="14D75533" w14:textId="1B12486A">
      <w:pPr>
        <w:pStyle w:val="Normal"/>
        <w:bidi w:val="0"/>
        <w:spacing w:before="0" w:beforeAutospacing="off" w:after="160" w:afterAutospacing="off" w:line="259" w:lineRule="auto"/>
        <w:ind w:left="0" w:right="0"/>
        <w:jc w:val="left"/>
        <w:rPr>
          <w:rFonts w:ascii="Calibri" w:hAnsi="Calibri" w:eastAsia="Calibri" w:cs="Calibri"/>
          <w:noProof w:val="0"/>
          <w:sz w:val="26"/>
          <w:szCs w:val="26"/>
          <w:lang w:val="en-US"/>
        </w:rPr>
      </w:pPr>
      <w:r w:rsidRPr="56F970DD" w:rsidR="56F970DD">
        <w:rPr>
          <w:rFonts w:ascii="Calibri" w:hAnsi="Calibri" w:eastAsia="Calibri" w:cs="Calibri"/>
          <w:b w:val="0"/>
          <w:bCs w:val="0"/>
          <w:i w:val="0"/>
          <w:iCs w:val="0"/>
          <w:caps w:val="0"/>
          <w:smallCaps w:val="0"/>
          <w:noProof w:val="0"/>
          <w:color w:val="222222"/>
          <w:sz w:val="26"/>
          <w:szCs w:val="26"/>
          <w:lang w:val="en-US"/>
        </w:rPr>
        <w:t>An indicator calculated by taking the total number of days (for inpatient, residential, or partial hospitalization) or visits (for outpatient) received by a specific group for a specific period of time (usually one year). A measure used to evaluate utilization management performance.</w:t>
      </w:r>
    </w:p>
    <w:p w:rsidR="56F970DD" w:rsidP="56F970DD" w:rsidRDefault="56F970DD" w14:paraId="0D51F656" w14:textId="242BD27C">
      <w:pPr>
        <w:pStyle w:val="Normal"/>
        <w:bidi w:val="0"/>
        <w:spacing w:before="0" w:beforeAutospacing="off" w:after="160" w:afterAutospacing="off" w:line="259" w:lineRule="auto"/>
        <w:ind w:left="0" w:right="0"/>
        <w:jc w:val="left"/>
        <w:rPr>
          <w:rFonts w:ascii="Calibri" w:hAnsi="Calibri" w:eastAsia="Calibri" w:cs="Calibri"/>
          <w:b w:val="1"/>
          <w:bCs w:val="1"/>
          <w:noProof w:val="0"/>
          <w:sz w:val="26"/>
          <w:szCs w:val="26"/>
          <w:lang w:val="en-US"/>
        </w:rPr>
      </w:pPr>
      <w:r w:rsidRPr="56F970DD" w:rsidR="56F970DD">
        <w:rPr>
          <w:rFonts w:ascii="Calibri" w:hAnsi="Calibri" w:eastAsia="Calibri" w:cs="Calibri"/>
          <w:b w:val="1"/>
          <w:bCs w:val="1"/>
          <w:noProof w:val="0"/>
          <w:sz w:val="26"/>
          <w:szCs w:val="26"/>
          <w:lang w:val="en-US"/>
        </w:rPr>
        <w:t>Cost per Inpatient Case:</w:t>
      </w:r>
    </w:p>
    <w:p w:rsidR="56F970DD" w:rsidP="56F970DD" w:rsidRDefault="56F970DD" w14:paraId="06F7FC65" w14:textId="33258959">
      <w:pPr>
        <w:pStyle w:val="Normal"/>
        <w:bidi w:val="0"/>
        <w:spacing w:before="0" w:beforeAutospacing="off" w:after="160" w:afterAutospacing="off" w:line="259" w:lineRule="auto"/>
        <w:ind w:left="0" w:right="0"/>
        <w:jc w:val="left"/>
        <w:rPr>
          <w:rFonts w:ascii="Calibri" w:hAnsi="Calibri" w:eastAsia="Calibri" w:cs="Calibri"/>
          <w:noProof w:val="0"/>
          <w:sz w:val="26"/>
          <w:szCs w:val="26"/>
          <w:lang w:val="en-US"/>
        </w:rPr>
      </w:pPr>
      <w:hyperlink r:id="R13b195c994de4a20">
        <w:r w:rsidRPr="56F970DD" w:rsidR="56F970DD">
          <w:rPr>
            <w:rStyle w:val="Hyperlink"/>
            <w:rFonts w:ascii="system-ui" w:hAnsi="system-ui" w:eastAsia="system-ui" w:cs="system-ui"/>
            <w:b w:val="1"/>
            <w:bCs w:val="1"/>
            <w:i w:val="0"/>
            <w:iCs w:val="0"/>
            <w:caps w:val="0"/>
            <w:smallCaps w:val="0"/>
            <w:strike w:val="0"/>
            <w:dstrike w:val="0"/>
            <w:noProof w:val="0"/>
            <w:sz w:val="22"/>
            <w:szCs w:val="22"/>
            <w:lang w:val="en-US"/>
          </w:rPr>
          <w:t>Inpatient hospital</w:t>
        </w:r>
      </w:hyperlink>
      <w:r w:rsidRPr="56F970DD" w:rsidR="56F970DD">
        <w:rPr>
          <w:rFonts w:ascii="system-ui" w:hAnsi="system-ui" w:eastAsia="system-ui" w:cs="system-ui"/>
          <w:b w:val="0"/>
          <w:bCs w:val="0"/>
          <w:i w:val="0"/>
          <w:iCs w:val="0"/>
          <w:caps w:val="0"/>
          <w:smallCaps w:val="0"/>
          <w:noProof w:val="0"/>
          <w:color w:val="333333"/>
          <w:sz w:val="22"/>
          <w:szCs w:val="22"/>
          <w:lang w:val="en-US"/>
        </w:rPr>
        <w:t xml:space="preserve"> services </w:t>
      </w:r>
      <w:proofErr w:type="gramStart"/>
      <w:r w:rsidRPr="56F970DD" w:rsidR="56F970DD">
        <w:rPr>
          <w:rFonts w:ascii="system-ui" w:hAnsi="system-ui" w:eastAsia="system-ui" w:cs="system-ui"/>
          <w:b w:val="0"/>
          <w:bCs w:val="0"/>
          <w:i w:val="0"/>
          <w:iCs w:val="0"/>
          <w:caps w:val="0"/>
          <w:smallCaps w:val="0"/>
          <w:noProof w:val="0"/>
          <w:color w:val="333333"/>
          <w:sz w:val="22"/>
          <w:szCs w:val="22"/>
          <w:lang w:val="en-US"/>
        </w:rPr>
        <w:t>means</w:t>
      </w:r>
      <w:proofErr w:type="gramEnd"/>
      <w:r w:rsidRPr="56F970DD" w:rsidR="56F970DD">
        <w:rPr>
          <w:rFonts w:ascii="system-ui" w:hAnsi="system-ui" w:eastAsia="system-ui" w:cs="system-ui"/>
          <w:b w:val="0"/>
          <w:bCs w:val="0"/>
          <w:i w:val="0"/>
          <w:iCs w:val="0"/>
          <w:caps w:val="0"/>
          <w:smallCaps w:val="0"/>
          <w:noProof w:val="0"/>
          <w:color w:val="333333"/>
          <w:sz w:val="22"/>
          <w:szCs w:val="22"/>
          <w:lang w:val="en-US"/>
        </w:rPr>
        <w:t xml:space="preserve"> any health care service provided to a patient who has been admitted to a hospital and is required to remain in that hospital overnight, but does not include any secure forensic mental health services</w:t>
      </w:r>
    </w:p>
    <w:p w:rsidR="56F970DD" w:rsidP="56F970DD" w:rsidRDefault="56F970DD" w14:paraId="0D4594D2" w14:textId="3CA3B122">
      <w:pPr>
        <w:pStyle w:val="Normal"/>
        <w:bidi w:val="0"/>
        <w:spacing w:before="0" w:beforeAutospacing="off" w:after="160" w:afterAutospacing="off" w:line="259" w:lineRule="auto"/>
        <w:ind w:left="0" w:right="0"/>
        <w:jc w:val="left"/>
        <w:rPr>
          <w:rFonts w:ascii="system-ui" w:hAnsi="system-ui" w:eastAsia="system-ui" w:cs="system-ui"/>
          <w:noProof w:val="0"/>
          <w:sz w:val="22"/>
          <w:szCs w:val="22"/>
          <w:lang w:val="en-US"/>
        </w:rPr>
      </w:pPr>
      <w:hyperlink r:id="R38a619949af74167">
        <w:r w:rsidRPr="56F970DD" w:rsidR="56F970DD">
          <w:rPr>
            <w:rStyle w:val="Hyperlink"/>
            <w:rFonts w:ascii="system-ui" w:hAnsi="system-ui" w:eastAsia="system-ui" w:cs="system-ui"/>
            <w:b w:val="1"/>
            <w:bCs w:val="1"/>
            <w:i w:val="0"/>
            <w:iCs w:val="0"/>
            <w:caps w:val="0"/>
            <w:smallCaps w:val="0"/>
            <w:strike w:val="0"/>
            <w:dstrike w:val="0"/>
            <w:noProof w:val="0"/>
            <w:sz w:val="22"/>
            <w:szCs w:val="22"/>
            <w:lang w:val="en-US"/>
          </w:rPr>
          <w:t>Inpatient Hospital Costs</w:t>
        </w:r>
      </w:hyperlink>
      <w:r w:rsidRPr="56F970DD" w:rsidR="56F970DD">
        <w:rPr>
          <w:rFonts w:ascii="system-ui" w:hAnsi="system-ui" w:eastAsia="system-ui" w:cs="system-ui"/>
          <w:b w:val="0"/>
          <w:bCs w:val="0"/>
          <w:i w:val="0"/>
          <w:iCs w:val="0"/>
          <w:caps w:val="0"/>
          <w:smallCaps w:val="0"/>
          <w:noProof w:val="0"/>
          <w:color w:val="333333"/>
          <w:sz w:val="22"/>
          <w:szCs w:val="22"/>
          <w:lang w:val="en-US"/>
        </w:rPr>
        <w:t xml:space="preserve"> means any expenses incurred as a result of an Inmate’s admission to a medical care facility, and expenses incurred as a result of out-patient treatment for emergency medical services.</w:t>
      </w:r>
    </w:p>
    <w:p w:rsidR="56F970DD" w:rsidP="56F970DD" w:rsidRDefault="56F970DD" w14:paraId="58B4E1BF" w14:textId="647C04DF">
      <w:pPr>
        <w:pStyle w:val="Normal"/>
        <w:bidi w:val="0"/>
        <w:spacing w:before="0" w:beforeAutospacing="off" w:after="160" w:afterAutospacing="off" w:line="259" w:lineRule="auto"/>
        <w:ind w:left="0" w:right="0"/>
        <w:jc w:val="left"/>
        <w:rPr>
          <w:rFonts w:ascii="system-ui" w:hAnsi="system-ui" w:eastAsia="system-ui" w:cs="system-ui"/>
          <w:noProof w:val="0"/>
          <w:sz w:val="22"/>
          <w:szCs w:val="22"/>
          <w:lang w:val="en-US"/>
        </w:rPr>
      </w:pPr>
      <w:r w:rsidRPr="56F970DD" w:rsidR="56F970DD">
        <w:rPr>
          <w:rFonts w:ascii="Roboto" w:hAnsi="Roboto" w:eastAsia="Roboto" w:cs="Roboto"/>
          <w:b w:val="0"/>
          <w:bCs w:val="0"/>
          <w:i w:val="0"/>
          <w:iCs w:val="0"/>
          <w:caps w:val="0"/>
          <w:smallCaps w:val="0"/>
          <w:noProof w:val="0"/>
          <w:color w:val="202124"/>
          <w:sz w:val="24"/>
          <w:szCs w:val="24"/>
          <w:lang w:val="en-US"/>
        </w:rPr>
        <w:t xml:space="preserve">This indicator is defined as the sum of all cost associated with all admission during the specific </w:t>
      </w:r>
      <w:r w:rsidRPr="56F970DD" w:rsidR="56F970DD">
        <w:rPr>
          <w:rFonts w:ascii="Roboto" w:hAnsi="Roboto" w:eastAsia="Roboto" w:cs="Roboto"/>
          <w:b w:val="0"/>
          <w:bCs w:val="0"/>
          <w:i w:val="0"/>
          <w:iCs w:val="0"/>
          <w:caps w:val="0"/>
          <w:smallCaps w:val="0"/>
          <w:noProof w:val="0"/>
          <w:color w:val="202124"/>
          <w:sz w:val="24"/>
          <w:szCs w:val="24"/>
          <w:lang w:val="en-US"/>
        </w:rPr>
        <w:t>time period</w:t>
      </w:r>
      <w:r w:rsidRPr="56F970DD" w:rsidR="56F970DD">
        <w:rPr>
          <w:rFonts w:ascii="Roboto" w:hAnsi="Roboto" w:eastAsia="Roboto" w:cs="Roboto"/>
          <w:b w:val="0"/>
          <w:bCs w:val="0"/>
          <w:i w:val="0"/>
          <w:iCs w:val="0"/>
          <w:caps w:val="0"/>
          <w:smallCaps w:val="0"/>
          <w:noProof w:val="0"/>
          <w:color w:val="202124"/>
          <w:sz w:val="24"/>
          <w:szCs w:val="24"/>
          <w:lang w:val="en-US"/>
        </w:rPr>
        <w:t xml:space="preserve"> (usually 1 year) to the total number of admits during that specific </w:t>
      </w:r>
      <w:r w:rsidRPr="56F970DD" w:rsidR="56F970DD">
        <w:rPr>
          <w:rFonts w:ascii="Roboto" w:hAnsi="Roboto" w:eastAsia="Roboto" w:cs="Roboto"/>
          <w:b w:val="0"/>
          <w:bCs w:val="0"/>
          <w:i w:val="0"/>
          <w:iCs w:val="0"/>
          <w:caps w:val="0"/>
          <w:smallCaps w:val="0"/>
          <w:noProof w:val="0"/>
          <w:color w:val="202124"/>
          <w:sz w:val="24"/>
          <w:szCs w:val="24"/>
          <w:lang w:val="en-US"/>
        </w:rPr>
        <w:t>time period</w:t>
      </w:r>
      <w:r w:rsidRPr="56F970DD" w:rsidR="56F970DD">
        <w:rPr>
          <w:rFonts w:ascii="Roboto" w:hAnsi="Roboto" w:eastAsia="Roboto" w:cs="Roboto"/>
          <w:b w:val="0"/>
          <w:bCs w:val="0"/>
          <w:i w:val="0"/>
          <w:iCs w:val="0"/>
          <w:caps w:val="0"/>
          <w:smallCaps w:val="0"/>
          <w:noProof w:val="0"/>
          <w:color w:val="202124"/>
          <w:sz w:val="24"/>
          <w:szCs w:val="24"/>
          <w:lang w:val="en-US"/>
        </w:rPr>
        <w:t xml:space="preserve">. </w:t>
      </w:r>
    </w:p>
    <w:p w:rsidR="56F970DD" w:rsidP="56F970DD" w:rsidRDefault="56F970DD" w14:paraId="5FEE3FAF" w14:textId="1F930CFE">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color w:val="202124"/>
          <w:sz w:val="24"/>
          <w:szCs w:val="24"/>
          <w:lang w:val="en-US"/>
        </w:rPr>
      </w:pPr>
    </w:p>
    <w:p w:rsidR="56F970DD" w:rsidP="56F970DD" w:rsidRDefault="56F970DD" w14:paraId="3DAD2D9A" w14:textId="250B2BEE">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22222"/>
          <w:sz w:val="26"/>
          <w:szCs w:val="26"/>
          <w:lang w:val="en-US"/>
        </w:rPr>
      </w:pPr>
    </w:p>
    <w:p w:rsidR="56F970DD" w:rsidP="56F970DD" w:rsidRDefault="56F970DD" w14:paraId="3FFA14C3" w14:textId="32ECF499">
      <w:pPr>
        <w:pStyle w:val="Normal"/>
        <w:rPr>
          <w:rFonts w:ascii="Calibri" w:hAnsi="Calibri" w:eastAsia="Calibri" w:cs="Calibri"/>
          <w:noProof w:val="0"/>
          <w:sz w:val="26"/>
          <w:szCs w:val="26"/>
          <w:lang w:val="en-US"/>
        </w:rPr>
      </w:pPr>
    </w:p>
    <w:p w:rsidR="56F970DD" w:rsidP="56F970DD" w:rsidRDefault="56F970DD" w14:paraId="4EECAE7C" w14:textId="10775083">
      <w:pPr>
        <w:pStyle w:val="Normal"/>
        <w:rPr>
          <w:rFonts w:ascii="Calibri" w:hAnsi="Calibri" w:eastAsia="Calibri" w:cs="Calibri"/>
          <w:b w:val="1"/>
          <w:bCs w:val="1"/>
          <w:noProof w:val="0"/>
          <w:sz w:val="26"/>
          <w:szCs w:val="26"/>
          <w:lang w:val="en-US"/>
        </w:rPr>
      </w:pPr>
      <w:r w:rsidRPr="56F970DD" w:rsidR="56F970DD">
        <w:rPr>
          <w:rFonts w:ascii="Calibri" w:hAnsi="Calibri" w:eastAsia="Calibri" w:cs="Calibri"/>
          <w:b w:val="1"/>
          <w:bCs w:val="1"/>
          <w:noProof w:val="0"/>
          <w:sz w:val="26"/>
          <w:szCs w:val="26"/>
          <w:lang w:val="en-US"/>
        </w:rPr>
        <w:t>Inpatients PMPM:</w:t>
      </w:r>
    </w:p>
    <w:p w:rsidR="56F970DD" w:rsidP="56F970DD" w:rsidRDefault="56F970DD" w14:paraId="186DEB59" w14:textId="0F09B403">
      <w:pPr>
        <w:pStyle w:val="Normal"/>
        <w:rPr>
          <w:rFonts w:ascii="Calibri" w:hAnsi="Calibri" w:eastAsia="Calibri" w:cs="Calibri"/>
          <w:noProof w:val="0"/>
          <w:sz w:val="26"/>
          <w:szCs w:val="26"/>
          <w:lang w:val="en-US"/>
        </w:rPr>
      </w:pPr>
    </w:p>
    <w:p w:rsidR="56F970DD" w:rsidP="56F970DD" w:rsidRDefault="56F970DD" w14:paraId="2F8508ED" w14:textId="03AC8865">
      <w:pPr>
        <w:pStyle w:val="Normal"/>
        <w:rPr>
          <w:rFonts w:ascii="Calibri" w:hAnsi="Calibri" w:eastAsia="Calibri" w:cs="Calibri"/>
          <w:noProof w:val="0"/>
          <w:sz w:val="26"/>
          <w:szCs w:val="26"/>
          <w:lang w:val="en-US"/>
        </w:rPr>
      </w:pPr>
    </w:p>
    <w:p w:rsidR="56F970DD" w:rsidP="56F970DD" w:rsidRDefault="56F970DD" w14:paraId="20629AC9" w14:textId="50787262">
      <w:pPr>
        <w:pStyle w:val="Normal"/>
        <w:rPr>
          <w:rFonts w:ascii="Calibri" w:hAnsi="Calibri" w:eastAsia="Calibri" w:cs="Calibri"/>
          <w:noProof w:val="0"/>
          <w:sz w:val="26"/>
          <w:szCs w:val="26"/>
          <w:lang w:val="en-US"/>
        </w:rPr>
      </w:pPr>
    </w:p>
    <w:p w:rsidR="56F970DD" w:rsidP="56F970DD" w:rsidRDefault="56F970DD" w14:paraId="69BAEBB3" w14:textId="4A55C361">
      <w:pPr>
        <w:pStyle w:val="Normal"/>
        <w:rPr>
          <w:rFonts w:ascii="Calibri" w:hAnsi="Calibri" w:eastAsia="Calibri" w:cs="Calibri"/>
          <w:noProof w:val="0"/>
          <w:sz w:val="26"/>
          <w:szCs w:val="26"/>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E16654"/>
    <w:rsid w:val="39E16654"/>
    <w:rsid w:val="56F97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16654"/>
  <w15:chartTrackingRefBased/>
  <w15:docId w15:val="{91736564-AC53-434B-9E17-4CB3CD4C48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lawinsider.com/dictionary/inpatient-hospital-costs" TargetMode="External" Id="R13b195c994de4a20" /><Relationship Type="http://schemas.openxmlformats.org/officeDocument/2006/relationships/hyperlink" Target="https://www.lawinsider.com/dictionary/inpatient-hospital-costs" TargetMode="External" Id="R38a619949af7416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2022-08-20T01:23:54.2917541Z</dcterms:created>
  <dcterms:modified xsi:type="dcterms:W3CDTF">2022-08-20T02:04:55.9746595Z</dcterms:modified>
  <dc:creator>Jagadish Parajuli</dc:creator>
  <lastModifiedBy>Jagadish Parajuli</lastModifiedBy>
</coreProperties>
</file>