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79.png" ContentType="image/png"/>
  <Override PartName="/word/media/rId83.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8.png" ContentType="image/png"/>
  <Override PartName="/word/media/rId71.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7"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8" w:name="is-the-cot-load-bearing-or-post-hoc"/>
    <w:p>
      <w:pPr>
        <w:pStyle w:val="Heading3"/>
      </w:pPr>
      <w:r>
        <w:t xml:space="preserve">Is the CoT load-bearing or post-hoc?</w:t>
      </w:r>
    </w:p>
    <w:p>
      <w:pPr>
        <w:pStyle w:val="FirstParagraph"/>
      </w:pPr>
      <w:r>
        <w:t xml:space="preserve">[stub:] With the answer forced onto the first line (answer-first framing), we measured for 20 problems: the</w:t>
      </w:r>
      <w:r>
        <w:t xml:space="preserve"> </w:t>
      </w:r>
      <w:r>
        <w:rPr>
          <w:i/>
          <w:iCs/>
        </w:rPr>
        <w:t xml:space="preserve">commitment time</w:t>
      </w:r>
      <w:r>
        <w:t xml:space="preserve"> </w:t>
      </w:r>
      <w:r>
        <w:t xml:space="preserve">(denoising step at which the answer slot freezes), the</w:t>
      </w:r>
      <w:r>
        <w:t xml:space="preserve"> </w:t>
      </w:r>
      <w:r>
        <w:rPr>
          <w:i/>
          <w:iCs/>
        </w:rPr>
        <w:t xml:space="preserve">susceptibility</w:t>
      </w:r>
      <w:r>
        <w:t xml:space="preserve"> </w:t>
      </w:r>
      <m:oMath>
        <m:r>
          <m:t>S</m:t>
        </m:r>
      </m:oMath>
      <w:r>
        <w:t xml:space="preserve"> </w:t>
      </w:r>
      <w:r>
        <w:t xml:space="preserve">(probability the answer changes when the CoT positions of the canvas</w:t>
      </w:r>
      <w:r>
        <w:t xml:space="preserve"> </w:t>
      </w:r>
      <m:oMath>
        <m:sSup>
          <m:e>
            <m:r>
              <m:t>X</m:t>
            </m:r>
          </m:e>
          <m:sup>
            <m:r>
              <m:t>t</m:t>
            </m:r>
          </m:sup>
        </m:sSup>
      </m:oMath>
      <w:r>
        <w:t xml:space="preserve"> </w:t>
      </w:r>
      <w:r>
        <w:t xml:space="preserve">are clamped to a partially-randomized version at every step — an intervention on the visible tokens, not on</w:t>
      </w:r>
      <w:r>
        <w:t xml:space="preserve"> </w:t>
      </w:r>
      <m:oMath>
        <m:sSup>
          <m:e>
            <m:r>
              <m:rPr>
                <m:sty m:val="b"/>
              </m:rPr>
              <m:t>S</m:t>
            </m:r>
          </m:e>
          <m:sup>
            <m:r>
              <m:t>t</m:t>
            </m:r>
          </m:sup>
        </m:sSup>
      </m:oMath>
      <w:r>
        <w:t xml:space="preserve">; the self-conditioning at clamped positions is zeroed), and a</w:t>
      </w:r>
      <w:r>
        <w:t xml:space="preserve"> </w:t>
      </w:r>
      <w:r>
        <w:rPr>
          <w:i/>
          <w:iCs/>
        </w:rPr>
        <w:t xml:space="preserve">blind difficulty</w:t>
      </w:r>
      <w:r>
        <w:t xml:space="preserve"> </w:t>
      </w:r>
      <w:r>
        <w:t xml:space="preserve">rating (three subagents shown only the problem text). Nominal difficulty is a weak proxy; the proximal predictor of a load-bearing CoT is the measured commitment time (</w:t>
      </w:r>
      <m:oMath>
        <m:sSub>
          <m:e>
            <m:r>
              <m:t>ρ</m:t>
            </m:r>
          </m:e>
          <m:sub>
            <m:r>
              <m:t>S</m:t>
            </m:r>
          </m:sub>
        </m:sSub>
        <m:r>
          <m:rPr>
            <m:sty m:val="p"/>
          </m:rPr>
          <m:t>=</m:t>
        </m:r>
        <m:r>
          <m:rPr>
            <m:sty m:val="p"/>
          </m:rPr>
          <m:t>+</m:t>
        </m:r>
        <m:r>
          <m:t>0.66</m:t>
        </m:r>
      </m:oMath>
      <w:r>
        <w:t xml:space="preserve">; sharpened to</w:t>
      </w:r>
      <w:r>
        <w:t xml:space="preserve"> </w:t>
      </w:r>
      <m:oMath>
        <m:r>
          <m:rPr>
            <m:sty m:val="p"/>
          </m:rPr>
          <m:t>+</m:t>
        </m:r>
        <m:r>
          <m:t>0.80</m:t>
        </m:r>
      </m:oMath>
      <w:r>
        <w:t xml:space="preserve"> </w:t>
      </w:r>
      <w:r>
        <w:t xml:space="preserve">pooled across a temperature sweep). CRT-style problems commit at step 0 with</w:t>
      </w:r>
      <w:r>
        <w:t xml:space="preserve"> </w:t>
      </w:r>
      <m:oMath>
        <m:r>
          <m:t>S</m:t>
        </m:r>
        <m:r>
          <m:rPr>
            <m:sty m:val="p"/>
          </m:rPr>
          <m:t>=</m:t>
        </m:r>
        <m:r>
          <m:t>0</m:t>
        </m:r>
      </m:oMath>
      <w:r>
        <w:t xml:space="preserve"> </w:t>
      </w:r>
      <w:r>
        <w:t xml:space="preserve">(the CoT is post-hoc); serial counting problems commit late and break under corruption (the CoT is load-bearing).</w:t>
      </w:r>
    </w:p>
    <w:p>
      <w:pPr>
        <w:pStyle w:val="CaptionedFigure"/>
      </w:pPr>
      <w:r>
        <w:drawing>
          <wp:inline>
            <wp:extent cx="5334000" cy="1619249"/>
            <wp:effectExtent b="0" l="0" r="0" t="0"/>
            <wp:docPr descr="Post-hoc correlations" title="" id="69" name="Picture"/>
            <a:graphic>
              <a:graphicData uri="http://schemas.openxmlformats.org/drawingml/2006/picture">
                <pic:pic>
                  <pic:nvPicPr>
                    <pic:cNvPr descr="figs/figA8_posthoc_correlations.png" id="70" name="Picture"/>
                    <pic:cNvPicPr>
                      <a:picLocks noChangeArrowheads="1" noChangeAspect="1"/>
                    </pic:cNvPicPr>
                  </pic:nvPicPr>
                  <pic:blipFill>
                    <a:blip r:embed="rId68"/>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(n=20):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2" name="Picture"/>
            <a:graphic>
              <a:graphicData uri="http://schemas.openxmlformats.org/drawingml/2006/picture">
                <pic:pic>
                  <pic:nvPicPr>
                    <pic:cNvPr descr="figs/figA8b_posthoc_case.png" id="73" name="Picture"/>
                    <pic:cNvPicPr>
                      <a:picLocks noChangeArrowheads="1" noChangeAspect="1"/>
                    </pic:cNvPicPr>
                  </pic:nvPicPr>
                  <pic:blipFill>
                    <a:blip r:embed="rId71"/>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canvas positions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77"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5" name="Picture"/>
            <a:graphic>
              <a:graphicData uri="http://schemas.openxmlformats.org/drawingml/2006/picture">
                <pic:pic>
                  <pic:nvPicPr>
                    <pic:cNvPr descr="figs/figA9_resolution.png" id="76" name="Picture"/>
                    <pic:cNvPicPr>
                      <a:picLocks noChangeArrowheads="1" noChangeAspect="1"/>
                    </pic:cNvPicPr>
                  </pic:nvPicPr>
                  <pic:blipFill>
                    <a:blip r:embed="rId74"/>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Left: bat_ball and monty — the answer is confident by step 1 (0 flips) while the CoT is still at ~3–4 nats. Right: reverse_then_add and sq1000 — the answer stays hot until the CoT cools, passing through the annotated value sequences before settling.</w:t>
      </w:r>
    </w:p>
    <w:bookmarkEnd w:id="77"/>
    <w:bookmarkEnd w:id="78"/>
    <w:bookmarkStart w:id="82" w:name="Xc88983d67b72bd3bbe7b5ed4c6ce8c17fda4537"/>
    <w:p>
      <w:pPr>
        <w:pStyle w:val="Heading3"/>
      </w:pPr>
      <w:r>
        <w:t xml:space="preserve">Self-repair: escaping a confident-wrong answer</w:t>
      </w:r>
    </w:p>
    <w:p>
      <w:pPr>
        <w:pStyle w:val="FirstParagraph"/>
      </w:pPr>
      <w:r>
        <w:t xml:space="preserve">[stub:]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correct 16, fencepost attractor 18). In natural runs the canvas transiently visits the wrong answers and patches them within a few steps. But a</w:t>
      </w:r>
      <w:r>
        <w:t xml:space="preserve"> </w:t>
      </w:r>
      <w:r>
        <w:rPr>
          <w:i/>
          <w:iCs/>
        </w:rPr>
        <w:t xml:space="preserve">harvested</w:t>
      </w:r>
      <w:r>
        <w:t xml:space="preserve"> </w:t>
      </w:r>
      <w:r>
        <w:t xml:space="preserve">confident-wrong state (a cold run that converged to 18) is a genuine attractor: re-denoising it escapes to 16 only with a hot sampler</w:t>
      </w:r>
      <w:r>
        <w:t xml:space="preserve"> </w:t>
      </w:r>
      <w:r>
        <w:rPr>
          <w:i/>
          <w:iCs/>
        </w:rPr>
        <w:t xml:space="preserve">and</w:t>
      </w:r>
      <w:r>
        <w:t xml:space="preserve"> </w:t>
      </w:r>
      <w:r>
        <w:t xml:space="preserve">enough re-noising — plant it past step ~48 of 128 and even the hot sampler stays stuck.</w:t>
      </w:r>
    </w:p>
    <w:p>
      <w:pPr>
        <w:pStyle w:val="CaptionedFigure"/>
      </w:pPr>
      <w:r>
        <w:drawing>
          <wp:inline>
            <wp:extent cx="5334000" cy="2117911"/>
            <wp:effectExtent b="0" l="0" r="0" t="0"/>
            <wp:docPr descr="Self-repair clock" title="" id="80" name="Picture"/>
            <a:graphic>
              <a:graphicData uri="http://schemas.openxmlformats.org/drawingml/2006/picture">
                <pic:pic>
                  <pic:nvPicPr>
                    <pic:cNvPr descr="figs/figA10_selfrepair_clock.png" id="81" name="Picture"/>
                    <pic:cNvPicPr>
                      <a:picLocks noChangeArrowheads="1" noChangeAspect="1"/>
                    </pic:cNvPicPr>
                  </pic:nvPicPr>
                  <pic:blipFill>
                    <a:blip r:embed="rId79"/>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2"/>
    <w:bookmarkStart w:id="86" w:name="how-causal-is-dgs-generation"/>
    <w:p>
      <w:pPr>
        <w:pStyle w:val="Heading3"/>
      </w:pPr>
      <w:r>
        <w:t xml:space="preserve">How causal is DG’s generation?</w:t>
      </w:r>
    </w:p>
    <w:p>
      <w:pPr>
        <w:pStyle w:val="FirstParagraph"/>
      </w:pPr>
      <w:r>
        <w:t xml:space="preserve">[stub:] Although attention is bidirectional, DG could still</w:t>
      </w:r>
      <w:r>
        <w:t xml:space="preserve"> </w:t>
      </w:r>
      <w:r>
        <w:rPr>
          <w:i/>
          <w:iCs/>
        </w:rPr>
        <w:t xml:space="preserve">commit</w:t>
      </w:r>
      <w:r>
        <w:t xml:space="preserve"> </w:t>
      </w:r>
      <w:r>
        <w:t xml:space="preserve">its canvas in reading order, like an autoregressive model. We order each run’s content positions by the step at which they finally commit, and plot canvas position against commit rank — a strictly left-to-right (AR-like) order is the diagonal. Commitment is largely causal (median</w:t>
      </w:r>
      <w:r>
        <w:t xml:space="preserve"> </w:t>
      </w:r>
      <m:oMath>
        <m:sSub>
          <m:e>
            <m:r>
              <m:t>ρ</m:t>
            </m:r>
          </m:e>
          <m:sub>
            <m:r>
              <m:rPr>
                <m:sty m:val="p"/>
              </m:rPr>
              <m:t>c</m:t>
            </m:r>
            <m:r>
              <m:rPr>
                <m:sty m:val="p"/>
              </m:rPr>
              <m:t>h</m:t>
            </m:r>
            <m:r>
              <m:rPr>
                <m:sty m:val="p"/>
              </m:rPr>
              <m:t>a</m:t>
            </m:r>
            <m:r>
              <m:rPr>
                <m:sty m:val="p"/>
              </m:rPr>
              <m:t>i</m:t>
            </m:r>
            <m:r>
              <m:rPr>
                <m:sty m:val="p"/>
              </m:rPr>
              <m:t>n</m:t>
            </m:r>
          </m:sub>
        </m:sSub>
      </m:oMath>
      <w:r>
        <w:t xml:space="preserve"> </w:t>
      </w:r>
      <w:r>
        <w:t xml:space="preserve">between</w:t>
      </w:r>
      <w:r>
        <w:t xml:space="preserve"> </w:t>
      </w:r>
      <m:oMath>
        <m:r>
          <m:rPr>
            <m:sty m:val="p"/>
          </m:rPr>
          <m:t>+</m:t>
        </m:r>
        <m:r>
          <m:t>0.57</m:t>
        </m:r>
      </m:oMath>
      <w:r>
        <w:t xml:space="preserve"> </w:t>
      </w:r>
      <w:r>
        <w:t xml:space="preserve">and</w:t>
      </w:r>
      <w:r>
        <w:t xml:space="preserve"> </w:t>
      </w:r>
      <m:oMath>
        <m:r>
          <m:rPr>
            <m:sty m:val="p"/>
          </m:rPr>
          <m:t>+</m:t>
        </m:r>
        <m:r>
          <m:t>0.86</m:t>
        </m:r>
      </m:oMath>
      <w:r>
        <w:t xml:space="preserve"> </w:t>
      </w:r>
      <w:r>
        <w:t xml:space="preserve">across tasks), but with reproducible</w:t>
      </w:r>
      <w:r>
        <w:t xml:space="preserve"> </w:t>
      </w:r>
      <w:r>
        <w:rPr>
          <w:i/>
          <w:iCs/>
        </w:rPr>
        <w:t xml:space="preserve">anticausal stages</w:t>
      </w:r>
      <w:r>
        <w:t xml:space="preserve">: on</w:t>
      </w:r>
      <w:r>
        <w:t xml:space="preserve"> </w:t>
      </w:r>
      <w:r>
        <w:rPr>
          <w:rStyle w:val="VerbatimChar"/>
        </w:rPr>
        <w:t xml:space="preserve">ends_with</w:t>
      </w:r>
      <w:r>
        <w:t xml:space="preserve"> </w:t>
      </w:r>
      <w:r>
        <w:t xml:space="preserve">the anchored final word commits early and the middle of the sentence is filled in last (the terminal plunge of the mean curve), and on every task the left edge of the canvas is back-filled only after the first words have committed.</w:t>
      </w:r>
    </w:p>
    <w:p>
      <w:pPr>
        <w:pStyle w:val="CaptionedFigure"/>
      </w:pPr>
      <w:r>
        <w:drawing>
          <wp:inline>
            <wp:extent cx="5334000" cy="2200275"/>
            <wp:effectExtent b="0" l="0" r="0" t="0"/>
            <wp:docPr descr="Commitment causality" title="" id="84" name="Picture"/>
            <a:graphic>
              <a:graphicData uri="http://schemas.openxmlformats.org/drawingml/2006/picture">
                <pic:pic>
                  <pic:nvPicPr>
                    <pic:cNvPr descr="figs/figA11_commit_causality.png" id="85" name="Picture"/>
                    <pic:cNvPicPr>
                      <a:picLocks noChangeArrowheads="1" noChangeAspect="1"/>
                    </pic:cNvPicPr>
                  </pic:nvPicPr>
                  <pic:blipFill>
                    <a:blip r:embed="rId83"/>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Commitment causality</w:t>
      </w:r>
    </w:p>
    <w:p>
      <w:pPr>
        <w:pStyle w:val="BodyText"/>
      </w:pPr>
      <w:r>
        <w:rPr>
          <w:b/>
          <w:bCs/>
          <w:i/>
          <w:iCs/>
        </w:rPr>
        <w:t xml:space="preserve">Commitment order is mostly, but not strictly, left-to-right.</w:t>
      </w:r>
      <w:r>
        <w:rPr>
          <w:i/>
          <w:iCs/>
        </w:rPr>
        <w:t xml:space="preserve"> </w:t>
      </w:r>
      <w:r>
        <w:rPr>
          <w:i/>
          <w:iCs/>
        </w:rPr>
        <w:t xml:space="preserve">Per task: normalized canvas position of the</w:t>
      </w:r>
      <w:r>
        <w:rPr>
          <w:i/>
          <w:iCs/>
        </w:rPr>
        <w:t xml:space="preserve"> </w:t>
      </w:r>
      <m:oMath>
        <m:r>
          <m:t>k</m:t>
        </m:r>
      </m:oMath>
      <w:r>
        <w:rPr>
          <w:i/>
          <w:iCs/>
        </w:rPr>
        <w:t xml:space="preserve">-th finally-committed content position vs commit rank (faint = single rollouts, bold = mean; dashed diagonal = strictly left-to-right;</w:t>
      </w:r>
      <w:r>
        <w:rPr>
          <w:i/>
          <w:iCs/>
        </w:rPr>
        <w:t xml:space="preserve"> </w:t>
      </w:r>
      <m:oMath>
        <m:sSub>
          <m:e>
            <m:r>
              <m:t>ρ</m:t>
            </m:r>
          </m:e>
          <m:sub>
            <m:r>
              <m:rPr>
                <m:sty m:val="p"/>
              </m:rPr>
              <m:t>c</m:t>
            </m:r>
            <m:r>
              <m:rPr>
                <m:sty m:val="p"/>
              </m:rPr>
              <m:t>h</m:t>
            </m:r>
            <m:r>
              <m:rPr>
                <m:sty m:val="p"/>
              </m:rPr>
              <m:t>a</m:t>
            </m:r>
            <m:r>
              <m:rPr>
                <m:sty m:val="p"/>
              </m:rPr>
              <m:t>i</m:t>
            </m:r>
            <m:r>
              <m:rPr>
                <m:sty m:val="p"/>
              </m:rPr>
              <m:t>n</m:t>
            </m:r>
          </m:sub>
        </m:sSub>
      </m:oMath>
      <w:r>
        <w:rPr>
          <w:i/>
          <w:iCs/>
        </w:rPr>
        <w:t xml:space="preserve"> </w:t>
      </w:r>
      <w:r>
        <w:rPr>
          <w:i/>
          <w:iCs/>
        </w:rPr>
        <w:t xml:space="preserve">= median Spearman correlation between commit step and position). Anticausal stages show as descending segments:</w:t>
      </w:r>
      <w:r>
        <w:rPr>
          <w:i/>
          <w:iCs/>
        </w:rPr>
        <w:t xml:space="preserve"> </w:t>
      </w:r>
      <w:r>
        <w:rPr>
          <w:rStyle w:val="VerbatimChar"/>
          <w:i/>
          <w:iCs/>
        </w:rPr>
        <w:t xml:space="preserve">ends_with</w:t>
      </w:r>
      <w:r>
        <w:rPr>
          <w:i/>
          <w:iCs/>
        </w:rPr>
        <w:t xml:space="preserve"> </w:t>
      </w:r>
      <w:r>
        <w:rPr>
          <w:i/>
          <w:iCs/>
        </w:rPr>
        <w:t xml:space="preserve">commits its anchored final word before back-filling the middle, and all tasks back-fill the left edge at rank ~0.2. Hot sampler; the default colder sampler commits the whole canvas by step ~3, leaving no order to read.</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2026-08-07T06:31:05Z</dcterms:created>
  <dcterms:modified xsi:type="dcterms:W3CDTF">2026-08-07T06:31:05Z</dcterms:modified>
</cp:coreProperties>
</file>

<file path=docProps/custom.xml><?xml version="1.0" encoding="utf-8"?>
<Properties xmlns="http://schemas.openxmlformats.org/officeDocument/2006/custom-properties" xmlns:vt="http://schemas.openxmlformats.org/officeDocument/2006/docPropsVTypes"/>
</file>