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35.png" ContentType="image/png"/>
  <Override PartName="/word/media/rId41.png" ContentType="image/png"/>
  <Override PartName="/word/media/rId46.png" ContentType="image/png"/>
  <Override PartName="/word/media/rId52.png" ContentType="image/png"/>
  <Override PartName="/word/media/rId57.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f5e660dc2e9c1a368125465a5756c31f66c44e2"/>
    <w:p>
      <w:pPr>
        <w:pStyle w:val="Heading1"/>
      </w:pPr>
      <w:r>
        <w:t xml:space="preserve">Does DiffusionGemma have latent reasoning?</w:t>
      </w:r>
    </w:p>
    <w:bookmarkStart w:id="20"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underlines the paper’s conclusion that DiffusionGemma remains highly monitorable, while nevertheless showing that there are cases where models can learn to use vector-valued information.</w:t>
      </w:r>
    </w:p>
    <w:bookmarkEnd w:id="20"/>
    <w:bookmarkStart w:id="23"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The self-conditioning state</w:t>
      </w:r>
      <w:r>
        <w:t xml:space="preserve"> </w:t>
      </w:r>
      <m:oMath>
        <m:sSub>
          <m:e>
            <m:d>
              <m:dPr>
                <m:begChr m:val="("/>
                <m:sepChr m:val=""/>
                <m:endChr m:val=")"/>
                <m:grow/>
              </m:dPr>
              <m:e>
                <m:sSubSup>
                  <m:e>
                    <m:r>
                      <m:rPr>
                        <m:sty m:val="b"/>
                      </m:rPr>
                      <m:t>s</m:t>
                    </m:r>
                  </m:e>
                  <m:sub>
                    <m:r>
                      <m:t>i</m:t>
                    </m:r>
                  </m:sub>
                  <m:sup>
                    <m:r>
                      <m:t>0</m:t>
                    </m:r>
                  </m:sup>
                </m:sSubSup>
              </m:e>
            </m:d>
          </m:e>
          <m:sub>
            <m:r>
              <m:t>i</m:t>
            </m:r>
            <m:r>
              <m:rPr>
                <m:sty m:val="p"/>
              </m:rPr>
              <m:t>=</m:t>
            </m:r>
            <m:r>
              <m:t>1</m:t>
            </m:r>
            <m:r>
              <m:rPr>
                <m:sty m:val="p"/>
              </m:rPr>
              <m:t>…</m:t>
            </m:r>
            <m:r>
              <m:t>C</m:t>
            </m:r>
          </m:sub>
        </m:sSub>
        <m:r>
          <m:rPr>
            <m:sty m:val="p"/>
          </m:rPr>
          <m:t>=</m:t>
        </m:r>
        <m:sSup>
          <m:e>
            <m:r>
              <m:rPr>
                <m:sty m:val="b"/>
              </m:rPr>
              <m:t>S</m:t>
            </m:r>
          </m:e>
          <m:sup>
            <m:r>
              <m:t>0</m:t>
            </m:r>
          </m:sup>
        </m:sSup>
        <m:r>
          <m:rPr>
            <m:sty m:val="p"/>
          </m:rPr>
          <m:t>∈</m:t>
        </m:r>
        <m:sSup>
          <m:e>
            <m:r>
              <m:rPr>
                <m:sty m:val="p"/>
                <m:scr m:val="double-struck"/>
              </m:rPr>
              <m:t>R</m:t>
            </m:r>
          </m:e>
          <m:sup>
            <m:r>
              <m:t>C</m:t>
            </m:r>
            <m:r>
              <m:rPr>
                <m:sty m:val="p"/>
              </m:rPr>
              <m:t>×</m:t>
            </m:r>
            <m:d>
              <m:dPr>
                <m:begChr m:val="|"/>
                <m:sepChr m:val=""/>
                <m:endChr m:val="|"/>
                <m:grow/>
              </m:dPr>
              <m:e>
                <m:r>
                  <m:rPr>
                    <m:sty m:val="p"/>
                    <m:scr m:val="script"/>
                  </m:rPr>
                  <m:t>V</m:t>
                </m:r>
              </m:e>
            </m:d>
          </m:sup>
        </m:sSup>
      </m:oMath>
      <w:r>
        <w:t xml:space="preserve"> </w:t>
      </w:r>
      <w:r>
        <w:t xml:space="preserve">is initialised uniformly.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Importantly,</w:t>
      </w:r>
      <w:r>
        <w:t xml:space="preserve"> </w:t>
      </w:r>
      <m:oMath>
        <m:sSup>
          <m:e>
            <m:r>
              <m:t>X</m:t>
            </m:r>
          </m:e>
          <m:sup>
            <m:r>
              <m:t>t</m:t>
            </m:r>
          </m:sup>
        </m:sSup>
      </m:oMath>
      <w:r>
        <w:t xml:space="preserve"> </w:t>
      </w:r>
      <w:r>
        <w:t xml:space="preserve">attends bidirectionally to itself, and causally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w:t>
      </w:r>
    </w:p>
    <w:p>
      <w:pPr>
        <w:pStyle w:val="BodyText"/>
      </w:pPr>
      <w:r>
        <w:t xml:space="preserve">For a visual and more detailed introduction to DiffusionGemma, see</w:t>
      </w:r>
      <w:r>
        <w:t xml:space="preserve"> </w:t>
      </w:r>
      <w:hyperlink r:id="rId21">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2">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3"/>
    <w:bookmarkStart w:id="28"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4">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of DG significantly dropped. Thus somehow the information in</w:t>
      </w:r>
      <w:r>
        <w:t xml:space="preserve"> </w:t>
      </w:r>
      <m:oMath>
        <m:sSup>
          <m:e>
            <m:r>
              <m:rPr>
                <m:sty m:val="b"/>
              </m:rPr>
              <m:t>s</m:t>
            </m:r>
          </m:e>
          <m:sup>
            <m:r>
              <m:t>t</m:t>
            </m:r>
          </m:sup>
        </m:sSup>
      </m:oMath>
      <w:r>
        <w:t xml:space="preserve"> </w:t>
      </w:r>
      <w:r>
        <w:t xml:space="preserve">seemed to have been essential to DiffusionGemma,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6" name="Picture"/>
            <a:graphic>
              <a:graphicData uri="http://schemas.openxmlformats.org/drawingml/2006/picture">
                <pic:pic>
                  <pic:nvPicPr>
                    <pic:cNvPr descr="figs/fig1_gpqa_trunc_failur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i/>
          <w:iCs/>
        </w:rPr>
        <w:t xml:space="preserve">A gentler sampler prevents the degenerate loop that caused performance degradation on top-k truncating the distributional state</w:t>
      </w:r>
      <w:r>
        <w:rPr>
          <w:i/>
          <w:iCs/>
        </w:rPr>
        <w:t xml:space="preserve"> </w:t>
      </w:r>
      <m:oMath>
        <m:sSup>
          <m:e>
            <m:r>
              <m:rPr>
                <m:sty m:val="b"/>
              </m:rPr>
              <m:t>s</m:t>
            </m:r>
          </m:e>
          <m:sup>
            <m:r>
              <m:t>t</m:t>
            </m:r>
          </m:sup>
        </m:sSup>
      </m:oMath>
      <w:r>
        <w:rPr>
          <w:i/>
          <w:iCs/>
        </w:rPr>
        <w:t xml:space="preserve"> </w:t>
      </w:r>
      <w:r>
        <w:rPr>
          <w:i/>
          <w:iCs/>
        </w:rPr>
        <w:t xml:space="preserve">observed in</w:t>
      </w:r>
      <w:r>
        <w:rPr>
          <w:i/>
          <w:iCs/>
        </w:rPr>
        <w:t xml:space="preserve"> </w:t>
      </w:r>
      <w:hyperlink r:id="rId24">
        <w:r>
          <w:rPr>
            <w:rStyle w:val="Hyperlink"/>
            <w:i/>
            <w:iCs/>
          </w:rPr>
          <w:t xml:space="preserve">Engels et al.</w:t>
        </w:r>
      </w:hyperlink>
      <w:r>
        <w:t xml:space="preserve">.</w:t>
      </w:r>
    </w:p>
    <w:bookmarkEnd w:id="28"/>
    <w:bookmarkStart w:id="39"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4">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Today the weather is _</w:t>
      </w:r>
      <w:r>
        <w:t xml:space="preserve">, with</w:t>
      </w:r>
      <w:r>
        <w:t xml:space="preserve"> </w:t>
      </w:r>
      <w:r>
        <w:rPr>
          <w:rStyle w:val="VerbatimChar"/>
        </w:rPr>
        <w:t xml:space="preserve">rainy</w:t>
      </w:r>
      <w:r>
        <w:t xml:space="preserve">and</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0" name="Picture"/>
            <a:graphic>
              <a:graphicData uri="http://schemas.openxmlformats.org/drawingml/2006/picture">
                <pic:pic>
                  <pic:nvPicPr>
                    <pic:cNvPr descr="figs/fig2a_transfer_map.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i/>
          <w:iCs/>
        </w:rPr>
        <w:t xml:space="preserve">Perturbing subleading tokens triggers a response at corresponding target tokens.</w:t>
      </w:r>
    </w:p>
    <w:p>
      <w:pPr>
        <w:pStyle w:val="BodyText"/>
      </w:pPr>
      <w:r>
        <w:t xml:space="preserve">For illustration, here is a single intervention in full:</w:t>
      </w:r>
    </w:p>
    <w:p>
      <w:pPr>
        <w:pStyle w:val="CaptionedFigure"/>
      </w:pPr>
      <w:r>
        <w:drawing>
          <wp:inline>
            <wp:extent cx="5334000" cy="2341033"/>
            <wp:effectExtent b="0" l="0" r="0" t="0"/>
            <wp:docPr descr="Example intervention" title="" id="33" name="Picture"/>
            <a:graphic>
              <a:graphicData uri="http://schemas.openxmlformats.org/drawingml/2006/picture">
                <pic:pic>
                  <pic:nvPicPr>
                    <pic:cNvPr descr="figs/fig2a_example_intervention.png" id="34" name="Picture"/>
                    <pic:cNvPicPr>
                      <a:picLocks noChangeArrowheads="1" noChangeAspect="1"/>
                    </pic:cNvPicPr>
                  </pic:nvPicPr>
                  <pic:blipFill>
                    <a:blip r:embed="rId32"/>
                    <a:stretch>
                      <a:fillRect/>
                    </a:stretch>
                  </pic:blipFill>
                  <pic:spPr bwMode="auto">
                    <a:xfrm>
                      <a:off x="0" y="0"/>
                      <a:ext cx="5334000" cy="23410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i/>
          <w:iCs/>
        </w:rPr>
        <w:t xml:space="preserve">Example of one intervention: a subleading injection on</w:t>
      </w:r>
      <w:r>
        <w:rPr>
          <w:i/>
          <w:iCs/>
        </w:rPr>
        <w:t xml:space="preserve"> </w:t>
      </w:r>
      <w:r>
        <w:rPr>
          <w:rStyle w:val="VerbatimChar"/>
          <w:i/>
          <w:iCs/>
        </w:rPr>
        <w:t xml:space="preserve">H</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swings the answer slot from</w:t>
      </w:r>
      <w:r>
        <w:rPr>
          <w:i/>
          <w:iCs/>
        </w:rPr>
        <w:t xml:space="preserve"> </w:t>
      </w:r>
      <w:r>
        <w:rPr>
          <w:rStyle w:val="VerbatimChar"/>
          <w:i/>
          <w:iCs/>
        </w:rPr>
        <w:t xml:space="preserve">J</w:t>
      </w:r>
      <w:r>
        <w:rPr>
          <w:i/>
          <w:iCs/>
        </w:rPr>
        <w:t xml:space="preserve"> </w:t>
      </w:r>
      <w:r>
        <w:rPr>
          <w:i/>
          <w:iCs/>
        </w:rPr>
        <w:t xml:space="preserve">to</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Start w:id="38" w:name="parallelism"/>
    <w:p>
      <w:pPr>
        <w:pStyle w:val="Heading3"/>
      </w:pPr>
      <w:r>
        <w:t xml:space="preserve">Parallelism</w:t>
      </w:r>
    </w:p>
    <w:p>
      <w:pPr>
        <w:pStyle w:val="FirstParagraph"/>
      </w:pPr>
      <w:r>
        <w:t xml:space="preserve">This simple response behavior begs the question whether it is possible to perturb</w:t>
      </w:r>
      <w:r>
        <w:t xml:space="preserve"> </w:t>
      </w:r>
      <m:oMath>
        <m:r>
          <m:t>n</m:t>
        </m:r>
        <m:r>
          <m:rPr>
            <m:sty m:val="p"/>
          </m:rPr>
          <m:t>&gt;</m:t>
        </m:r>
        <m:r>
          <m:t>1</m:t>
        </m:r>
      </m:oMath>
      <w:r>
        <w:t xml:space="preserve"> </w:t>
      </w:r>
      <w:r>
        <w:t xml:space="preserve">source letters</w:t>
      </w:r>
      <w:r>
        <w:t xml:space="preserve"> </w:t>
      </w:r>
      <w:r>
        <w:rPr>
          <w:i/>
          <w:iCs/>
        </w:rPr>
        <w:t xml:space="preserve">simultaneously</w:t>
      </w:r>
      <w:r>
        <w:t xml:space="preserve"> </w:t>
      </w:r>
      <w:r>
        <w:t xml:space="preserve">(again, keeping them subleading) and see whether the corresponding target images respond. To this end, we measure responses</w:t>
      </w:r>
      <w:r>
        <w:t xml:space="preserve"> </w:t>
      </w:r>
      <m:oMath>
        <m:r>
          <m:rPr>
            <m:sty m:val="p"/>
          </m:rPr>
          <m:t>⟨</m:t>
        </m:r>
        <m:r>
          <m:t>R</m:t>
        </m:r>
        <m:sSub>
          <m:e>
            <m:r>
              <m:rPr>
                <m:sty m:val="p"/>
              </m:rPr>
              <m:t>⟩</m:t>
            </m:r>
          </m:e>
          <m:sub>
            <m:r>
              <m:t>T</m:t>
            </m:r>
          </m:sub>
        </m:sSub>
      </m:oMath>
      <w:r>
        <w:t xml:space="preserve"> </w:t>
      </w:r>
      <w:r>
        <w:t xml:space="preserve">and</w:t>
      </w:r>
      <w:r>
        <w:t xml:space="preserve"> </w:t>
      </w:r>
      <m:oMath>
        <m:r>
          <m:rPr>
            <m:sty m:val="p"/>
          </m:rPr>
          <m:t>⟨</m:t>
        </m:r>
        <m:r>
          <m:t>R</m:t>
        </m:r>
        <m:sSub>
          <m:e>
            <m:r>
              <m:rPr>
                <m:sty m:val="p"/>
              </m:rPr>
              <m:t>⟩</m:t>
            </m:r>
          </m:e>
          <m:sub>
            <m:r>
              <m:t>N</m:t>
            </m:r>
          </m:sub>
        </m:sSub>
      </m:oMath>
      <w:r>
        <w:t xml:space="preserve"> </w:t>
      </w:r>
      <w:r>
        <w:t xml:space="preserve">averaged over the target and non-target sets, respectively, and introduce the</w:t>
      </w:r>
      <w:r>
        <w:t xml:space="preserve"> </w:t>
      </w:r>
      <w:r>
        <w:rPr>
          <w:i/>
          <w:iCs/>
        </w:rPr>
        <w:t xml:space="preserve">effect</w:t>
      </w:r>
      <w:r>
        <w:t xml:space="preserve"> </w:t>
      </w:r>
      <m:oMath>
        <m:r>
          <m:t>E</m:t>
        </m:r>
        <m:r>
          <m:rPr>
            <m:sty m:val="p"/>
          </m:rPr>
          <m:t>=</m:t>
        </m:r>
        <m:r>
          <m:rPr>
            <m:sty m:val="p"/>
          </m:rPr>
          <m:t>⟨</m:t>
        </m:r>
        <m:r>
          <m:t>R</m:t>
        </m:r>
        <m:sSub>
          <m:e>
            <m:r>
              <m:rPr>
                <m:sty m:val="p"/>
              </m:rPr>
              <m:t>⟩</m:t>
            </m:r>
          </m:e>
          <m:sub>
            <m:r>
              <m:t>T</m:t>
            </m:r>
          </m:sub>
        </m:sSub>
        <m:r>
          <m:rPr>
            <m:sty m:val="p"/>
          </m:rPr>
          <m:t>−</m:t>
        </m:r>
        <m:r>
          <m:rPr>
            <m:sty m:val="p"/>
          </m:rPr>
          <m:t>⟨</m:t>
        </m:r>
        <m:r>
          <m:t>R</m:t>
        </m:r>
        <m:sSub>
          <m:e>
            <m:r>
              <m:rPr>
                <m:sty m:val="p"/>
              </m:rPr>
              <m:t>⟩</m:t>
            </m:r>
          </m:e>
          <m:sub>
            <m:r>
              <m:t>N</m:t>
            </m:r>
          </m:sub>
        </m:sSub>
      </m:oMath>
      <w:r>
        <w:t xml:space="preserve">. Because we now inject mass at multiple positions and observe proportionally scaled response, we calculate a</w:t>
      </w:r>
      <w:r>
        <w:t xml:space="preserve"> </w:t>
      </w:r>
      <w:r>
        <w:rPr>
          <w:i/>
          <w:iCs/>
        </w:rPr>
        <w:t xml:space="preserve">normalized effect</w:t>
      </w:r>
      <w:r>
        <w:t xml:space="preserve"> </w:t>
      </w:r>
      <m:oMath>
        <m:r>
          <m:t>N</m:t>
        </m:r>
        <m:r>
          <m:t>E</m:t>
        </m:r>
      </m:oMath>
      <w:r>
        <w:t xml:space="preserve">.</w:t>
      </w:r>
    </w:p>
    <w:p>
      <w:pPr>
        <w:pStyle w:val="CaptionedFigure"/>
      </w:pPr>
      <w:r>
        <w:drawing>
          <wp:inline>
            <wp:extent cx="5334000" cy="1700212"/>
            <wp:effectExtent b="0" l="0" r="0" t="0"/>
            <wp:docPr descr="Parallelism triptych" title="" id="36" name="Picture"/>
            <a:graphic>
              <a:graphicData uri="http://schemas.openxmlformats.org/drawingml/2006/picture">
                <pic:pic>
                  <pic:nvPicPr>
                    <pic:cNvPr descr="figs/fig2b_triptych.png" id="37" name="Picture"/>
                    <pic:cNvPicPr>
                      <a:picLocks noChangeArrowheads="1" noChangeAspect="1"/>
                    </pic:cNvPicPr>
                  </pic:nvPicPr>
                  <pic:blipFill>
                    <a:blip r:embed="rId35"/>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Parallelism triptych</w:t>
      </w:r>
    </w:p>
    <w:p>
      <w:pPr>
        <w:pStyle w:val="BodyText"/>
      </w:pPr>
      <w:r>
        <w:rPr>
          <w:i/>
          <w:iCs/>
        </w:rPr>
        <w:t xml:space="preserve">DiffusionGemma does simultaneous letter arithmetic to about a capacity of</w:t>
      </w:r>
      <w:r>
        <w:rPr>
          <w:i/>
          <w:iCs/>
        </w:rPr>
        <w:t xml:space="preserve"> </w:t>
      </w:r>
      <m:oMath>
        <m:r>
          <m:t>n</m:t>
        </m:r>
        <m:r>
          <m:rPr>
            <m:sty m:val="p"/>
          </m:rPr>
          <m:t>=</m:t>
        </m:r>
        <m:r>
          <m:t>4</m:t>
        </m:r>
      </m:oMath>
      <w:r>
        <w:rPr>
          <w:i/>
          <w:iCs/>
        </w:rPr>
        <w:t xml:space="preserve">.</w:t>
      </w:r>
    </w:p>
    <w:p>
      <w:pPr>
        <w:pStyle w:val="BodyText"/>
      </w:pPr>
      <w:r>
        <w:t xml:space="preserve">This behavior is plausible considering the computation in question: a shift is easily implemented by a linear rotation in representation space. Therefore, superpositions of letters will be transported to superpositions of responses. Overall, this leaves an interpretable picture.</w:t>
      </w:r>
    </w:p>
    <w:bookmarkEnd w:id="38"/>
    <w:bookmarkEnd w:id="39"/>
    <w:bookmarkStart w:id="40"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(parallel) computation on it.</w:t>
      </w:r>
    </w:p>
    <w:p>
      <w:pPr>
        <w:pStyle w:val="BodyText"/>
      </w:pPr>
      <w:r>
        <w:t xml:space="preserve">Overall, this supports</w:t>
      </w:r>
      <w:r>
        <w:t xml:space="preserve"> </w:t>
      </w:r>
      <w:hyperlink r:id="rId24">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reasearch.</w:t>
      </w:r>
    </w:p>
    <w:bookmarkEnd w:id="40"/>
    <w:bookmarkStart w:id="65" w:name="appendix"/>
    <w:p>
      <w:pPr>
        <w:pStyle w:val="Heading2"/>
      </w:pPr>
      <w:r>
        <w:t xml:space="preserve">Appendix</w:t>
      </w:r>
    </w:p>
    <w:p>
      <w:pPr>
        <w:pStyle w:val="FirstParagraph"/>
      </w:pPr>
      <w:r>
        <w:t xml:space="preserve">The findings by</w:t>
      </w:r>
      <w:r>
        <w:t xml:space="preserve"> </w:t>
      </w:r>
      <w:hyperlink r:id="rId24">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4" w:name="representation-similarity"/>
    <w:p>
      <w:pPr>
        <w:pStyle w:val="Heading3"/>
      </w:pPr>
      <w:r>
        <w:t xml:space="preserve">Representation similarity</w:t>
      </w:r>
    </w:p>
    <w:p>
      <w:pPr>
        <w:pStyle w:val="FirstParagraph"/>
      </w:pPr>
      <w:r>
        <w:t xml:space="preserve">We first ask about how the representation changes between Gemma and DiffusionGemma. A simple way is to just measure overlap between pairs of inputs, where each element of the pair is fed through Gemma or DiffusionGemma, respectively. We here compare a simple cosine similarity, and centered kernel analysis (CKA).</w:t>
      </w:r>
    </w:p>
    <w:p>
      <w:pPr>
        <w:pStyle w:val="CaptionedFigure"/>
      </w:pPr>
      <w:r>
        <w:drawing>
          <wp:inline>
            <wp:extent cx="5334000" cy="2125265"/>
            <wp:effectExtent b="0" l="0" r="0" t="0"/>
            <wp:docPr descr="RSA cosine and CKA" title="" id="42" name="Picture"/>
            <a:graphic>
              <a:graphicData uri="http://schemas.openxmlformats.org/drawingml/2006/picture">
                <pic:pic>
                  <pic:nvPicPr>
                    <pic:cNvPr descr="figs/figA1_rsa_cosine_cka.png" id="43" name="Picture"/>
                    <pic:cNvPicPr>
                      <a:picLocks noChangeArrowheads="1" noChangeAspect="1"/>
                    </pic:cNvPicPr>
                  </pic:nvPicPr>
                  <pic:blipFill>
                    <a:blip r:embed="rId41"/>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i/>
          <w:iCs/>
        </w:rPr>
        <w:t xml:space="preserve">Representational similarity falls with layers, and is significantly driven by bare model difference and bidirectional attention.</w:t>
      </w:r>
    </w:p>
    <w:p>
      <w:pPr>
        <w:pStyle w:val="BodyText"/>
      </w:pPr>
      <w:r>
        <w:t xml:space="preserve">A priori, this rather large drop suggests a significant change in how the representation is organized, which we then went on to test more specifically.</w:t>
      </w:r>
    </w:p>
    <w:bookmarkEnd w:id="44"/>
    <w:bookmarkStart w:id="50" w:name="probe-retention"/>
    <w:p>
      <w:pPr>
        <w:pStyle w:val="Heading3"/>
      </w:pPr>
      <w:r>
        <w:t xml:space="preserve">Probe retention</w:t>
      </w:r>
    </w:p>
    <w:p>
      <w:pPr>
        <w:pStyle w:val="FirstParagraph"/>
      </w:pPr>
      <w:r>
        <w:t xml:space="preserve">Probing allows to study how well a model separates concepts. We use 56 binary concept datasets from the SAE-Probes benchmark (</w:t>
      </w:r>
      <w:hyperlink r:id="rId45">
        <w:r>
          <w:rPr>
            <w:rStyle w:val="Hyperlink"/>
          </w:rPr>
          <w:t xml:space="preserve">Kantamneni et al., 2025</w:t>
        </w:r>
      </w:hyperlink>
      <w:r>
        <w:t xml:space="preserve">) and train logistic-regression probes on gemma-4’s residual stream (1024 training examples per concept), optimizing the layer via heldout AUC. We then test this probe on DG.</w:t>
      </w:r>
    </w:p>
    <w:p>
      <w:pPr>
        <w:pStyle w:val="CaptionedFigure"/>
      </w:pPr>
      <w:r>
        <w:drawing>
          <wp:inline>
            <wp:extent cx="5334000" cy="3988646"/>
            <wp:effectExtent b="0" l="0" r="0" t="0"/>
            <wp:docPr descr="Probe retention" title="" id="47" name="Picture"/>
            <a:graphic>
              <a:graphicData uri="http://schemas.openxmlformats.org/drawingml/2006/picture">
                <pic:pic>
                  <pic:nvPicPr>
                    <pic:cNvPr descr="figs/figA2_probe_retention.png" id="48" name="Picture"/>
                    <pic:cNvPicPr>
                      <a:picLocks noChangeArrowheads="1" noChangeAspect="1"/>
                    </pic:cNvPicPr>
                  </pic:nvPicPr>
                  <pic:blipFill>
                    <a:blip r:embed="rId46"/>
                    <a:stretch>
                      <a:fillRect/>
                    </a:stretch>
                  </pic:blipFill>
                  <pic:spPr bwMode="auto">
                    <a:xfrm>
                      <a:off x="0" y="0"/>
                      <a:ext cx="5334000" cy="39886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the same gemma-trained probe scores gemma-4 and DG activations near-identically. Ticks: &lt;read model&gt; · &lt;attention mode&gt; · &lt;read position&gt; —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9"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9"/>
    <w:bookmarkEnd w:id="50"/>
    <w:bookmarkStart w:id="55"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51">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must identify the</w:t>
      </w:r>
      <w:r>
        <w:t xml:space="preserve"> </w:t>
      </w:r>
      <m:oMath>
        <m:r>
          <m:rPr>
            <m:sty m:val="p"/>
          </m:rPr>
          <m:t>+</m:t>
        </m:r>
      </m:oMath>
      <w:r>
        <w:t xml:space="preserve">steer one.</w:t>
      </w:r>
    </w:p>
    <w:p>
      <w:pPr>
        <w:pStyle w:val="CaptionedFigure"/>
      </w:pPr>
      <w:r>
        <w:drawing>
          <wp:inline>
            <wp:extent cx="5334000" cy="7023100"/>
            <wp:effectExtent b="0" l="0" r="0" t="0"/>
            <wp:docPr descr="Steering retention" title="" id="53" name="Picture"/>
            <a:graphic>
              <a:graphicData uri="http://schemas.openxmlformats.org/drawingml/2006/picture">
                <pic:pic>
                  <pic:nvPicPr>
                    <pic:cNvPr descr="figs/figA3_steer_retention.png" id="54" name="Picture"/>
                    <pic:cNvPicPr>
                      <a:picLocks noChangeArrowheads="1" noChangeAspect="1"/>
                    </pic:cNvPicPr>
                  </pic:nvPicPr>
                  <pic:blipFill>
                    <a:blip r:embed="rId52"/>
                    <a:stretch>
                      <a:fillRect/>
                    </a:stretch>
                  </pic:blipFill>
                  <pic:spPr bwMode="auto">
                    <a:xfrm>
                      <a:off x="0" y="0"/>
                      <a:ext cx="5334000" cy="7023100"/>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5"/>
    <w:bookmarkStart w:id="60" w:name="j-lens-retention"/>
    <w:p>
      <w:pPr>
        <w:pStyle w:val="Heading3"/>
      </w:pPr>
      <w:r>
        <w:t xml:space="preserve">J-Lens retention</w:t>
      </w:r>
    </w:p>
    <w:p>
      <w:pPr>
        <w:pStyle w:val="FirstParagraph"/>
      </w:pPr>
      <w:r>
        <w:t xml:space="preserve">The</w:t>
      </w:r>
      <w:r>
        <w:t xml:space="preserve"> </w:t>
      </w:r>
      <w:hyperlink r:id="rId56">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is disposed to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569460"/>
            <wp:effectExtent b="0" l="0" r="0" t="0"/>
            <wp:docPr descr="J-Lens retention" title="" id="58" name="Picture"/>
            <a:graphic>
              <a:graphicData uri="http://schemas.openxmlformats.org/drawingml/2006/picture">
                <pic:pic>
                  <pic:nvPicPr>
                    <pic:cNvPr descr="figs/figA4_jlens_retention.png" id="59" name="Picture"/>
                    <pic:cNvPicPr>
                      <a:picLocks noChangeArrowheads="1" noChangeAspect="1"/>
                    </pic:cNvPicPr>
                  </pic:nvPicPr>
                  <pic:blipFill>
                    <a:blip r:embed="rId57"/>
                    <a:stretch>
                      <a:fillRect/>
                    </a:stretch>
                  </pic:blipFill>
                  <pic:spPr bwMode="auto">
                    <a:xfrm>
                      <a:off x="0" y="0"/>
                      <a:ext cx="5334000" cy="4569460"/>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6">
        <w:r>
          <w:rPr>
            <w:rStyle w:val="Hyperlink"/>
            <w:i/>
            <w:iCs/>
          </w:rPr>
          <w:t xml:space="preserve">J-Lens paper</w:t>
        </w:r>
      </w:hyperlink>
      <w:r>
        <w:rPr>
          <w:i/>
          <w:iCs/>
        </w:rPr>
        <w:t xml:space="preserve">). Bottom: An example poetry eval task, where the models surface the rhyme already one line in advance. Ticks show the fitted Jacobian estimator:</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and the expectation is taken over samples</w:t>
      </w:r>
      <w:r>
        <w:rPr>
          <w:i/>
          <w:iCs/>
        </w:rPr>
        <w:t xml:space="preserve"> </w:t>
      </w:r>
      <m:oMath>
        <m:r>
          <m:t>X</m:t>
        </m:r>
      </m:oMath>
      <w:r>
        <w:rPr>
          <w:i/>
          <w:iCs/>
        </w:rPr>
        <w:t xml:space="preserve"> </w:t>
      </w:r>
      <w:r>
        <w:rPr>
          <w:i/>
          <w:iCs/>
        </w:rPr>
        <w:t xml:space="preserve">of WikiText.</w:t>
      </w:r>
    </w:p>
    <w:bookmarkEnd w:id="60"/>
    <w:bookmarkStart w:id="64"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fall leaves as soon as leaves fall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when ablating</w:t>
      </w:r>
      <w:r>
        <w:t xml:space="preserve"> </w:t>
      </w:r>
      <w:r>
        <w:rPr>
          <w:i/>
          <w:iCs/>
        </w:rPr>
        <w:t xml:space="preserve">idiom</w:t>
      </w:r>
      <w:r>
        <w:t xml:space="preserve">’s tokens, the transition can be prevented. Note however that early and late ablation do not have this effect.</w:t>
      </w:r>
    </w:p>
    <w:p>
      <w:pPr>
        <w:pStyle w:val="CaptionedFigure"/>
      </w:pPr>
      <w:r>
        <w:drawing>
          <wp:inline>
            <wp:extent cx="5334000" cy="4348369"/>
            <wp:effectExtent b="0" l="0" r="0" t="0"/>
            <wp:docPr descr="Seasonal vs idiom: ember kill" title="" id="62" name="Picture"/>
            <a:graphic>
              <a:graphicData uri="http://schemas.openxmlformats.org/drawingml/2006/picture">
                <pic:pic>
                  <pic:nvPicPr>
                    <pic:cNvPr descr="figs/figA5_seasonal_ember_kill.png" id="63" name="Picture"/>
                    <pic:cNvPicPr>
                      <a:picLocks noChangeArrowheads="1" noChangeAspect="1"/>
                    </pic:cNvPicPr>
                  </pic:nvPicPr>
                  <pic:blipFill>
                    <a:blip r:embed="rId61"/>
                    <a:stretch>
                      <a:fillRect/>
                    </a:stretch>
                  </pic:blipFill>
                  <pic:spPr bwMode="auto">
                    <a:xfrm>
                      <a:off x="0" y="0"/>
                      <a:ext cx="5334000" cy="4348369"/>
                    </a:xfrm>
                    <a:prstGeom prst="rect">
                      <a:avLst/>
                    </a:prstGeom>
                    <a:noFill/>
                    <a:ln w="9525">
                      <a:noFill/>
                      <a:headEnd/>
                      <a:tailEnd/>
                    </a:ln>
                  </pic:spPr>
                </pic:pic>
              </a:graphicData>
            </a:graphic>
          </wp:inline>
        </w:drawing>
      </w:r>
    </w:p>
    <w:p>
      <w:pPr>
        <w:pStyle w:val="ImageCaption"/>
      </w:pPr>
      <w:r>
        <w:t xml:space="preserve">Seasonal vs idiom: ember kill</w:t>
      </w:r>
    </w:p>
    <w:p>
      <w:pPr>
        <w:pStyle w:val="BodyText"/>
      </w:pPr>
      <w:r>
        <w:rPr>
          <w:b/>
          <w:bCs/>
          <w:i/>
          <w:iCs/>
        </w:rPr>
        <w:t xml:space="preserve">Ablating a nascent contender can prevent takeover (during an intermediate step window).</w:t>
      </w:r>
      <w:r>
        <w:rPr>
          <w:i/>
          <w:iCs/>
        </w:rPr>
        <w:t xml:space="preserve"> </w:t>
      </w:r>
      <w:r>
        <w:rPr>
          <w:i/>
          <w:iCs/>
        </w:rPr>
        <w:t xml:space="preserve">Probability mass of the two completions at the contested slots, summed over comprising tokens (black: idiom, purple: seasonal). Top row: The base run. Bottom three rows: single-step ablations of the idiom’s</w:t>
      </w:r>
      <w:r>
        <w:rPr>
          <w:i/>
          <w:iCs/>
        </w:rPr>
        <w:t xml:space="preserve"> </w:t>
      </w:r>
      <m:oMath>
        <m:r>
          <m:rPr>
            <m:sty m:val="b"/>
          </m:rPr>
          <m:t>s</m:t>
        </m:r>
      </m:oMath>
      <w:r>
        <w:rPr>
          <w:i/>
          <w:iCs/>
        </w:rPr>
        <w:t xml:space="preserve">-mass (red ×).</w:t>
      </w:r>
    </w:p>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2026-08-02T23:03:41Z</dcterms:created>
  <dcterms:modified xsi:type="dcterms:W3CDTF">2026-08-02T23:03:41Z</dcterms:modified>
</cp:coreProperties>
</file>

<file path=docProps/custom.xml><?xml version="1.0" encoding="utf-8"?>
<Properties xmlns="http://schemas.openxmlformats.org/officeDocument/2006/custom-properties" xmlns:vt="http://schemas.openxmlformats.org/officeDocument/2006/docPropsVTypes"/>
</file>