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35.png" ContentType="image/png"/>
  <Override PartName="/word/media/rId83.png" ContentType="image/png"/>
  <Override PartName="/word/media/rId41.png" ContentType="image/png"/>
  <Override PartName="/word/media/rId46.png" ContentType="image/png"/>
  <Override PartName="/word/media/rId52.png" ContentType="image/png"/>
  <Override PartName="/word/media/rId57.png" ContentType="image/png"/>
  <Override PartName="/word/media/rId64.png" ContentType="image/png"/>
  <Override PartName="/word/media/rId60.png" ContentType="image/png"/>
  <Override PartName="/word/media/rId67.png" ContentType="image/png"/>
  <Override PartName="/word/media/rId72.png" ContentType="image/png"/>
  <Override PartName="/word/media/rId75.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underlines the paper’s conclusion that DiffusionGemma remains highly monitorable, while nevertheless showing that there are cases where models can learn to use vector-valued information.</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Importantly,</w:t>
      </w:r>
      <w:r>
        <w:t xml:space="preserve"> </w:t>
      </w:r>
      <m:oMath>
        <m:sSup>
          <m:e>
            <m:r>
              <m:t>X</m:t>
            </m:r>
          </m:e>
          <m:sup>
            <m:r>
              <m:t>t</m:t>
            </m:r>
          </m:sup>
        </m:sSup>
      </m:oMath>
      <w:r>
        <w:t xml:space="preserve"> </w:t>
      </w:r>
      <w:r>
        <w:t xml:space="preserve">attends bidirectionally to itself, and causally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of DG significantly dropped. Thus somehow the information in</w:t>
      </w:r>
      <w:r>
        <w:t xml:space="preserve"> </w:t>
      </w:r>
      <m:oMath>
        <m:sSup>
          <m:e>
            <m:r>
              <m:rPr>
                <m:sty m:val="b"/>
              </m:rPr>
              <m:t>s</m:t>
            </m:r>
          </m:e>
          <m:sup>
            <m:r>
              <m:t>t</m:t>
            </m:r>
          </m:sup>
        </m:sSup>
      </m:oMath>
      <w:r>
        <w:t xml:space="preserve"> </w:t>
      </w:r>
      <w:r>
        <w:t xml:space="preserve">seemed to have been essential to DiffusionGemma,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i/>
          <w:iCs/>
        </w:rPr>
        <w:t xml:space="preserve">A gentler sampler prevents the degenerate loop that caused performance degradation on top-k truncating the distributional state</w:t>
      </w:r>
      <w:r>
        <w:rPr>
          <w:i/>
          <w:iCs/>
        </w:rPr>
        <w:t xml:space="preserve"> </w:t>
      </w:r>
      <m:oMath>
        <m:sSup>
          <m:e>
            <m:r>
              <m:rPr>
                <m:sty m:val="b"/>
              </m:rPr>
              <m:t>s</m:t>
            </m:r>
          </m:e>
          <m:sup>
            <m:r>
              <m:t>t</m:t>
            </m:r>
          </m:sup>
        </m:sSup>
      </m:oMath>
      <w:r>
        <w:rPr>
          <w:i/>
          <w:iCs/>
        </w:rPr>
        <w:t xml:space="preserve"> </w:t>
      </w:r>
      <w:r>
        <w:rPr>
          <w:i/>
          <w:iCs/>
        </w:rPr>
        <w:t xml:space="preserve">observed in</w:t>
      </w:r>
      <w:r>
        <w:rPr>
          <w:i/>
          <w:iCs/>
        </w:rPr>
        <w:t xml:space="preserve"> </w:t>
      </w:r>
      <w:hyperlink r:id="rId24">
        <w:r>
          <w:rPr>
            <w:rStyle w:val="Hyperlink"/>
            <w:i/>
            <w:iCs/>
          </w:rPr>
          <w:t xml:space="preserve">Engels et al.</w:t>
        </w:r>
      </w:hyperlink>
      <w:r>
        <w:t xml:space="preserve">.</w:t>
      </w:r>
    </w:p>
    <w:bookmarkEnd w:id="28"/>
    <w:bookmarkStart w:id="39"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Today the weather is _</w:t>
      </w:r>
      <w:r>
        <w:t xml:space="preserve">, with</w:t>
      </w:r>
      <w:r>
        <w:t xml:space="preserve"> </w:t>
      </w:r>
      <w:r>
        <w:rPr>
          <w:rStyle w:val="VerbatimChar"/>
        </w:rPr>
        <w:t xml:space="preserve">rainy</w:t>
      </w:r>
      <w:r>
        <w:t xml:space="preserve">and</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i/>
          <w:iCs/>
        </w:rPr>
        <w:t xml:space="preserve">Perturbing subleading tokens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i/>
          <w:iCs/>
        </w:rPr>
        <w:t xml:space="preserve">Example of one intervention: a subleading injection on</w:t>
      </w:r>
      <w:r>
        <w:rPr>
          <w:i/>
          <w:iCs/>
        </w:rPr>
        <w:t xml:space="preserve"> </w:t>
      </w:r>
      <w:r>
        <w:rPr>
          <w:rStyle w:val="VerbatimChar"/>
          <w:i/>
          <w:iCs/>
        </w:rPr>
        <w:t xml:space="preserve">H</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swings the answer slot from</w:t>
      </w:r>
      <w:r>
        <w:rPr>
          <w:i/>
          <w:iCs/>
        </w:rPr>
        <w:t xml:space="preserve"> </w:t>
      </w:r>
      <w:r>
        <w:rPr>
          <w:rStyle w:val="VerbatimChar"/>
          <w:i/>
          <w:iCs/>
        </w:rPr>
        <w:t xml:space="preserve">J</w:t>
      </w:r>
      <w:r>
        <w:rPr>
          <w:i/>
          <w:iCs/>
        </w:rPr>
        <w:t xml:space="preserve"> </w:t>
      </w:r>
      <w:r>
        <w:rPr>
          <w:i/>
          <w:iCs/>
        </w:rPr>
        <w:t xml:space="preserve">to</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Start w:id="38" w:name="parallelism"/>
    <w:p>
      <w:pPr>
        <w:pStyle w:val="Heading3"/>
      </w:pPr>
      <w:r>
        <w:t xml:space="preserve">Parallelism</w:t>
      </w:r>
    </w:p>
    <w:p>
      <w:pPr>
        <w:pStyle w:val="FirstParagraph"/>
      </w:pPr>
      <w:r>
        <w:t xml:space="preserve">This simple response behavior begs the question whether it is possible to perturb</w:t>
      </w:r>
      <w:r>
        <w:t xml:space="preserve"> </w:t>
      </w:r>
      <m:oMath>
        <m:r>
          <m:t>n</m:t>
        </m:r>
        <m:r>
          <m:rPr>
            <m:sty m:val="p"/>
          </m:rPr>
          <m:t>&gt;</m:t>
        </m:r>
        <m:r>
          <m:t>1</m:t>
        </m:r>
      </m:oMath>
      <w:r>
        <w:t xml:space="preserve"> </w:t>
      </w:r>
      <w:r>
        <w:t xml:space="preserve">source letters</w:t>
      </w:r>
      <w:r>
        <w:t xml:space="preserve"> </w:t>
      </w:r>
      <w:r>
        <w:rPr>
          <w:i/>
          <w:iCs/>
        </w:rPr>
        <w:t xml:space="preserve">simultaneously</w:t>
      </w:r>
      <w:r>
        <w:t xml:space="preserve"> </w:t>
      </w:r>
      <w:r>
        <w:t xml:space="preserve">(again, keeping them subleading) and see whether the corresponding target images respond. To this end, we measure responses</w:t>
      </w:r>
      <w:r>
        <w:t xml:space="preserve"> </w:t>
      </w:r>
      <m:oMath>
        <m:r>
          <m:rPr>
            <m:sty m:val="p"/>
          </m:rPr>
          <m:t>⟨</m:t>
        </m:r>
        <m:r>
          <m:t>R</m:t>
        </m:r>
        <m:sSub>
          <m:e>
            <m:r>
              <m:rPr>
                <m:sty m:val="p"/>
              </m:rPr>
              <m:t>⟩</m:t>
            </m:r>
          </m:e>
          <m:sub>
            <m:r>
              <m:t>T</m:t>
            </m:r>
          </m:sub>
        </m:sSub>
      </m:oMath>
      <w:r>
        <w:t xml:space="preserve"> </w:t>
      </w:r>
      <w:r>
        <w:t xml:space="preserve">and</w:t>
      </w:r>
      <w:r>
        <w:t xml:space="preserve"> </w:t>
      </w:r>
      <m:oMath>
        <m:r>
          <m:rPr>
            <m:sty m:val="p"/>
          </m:rPr>
          <m:t>⟨</m:t>
        </m:r>
        <m:r>
          <m:t>R</m:t>
        </m:r>
        <m:sSub>
          <m:e>
            <m:r>
              <m:rPr>
                <m:sty m:val="p"/>
              </m:rPr>
              <m:t>⟩</m:t>
            </m:r>
          </m:e>
          <m:sub>
            <m:r>
              <m:t>N</m:t>
            </m:r>
          </m:sub>
        </m:sSub>
      </m:oMath>
      <w:r>
        <w:t xml:space="preserve"> </w:t>
      </w:r>
      <w:r>
        <w:t xml:space="preserve">averaged over the target and non-target sets, respectively, and introduce the</w:t>
      </w:r>
      <w:r>
        <w:t xml:space="preserve"> </w:t>
      </w:r>
      <w:r>
        <w:rPr>
          <w:i/>
          <w:iCs/>
        </w:rPr>
        <w:t xml:space="preserve">effect</w:t>
      </w:r>
      <w:r>
        <w:t xml:space="preserve"> </w:t>
      </w:r>
      <m:oMath>
        <m:r>
          <m:t>E</m:t>
        </m:r>
        <m:r>
          <m:rPr>
            <m:sty m:val="p"/>
          </m:rPr>
          <m:t>=</m:t>
        </m:r>
        <m:r>
          <m:rPr>
            <m:sty m:val="p"/>
          </m:rPr>
          <m:t>⟨</m:t>
        </m:r>
        <m:r>
          <m:t>R</m:t>
        </m:r>
        <m:sSub>
          <m:e>
            <m:r>
              <m:rPr>
                <m:sty m:val="p"/>
              </m:rPr>
              <m:t>⟩</m:t>
            </m:r>
          </m:e>
          <m:sub>
            <m:r>
              <m:t>T</m:t>
            </m:r>
          </m:sub>
        </m:sSub>
        <m:r>
          <m:rPr>
            <m:sty m:val="p"/>
          </m:rPr>
          <m:t>−</m:t>
        </m:r>
        <m:r>
          <m:rPr>
            <m:sty m:val="p"/>
          </m:rPr>
          <m:t>⟨</m:t>
        </m:r>
        <m:r>
          <m:t>R</m:t>
        </m:r>
        <m:sSub>
          <m:e>
            <m:r>
              <m:rPr>
                <m:sty m:val="p"/>
              </m:rPr>
              <m:t>⟩</m:t>
            </m:r>
          </m:e>
          <m:sub>
            <m:r>
              <m:t>N</m:t>
            </m:r>
          </m:sub>
        </m:sSub>
      </m:oMath>
      <w:r>
        <w:t xml:space="preserve">. Because we now inject mass at multiple positions and observe proportionally scaled response, we calculate a</w:t>
      </w:r>
      <w:r>
        <w:t xml:space="preserve"> </w:t>
      </w:r>
      <w:r>
        <w:rPr>
          <w:i/>
          <w:iCs/>
        </w:rPr>
        <w:t xml:space="preserve">normalized effect</w:t>
      </w:r>
      <w:r>
        <w:t xml:space="preserve"> </w:t>
      </w:r>
      <m:oMath>
        <m:r>
          <m:t>N</m:t>
        </m:r>
        <m:r>
          <m:t>E</m:t>
        </m:r>
      </m:oMath>
      <w:r>
        <w:t xml:space="preserve">.</w:t>
      </w:r>
    </w:p>
    <w:p>
      <w:pPr>
        <w:pStyle w:val="CaptionedFigure"/>
      </w:pPr>
      <w:r>
        <w:drawing>
          <wp:inline>
            <wp:extent cx="5334000" cy="1700212"/>
            <wp:effectExtent b="0" l="0" r="0" t="0"/>
            <wp:docPr descr="Parallelism triptych" title="" id="36" name="Picture"/>
            <a:graphic>
              <a:graphicData uri="http://schemas.openxmlformats.org/drawingml/2006/picture">
                <pic:pic>
                  <pic:nvPicPr>
                    <pic:cNvPr descr="figs/fig2b_triptych.png" id="37" name="Picture"/>
                    <pic:cNvPicPr>
                      <a:picLocks noChangeArrowheads="1" noChangeAspect="1"/>
                    </pic:cNvPicPr>
                  </pic:nvPicPr>
                  <pic:blipFill>
                    <a:blip r:embed="rId35"/>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Parallelism triptych</w:t>
      </w:r>
    </w:p>
    <w:p>
      <w:pPr>
        <w:pStyle w:val="BodyText"/>
      </w:pPr>
      <w:r>
        <w:rPr>
          <w:i/>
          <w:iCs/>
        </w:rPr>
        <w:t xml:space="preserve">DiffusionGemma does simultaneous letter arithmetic to about a capacity of</w:t>
      </w:r>
      <w:r>
        <w:rPr>
          <w:i/>
          <w:iCs/>
        </w:rPr>
        <w:t xml:space="preserve"> </w:t>
      </w:r>
      <m:oMath>
        <m:r>
          <m:t>n</m:t>
        </m:r>
        <m:r>
          <m:rPr>
            <m:sty m:val="p"/>
          </m:rPr>
          <m:t>=</m:t>
        </m:r>
        <m:r>
          <m:t>4</m:t>
        </m:r>
      </m:oMath>
      <w:r>
        <w:rPr>
          <w:i/>
          <w:iCs/>
        </w:rPr>
        <w:t xml:space="preserve">.</w:t>
      </w:r>
    </w:p>
    <w:p>
      <w:pPr>
        <w:pStyle w:val="BodyText"/>
      </w:pPr>
      <w:r>
        <w:t xml:space="preserve">This behavior is plausible considering the computation in question: a shift is easily implemented by a linear rotation in representation space. Therefore, superpositions of letters will be transported to superpositions of responses. Overall, this leaves an interpretable picture.</w:t>
      </w:r>
    </w:p>
    <w:bookmarkEnd w:id="38"/>
    <w:bookmarkEnd w:id="39"/>
    <w:bookmarkStart w:id="40"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(parallel)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reasearch.</w:t>
      </w:r>
    </w:p>
    <w:bookmarkEnd w:id="40"/>
    <w:bookmarkStart w:id="87"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4" w:name="representation-similarity"/>
    <w:p>
      <w:pPr>
        <w:pStyle w:val="Heading3"/>
      </w:pPr>
      <w:r>
        <w:t xml:space="preserve">Representation similarity</w:t>
      </w:r>
    </w:p>
    <w:p>
      <w:pPr>
        <w:pStyle w:val="FirstParagraph"/>
      </w:pPr>
      <w:r>
        <w:t xml:space="preserve">We first ask about how the representation changes between Gemma and DiffusionGemma. A simple way is to just measure overlap between pairs of inputs, where each element of the pair is fed through Gemma or DiffusionGemma, respectively. We here compare a simple cosine similarity, and centered kernel analysis (CKA).</w:t>
      </w:r>
    </w:p>
    <w:p>
      <w:pPr>
        <w:pStyle w:val="CaptionedFigure"/>
      </w:pPr>
      <w:r>
        <w:drawing>
          <wp:inline>
            <wp:extent cx="5334000" cy="2125265"/>
            <wp:effectExtent b="0" l="0" r="0" t="0"/>
            <wp:docPr descr="RSA cosine and CKA" title="" id="42" name="Picture"/>
            <a:graphic>
              <a:graphicData uri="http://schemas.openxmlformats.org/drawingml/2006/picture">
                <pic:pic>
                  <pic:nvPicPr>
                    <pic:cNvPr descr="figs/figA1_rsa_cosine_cka.png" id="43" name="Picture"/>
                    <pic:cNvPicPr>
                      <a:picLocks noChangeArrowheads="1" noChangeAspect="1"/>
                    </pic:cNvPicPr>
                  </pic:nvPicPr>
                  <pic:blipFill>
                    <a:blip r:embed="rId41"/>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i/>
          <w:iCs/>
        </w:rPr>
        <w:t xml:space="preserve">Representational similarity falls with layers, and is significantly driven by bare model difference and bidirectional attention.</w:t>
      </w:r>
    </w:p>
    <w:p>
      <w:pPr>
        <w:pStyle w:val="BodyText"/>
      </w:pPr>
      <w:r>
        <w:t xml:space="preserve">A priori, this rather large drop suggests a significant change in how the representation is organized, which we then went on to test more specifically.</w:t>
      </w:r>
    </w:p>
    <w:bookmarkEnd w:id="44"/>
    <w:bookmarkStart w:id="50" w:name="probe-retention"/>
    <w:p>
      <w:pPr>
        <w:pStyle w:val="Heading3"/>
      </w:pPr>
      <w:r>
        <w:t xml:space="preserve">Probe retention</w:t>
      </w:r>
    </w:p>
    <w:p>
      <w:pPr>
        <w:pStyle w:val="FirstParagraph"/>
      </w:pPr>
      <w:r>
        <w:t xml:space="preserve">Probing allows to study how well a model separates concepts. We use 56 binary concept datasets from the SAE-Probes benchmark (</w:t>
      </w:r>
      <w:hyperlink r:id="rId45">
        <w:r>
          <w:rPr>
            <w:rStyle w:val="Hyperlink"/>
          </w:rPr>
          <w:t xml:space="preserve">Kantamneni et al., 2025</w:t>
        </w:r>
      </w:hyperlink>
      <w:r>
        <w:t xml:space="preserve">) and train logistic-regression probes on gemma-4’s residual stream (up to 1024 training examples per concept; 43/56 at the full budget, minimum 512), optimizing the layer via heldout AUC. We then test this probe on DG.</w:t>
      </w:r>
    </w:p>
    <w:p>
      <w:pPr>
        <w:pStyle w:val="CaptionedFigure"/>
      </w:pPr>
      <w:r>
        <w:drawing>
          <wp:inline>
            <wp:extent cx="5334000" cy="3810846"/>
            <wp:effectExtent b="0" l="0" r="0" t="0"/>
            <wp:docPr descr="Probe retention" title="" id="47" name="Picture"/>
            <a:graphic>
              <a:graphicData uri="http://schemas.openxmlformats.org/drawingml/2006/picture">
                <pic:pic>
                  <pic:nvPicPr>
                    <pic:cNvPr descr="figs/figA2_probe_retention.png" id="48" name="Picture"/>
                    <pic:cNvPicPr>
                      <a:picLocks noChangeArrowheads="1" noChangeAspect="1"/>
                    </pic:cNvPicPr>
                  </pic:nvPicPr>
                  <pic:blipFill>
                    <a:blip r:embed="rId46"/>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the same gemma-trained probe scores gemma-4 and DG activations near-identically. Ticks: &lt;read model&gt; · &lt;attention mode&gt; · &lt;read position&gt; —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9"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9"/>
    <w:bookmarkEnd w:id="50"/>
    <w:bookmarkStart w:id="55"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51">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must identify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53" name="Picture"/>
            <a:graphic>
              <a:graphicData uri="http://schemas.openxmlformats.org/drawingml/2006/picture">
                <pic:pic>
                  <pic:nvPicPr>
                    <pic:cNvPr descr="figs/figA3_steer_retention.png" id="54" name="Picture"/>
                    <pic:cNvPicPr>
                      <a:picLocks noChangeArrowheads="1" noChangeAspect="1"/>
                    </pic:cNvPicPr>
                  </pic:nvPicPr>
                  <pic:blipFill>
                    <a:blip r:embed="rId52"/>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5"/>
    <w:bookmarkStart w:id="63" w:name="j-lens-retention"/>
    <w:p>
      <w:pPr>
        <w:pStyle w:val="Heading3"/>
      </w:pPr>
      <w:r>
        <w:t xml:space="preserve">J-Lens retention</w:t>
      </w:r>
    </w:p>
    <w:p>
      <w:pPr>
        <w:pStyle w:val="FirstParagraph"/>
      </w:pPr>
      <w:r>
        <w:t xml:space="preserve">The</w:t>
      </w:r>
      <w:r>
        <w:t xml:space="preserve"> </w:t>
      </w:r>
      <w:hyperlink r:id="rId56">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is disposed to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8" name="Picture"/>
            <a:graphic>
              <a:graphicData uri="http://schemas.openxmlformats.org/drawingml/2006/picture">
                <pic:pic>
                  <pic:nvPicPr>
                    <pic:cNvPr descr="figs/figA4_jlens_retention.png" id="59" name="Picture"/>
                    <pic:cNvPicPr>
                      <a:picLocks noChangeArrowheads="1" noChangeAspect="1"/>
                    </pic:cNvPicPr>
                  </pic:nvPicPr>
                  <pic:blipFill>
                    <a:blip r:embed="rId57"/>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6">
        <w:r>
          <w:rPr>
            <w:rStyle w:val="Hyperlink"/>
            <w:i/>
            <w:iCs/>
          </w:rPr>
          <w:t xml:space="preserve">J-Lens paper</w:t>
        </w:r>
      </w:hyperlink>
      <w:r>
        <w:rPr>
          <w:i/>
          <w:iCs/>
        </w:rPr>
        <w:t xml:space="preserve">). Bottom: An example poetry eval task, where the models surface the rhyme already one line in advance. Ticks show the fitted Jacobian estimator:</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and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[stub:] Beyond retention, the bidirectional stream also carries information about</w:t>
      </w:r>
      <w:r>
        <w:t xml:space="preserve"> </w:t>
      </w:r>
      <w:r>
        <w:rPr>
          <w:i/>
          <w:iCs/>
        </w:rPr>
        <w:t xml:space="preserve">future</w:t>
      </w:r>
      <w:r>
        <w:t xml:space="preserve"> </w:t>
      </w:r>
      <w:r>
        <w:t xml:space="preserve">positions: on an arithmetic prompt, the lens read at an earlier canvas position already decodes the operation that only appears two tokens later.</w:t>
      </w:r>
    </w:p>
    <w:p>
      <w:pPr>
        <w:pStyle w:val="CaptionedFigure"/>
      </w:pPr>
      <w:r>
        <w:drawing>
          <wp:inline>
            <wp:extent cx="5334000" cy="1197186"/>
            <wp:effectExtent b="0" l="0" r="0" t="0"/>
            <wp:docPr descr="J-Lens future operation" title="" id="61" name="Picture"/>
            <a:graphic>
              <a:graphicData uri="http://schemas.openxmlformats.org/drawingml/2006/picture">
                <pic:pic>
                  <pic:nvPicPr>
                    <pic:cNvPr descr="figs/figA6_jlens_future.png" id="62" name="Picture"/>
                    <pic:cNvPicPr>
                      <a:picLocks noChangeArrowheads="1" noChangeAspect="1"/>
                    </pic:cNvPicPr>
                  </pic:nvPicPr>
                  <pic:blipFill>
                    <a:blip r:embed="rId60"/>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3"/>
    <w:bookmarkStart w:id="70"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Concretely, at every step</w:t>
      </w:r>
      <w:r>
        <w:t xml:space="preserve"> </w:t>
      </w:r>
      <m:oMath>
        <m:r>
          <m:t>t</m:t>
        </m:r>
        <m:r>
          <m:rPr>
            <m:sty m:val="p"/>
          </m:rPr>
          <m:t>≥</m:t>
        </m:r>
        <m:sSub>
          <m:e>
            <m:r>
              <m:t>t</m:t>
            </m:r>
          </m:e>
          <m:sub>
            <m:r>
              <m:rPr>
                <m:sty m:val="p"/>
              </m:rPr>
              <m:t>a</m:t>
            </m:r>
            <m:r>
              <m:rPr>
                <m:sty m:val="p"/>
              </m:rPr>
              <m:t>b</m:t>
            </m:r>
            <m:r>
              <m:rPr>
                <m:sty m:val="p"/>
              </m:rPr>
              <m:t>l</m:t>
            </m:r>
          </m:sub>
        </m:sSub>
      </m:oMath>
      <w:r>
        <w:t xml:space="preserve"> </w:t>
      </w:r>
      <w:r>
        <w:t xml:space="preserve">we zero the idiom tokens’ entries of</w:t>
      </w:r>
      <w:r>
        <w:t xml:space="preserve"> </w:t>
      </w:r>
      <m:oMath>
        <m:sSubSup>
          <m:e>
            <m:r>
              <m:rPr>
                <m:sty m:val="b"/>
              </m:rPr>
              <m:t>s</m:t>
            </m:r>
          </m:e>
          <m:sub>
            <m:r>
              <m:t>i</m:t>
            </m:r>
          </m:sub>
          <m:sup>
            <m:r>
              <m:t>t</m:t>
            </m:r>
          </m:sup>
        </m:sSubSup>
      </m:oMath>
      <w:r>
        <w:t xml:space="preserve"> </w:t>
      </w:r>
      <w:r>
        <w:t xml:space="preserve">at the contested positions</w:t>
      </w:r>
      <w:r>
        <w:t xml:space="preserve"> </w:t>
      </w:r>
      <m:oMath>
        <m:r>
          <m:t>i</m:t>
        </m:r>
      </m:oMath>
      <w:r>
        <w:t xml:space="preserve"> </w:t>
      </w:r>
      <w:r>
        <w:t xml:space="preserve">(before sampling); the canvas</w:t>
      </w:r>
      <w:r>
        <w:t xml:space="preserve"> </w:t>
      </w:r>
      <m:oMath>
        <m:sSup>
          <m:e>
            <m:r>
              <m:t>X</m:t>
            </m:r>
          </m:e>
          <m:sup>
            <m:r>
              <m:t>t</m:t>
            </m:r>
          </m:sup>
        </m:sSup>
      </m:oMath>
      <w:r>
        <w:t xml:space="preserve"> </w:t>
      </w:r>
      <w:r>
        <w:t xml:space="preserve">is never edited and every other position and token is left untouched. What is</w:t>
      </w:r>
      <w:r>
        <w:t xml:space="preserve"> </w:t>
      </w:r>
      <w:r>
        <w:rPr>
          <w:i/>
          <w:iCs/>
        </w:rPr>
        <w:t xml:space="preserve">preserved</w:t>
      </w:r>
      <w:r>
        <w:t xml:space="preserve"> </w:t>
      </w:r>
      <w:r>
        <w:t xml:space="preserve">is thus the model’s own seasonal completion — nothing is injected in its favor.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5" name="Picture"/>
            <a:graphic>
              <a:graphicData uri="http://schemas.openxmlformats.org/drawingml/2006/picture">
                <pic:pic>
                  <pic:nvPicPr>
                    <pic:cNvPr descr="figs/figA5_seasonal_ember_kill.png" id="66" name="Picture"/>
                    <pic:cNvPicPr>
                      <a:picLocks noChangeArrowheads="1" noChangeAspect="1"/>
                    </pic:cNvPicPr>
                  </pic:nvPicPr>
                  <pic:blipFill>
                    <a:blip r:embed="rId64"/>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while it doesn’t require</w:t>
      </w:r>
      <w:r>
        <w:t xml:space="preserve"> </w:t>
      </w:r>
      <m:oMath>
        <m:sSup>
          <m:e>
            <m:r>
              <m:rPr>
                <m:sty m:val="b"/>
              </m:rPr>
              <m:t>s</m:t>
            </m:r>
          </m:e>
          <m:sup>
            <m:r>
              <m:t>t</m:t>
            </m:r>
          </m:sup>
        </m:sSup>
      </m:oMath>
      <w:r>
        <w:t xml:space="preserve">, this is also an instance of</w:t>
      </w:r>
      <w:r>
        <w:t xml:space="preserve"> </w:t>
      </w:r>
      <w:r>
        <w:rPr>
          <w:b/>
          <w:bCs/>
        </w:rPr>
        <w:t xml:space="preserve">self-correction</w:t>
      </w:r>
      <w:r>
        <w:t xml:space="preserve">.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p>
      <w:pPr>
        <w:pStyle w:val="CaptionedFigure"/>
      </w:pPr>
      <w:r>
        <w:drawing>
          <wp:inline>
            <wp:extent cx="5334000" cy="4012353"/>
            <wp:effectExtent b="0" l="0" r="0" t="0"/>
            <wp:docPr descr="Constraint margins" title="" id="68" name="Picture"/>
            <a:graphic>
              <a:graphicData uri="http://schemas.openxmlformats.org/drawingml/2006/picture">
                <pic:pic>
                  <pic:nvPicPr>
                    <pic:cNvPr descr="figs/figA7_constraint_margins.png" id="69" name="Picture"/>
                    <pic:cNvPicPr>
                      <a:picLocks noChangeArrowheads="1" noChangeAspect="1"/>
                    </pic:cNvPicPr>
                  </pic:nvPicPr>
                  <pic:blipFill>
                    <a:blip r:embed="rId67"/>
                    <a:stretch>
                      <a:fillRect/>
                    </a:stretch>
                  </pic:blipFill>
                  <pic:spPr bwMode="auto">
                    <a:xfrm>
                      <a:off x="0" y="0"/>
                      <a:ext cx="5334000" cy="4012353"/>
                    </a:xfrm>
                    <a:prstGeom prst="rect">
                      <a:avLst/>
                    </a:prstGeom>
                    <a:noFill/>
                    <a:ln w="9525">
                      <a:noFill/>
                      <a:headEnd/>
                      <a:tailEnd/>
                    </a:ln>
                  </pic:spPr>
                </pic:pic>
              </a:graphicData>
            </a:graphic>
          </wp:inline>
        </w:drawing>
      </w:r>
    </w:p>
    <w:p>
      <w:pPr>
        <w:pStyle w:val="ImageCaption"/>
      </w:pPr>
      <w:r>
        <w:t xml:space="preserve">Constraint margins</w:t>
      </w:r>
    </w:p>
    <w:p>
      <w:pPr>
        <w:pStyle w:val="BodyText"/>
      </w:pPr>
      <w:r>
        <w:rPr>
          <w:b/>
          <w:bCs/>
          <w:i/>
          <w:iCs/>
        </w:rPr>
        <w:t xml:space="preserve">Drafts transiently violate the constraint and are only patched late.</w:t>
      </w:r>
      <w:r>
        <w:rPr>
          <w:i/>
          <w:iCs/>
        </w:rPr>
        <w:t xml:space="preserve"> </w:t>
      </w:r>
      <w:r>
        <w:rPr>
          <w:i/>
          <w:iCs/>
        </w:rPr>
        <w:t xml:space="preserve">Constraint margin (number of violations) on a constrained writing task (word palindrome, hot sampler), over linearly warped diffusion time</w:t>
      </w:r>
      <w:r>
        <w:rPr>
          <w:i/>
          <w:iCs/>
        </w:rPr>
        <w:t xml:space="preserve"> </w:t>
      </w:r>
      <m:oMath>
        <m:r>
          <m:t>τ</m:t>
        </m:r>
      </m:oMath>
      <w:r>
        <w:rPr>
          <w:i/>
          <w:iCs/>
        </w:rPr>
        <w:t xml:space="preserve"> </w:t>
      </w:r>
      <w:r>
        <w:rPr>
          <w:i/>
          <w:iCs/>
        </w:rPr>
        <w:t xml:space="preserve">(each run’s active phase normalized so its last margin change sits at</w:t>
      </w:r>
      <w:r>
        <w:rPr>
          <w:i/>
          <w:iCs/>
        </w:rPr>
        <w:t xml:space="preserve"> </w:t>
      </w:r>
      <m:oMath>
        <m:r>
          <m:t>τ</m:t>
        </m:r>
        <m:r>
          <m:rPr>
            <m:sty m:val="p"/>
          </m:rPr>
          <m:t>=</m:t>
        </m:r>
        <m:r>
          <m:t>1</m:t>
        </m:r>
      </m:oMath>
      <w:r>
        <w:rPr>
          <w:i/>
          <w:iCs/>
        </w:rPr>
        <w:t xml:space="preserve">; green = runs that escape to a valid sentence, orange = trapped, blue = clean). Bottom: three decoded canvases of the flagship escape run — the mid-run draft still violates the constraint before the late repair lands on a valid palindrome. This is the same rollout family as the seasonal → idiom example above.</w:t>
      </w:r>
    </w:p>
    <w:bookmarkEnd w:id="70"/>
    <w:bookmarkStart w:id="82" w:name="post-hoc-rationalization"/>
    <w:p>
      <w:pPr>
        <w:pStyle w:val="Heading3"/>
      </w:pPr>
      <w:r>
        <w:t xml:space="preserve">Post-hoc rationalization</w:t>
      </w:r>
    </w:p>
    <w:p>
      <w:pPr>
        <w:pStyle w:val="FirstParagraph"/>
      </w:pPr>
      <w:r>
        <w:t xml:space="preserve">An important question in monitorability (</w:t>
      </w:r>
      <w:hyperlink r:id="rId71">
        <w:r>
          <w:rPr>
            <w:rStyle w:val="Hyperlink"/>
          </w:rPr>
          <w:t xml:space="preserve">Bogdan et al., 2025</w:t>
        </w:r>
      </w:hyperlink>
      <w:r>
        <w:t xml:space="preserve">) is whether the CoT is actually being used. An approach to measure this is to intervene on a fragment of the CoT, and see whether the answer changes.</w:t>
      </w:r>
    </w:p>
    <w:p>
      <w:pPr>
        <w:pStyle w:val="BodyText"/>
      </w:pPr>
      <w:r>
        <w:t xml:space="preserve">For autoregressive models, the answer appears after the CoT. This incentivizes actually using CoT positions to computate the answer. In contrast, DiffusionGemma may arrive at an answer throughout multiple steps of computation, and then fill in a CoT post-hoc to match the format of the training distribution. An increased presence of such post-hoc rationalization relative to Gemma would be a blackpill for DiffusionGemma’s monitorabiltiy.</w:t>
      </w:r>
    </w:p>
    <w:p>
      <w:pPr>
        <w:pStyle w:val="CaptionedFigure"/>
      </w:pPr>
      <w:r>
        <w:drawing>
          <wp:inline>
            <wp:extent cx="5334000" cy="1619249"/>
            <wp:effectExtent b="0" l="0" r="0" t="0"/>
            <wp:docPr descr="Post-hoc correlations" title="" id="73" name="Picture"/>
            <a:graphic>
              <a:graphicData uri="http://schemas.openxmlformats.org/drawingml/2006/picture">
                <pic:pic>
                  <pic:nvPicPr>
                    <pic:cNvPr descr="figs/figA8_posthoc_correlations.png" id="74" name="Picture"/>
                    <pic:cNvPicPr>
                      <a:picLocks noChangeArrowheads="1" noChangeAspect="1"/>
                    </pic:cNvPicPr>
                  </pic:nvPicPr>
                  <pic:blipFill>
                    <a:blip r:embed="rId72"/>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Problem difficulty, CoT load-bearingness, and commitment time correlate.</w:t>
      </w:r>
      <w:r>
        <w:rPr>
          <w:i/>
          <w:iCs/>
        </w:rPr>
        <w:t xml:space="preserve"> </w:t>
      </w:r>
      <w:r>
        <w:rPr>
          <w:i/>
          <w:iCs/>
        </w:rPr>
        <w:t xml:space="preserve">Problem difficulty is measured via an LLM judge, CoT load-bearingness via a susceptiblity: how sensitive the answer is to replacing the CoT with random related tokens, and commitment time is when the answer commits. We consider problems from tasks XXX</w:t>
      </w:r>
    </w:p>
    <w:p>
      <w:pPr>
        <w:pStyle w:val="BodyText"/>
      </w:pPr>
      <w:r>
        <w:t xml:space="preserve">For illustration, consider an easy and a hard problem side by side:</w:t>
      </w:r>
    </w:p>
    <w:p>
      <w:pPr>
        <w:pStyle w:val="CaptionedFigure"/>
      </w:pPr>
      <w:r>
        <w:drawing>
          <wp:inline>
            <wp:extent cx="5334000" cy="4036060"/>
            <wp:effectExtent b="0" l="0" r="0" t="0"/>
            <wp:docPr descr="Post-hoc case study" title="" id="76" name="Picture"/>
            <a:graphic>
              <a:graphicData uri="http://schemas.openxmlformats.org/drawingml/2006/picture">
                <pic:pic>
                  <pic:nvPicPr>
                    <pic:cNvPr descr="figs/figA8b_posthoc_case.png" id="77" name="Picture"/>
                    <pic:cNvPicPr>
                      <a:picLocks noChangeArrowheads="1" noChangeAspect="1"/>
                    </pic:cNvPicPr>
                  </pic:nvPicPr>
                  <pic:blipFill>
                    <a:blip r:embed="rId75"/>
                    <a:stretch>
                      <a:fillRect/>
                    </a:stretch>
                  </pic:blipFill>
                  <pic:spPr bwMode="auto">
                    <a:xfrm>
                      <a:off x="0" y="0"/>
                      <a:ext cx="5334000" cy="4036060"/>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A pair of easy and hard examples illustrating the previous correlation.</w:t>
      </w:r>
      <w:r>
        <w:rPr>
          <w:i/>
          <w:iCs/>
        </w:rPr>
        <w:t xml:space="preserve"> </w:t>
      </w:r>
      <w:r>
        <w:rPr>
          <w:i/>
          <w:iCs/>
        </w:rPr>
        <w:t xml:space="preserve">Top row: normal rollout, model answer highlighted, with its commitment time. Bottom row: the susceptibility, measured like in the previous figure.</w:t>
      </w:r>
    </w:p>
    <w:bookmarkStart w:id="81" w:name="Xabbf9ebb3c7fb0570cb1488d42cd03734ef9222"/>
    <w:p>
      <w:pPr>
        <w:pStyle w:val="Heading4"/>
      </w:pPr>
      <w:r>
        <w:t xml:space="preserve">Load-bearing problems commit the answer only after the CoT</w:t>
      </w:r>
    </w:p>
    <w:p>
      <w:pPr>
        <w:pStyle w:val="FirstParagraph"/>
      </w:pPr>
      <w:r>
        <w:t xml:space="preserve">In the previous paragraph, we found that commitment time of the answer correlates with load-bearingness. A natural hypothesis is whether the load-bearing problems will correspondingly also commit the CoT similarly late.</w:t>
      </w:r>
    </w:p>
    <w:p>
      <w:pPr>
        <w:pStyle w:val="CaptionedFigure"/>
      </w:pPr>
      <w:r>
        <w:drawing>
          <wp:inline>
            <wp:extent cx="5334000" cy="2125265"/>
            <wp:effectExtent b="0" l="0" r="0" t="0"/>
            <wp:docPr descr="Answer resolution" title="" id="79" name="Picture"/>
            <a:graphic>
              <a:graphicData uri="http://schemas.openxmlformats.org/drawingml/2006/picture">
                <pic:pic>
                  <pic:nvPicPr>
                    <pic:cNvPr descr="figs/figA9_resolution.png" id="80" name="Picture"/>
                    <pic:cNvPicPr>
                      <a:picLocks noChangeArrowheads="1" noChangeAspect="1"/>
                    </pic:cNvPicPr>
                  </pic:nvPicPr>
                  <pic:blipFill>
                    <a:blip r:embed="rId78"/>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till the CoT is committed.</w:t>
      </w:r>
      <w:r>
        <w:rPr>
          <w:i/>
          <w:iCs/>
        </w:rPr>
        <w:t xml:space="preserve"> </w:t>
      </w:r>
      <w:r>
        <w:rPr>
          <w:i/>
          <w:iCs/>
        </w:rPr>
        <w:t xml:space="preserve">Mean token entropy of the answer positions (solid) and CoT positions (dashed) per denoising step, one rollout per battery problem, grouped by the measured susceptibility of the answer (</w:t>
      </w:r>
      <m:oMath>
        <m:r>
          <m:t>S</m:t>
        </m:r>
        <m:r>
          <m:rPr>
            <m:sty m:val="p"/>
          </m:rPr>
          <m:t>≤</m:t>
        </m:r>
        <m:r>
          <m:t>0.1</m:t>
        </m:r>
      </m:oMath>
      <w:r>
        <w:rPr>
          <w:i/>
          <w:iCs/>
        </w:rPr>
        <w:t xml:space="preserve"> </w:t>
      </w:r>
      <w:r>
        <w:rPr>
          <w:i/>
          <w:iCs/>
        </w:rPr>
        <w:t xml:space="preserve">vs</w:t>
      </w:r>
      <w:r>
        <w:rPr>
          <w:i/>
          <w:iCs/>
        </w:rPr>
        <w:t xml:space="preserve"> </w:t>
      </w:r>
      <m:oMath>
        <m:r>
          <m:t>S</m:t>
        </m:r>
        <m:r>
          <m:rPr>
            <m:sty m:val="p"/>
          </m:rPr>
          <m:t>≥</m:t>
        </m:r>
        <m:r>
          <m:t>0.3</m:t>
        </m:r>
      </m:oMath>
      <w:r>
        <w:rPr>
          <w:i/>
          <w:iCs/>
        </w:rPr>
        <w:t xml:space="preserve">, faint = single problems, bold = group mean).</w:t>
      </w:r>
      <w:r>
        <w:rPr>
          <w:i/>
          <w:iCs/>
        </w:rPr>
        <w:t xml:space="preserve"> </w:t>
      </w:r>
    </w:p>
    <w:bookmarkEnd w:id="81"/>
    <w:bookmarkEnd w:id="82"/>
    <w:bookmarkStart w:id="86" w:name="Xd7c7dfb66314a32b0174c0001aa6561f67f2b90"/>
    <w:p>
      <w:pPr>
        <w:pStyle w:val="Heading3"/>
      </w:pPr>
      <w:r>
        <w:t xml:space="preserve">How much does DiffusionGemma use bidirectional attention?</w:t>
      </w:r>
    </w:p>
    <w:p>
      <w:pPr>
        <w:pStyle w:val="FirstParagraph"/>
      </w:pPr>
      <w:r>
        <w:t xml:space="preserve">One of the differences in DiffusionGemma is that it has bidirectional attention. While some tasks relying on some form of logical induction require causal left-to-right generation, other task do not obviously require it. However, being a finetune of Gemma, it is unclear how much it will just inherit a bias towards causal generation vs actually using bidirectional generation.</w:t>
      </w:r>
      <w:r>
        <w:t xml:space="preserve"> </w:t>
      </w:r>
      <w:r>
        <w:drawing>
          <wp:inline>
            <wp:extent cx="5334000" cy="1889125"/>
            <wp:effectExtent b="0" l="0" r="0" t="0"/>
            <wp:docPr descr="Commitment causality" title="" id="84" name="Picture"/>
            <a:graphic>
              <a:graphicData uri="http://schemas.openxmlformats.org/drawingml/2006/picture">
                <pic:pic>
                  <pic:nvPicPr>
                    <pic:cNvPr descr="figs/figA11_commit_causality.png" id="85" name="Picture"/>
                    <pic:cNvPicPr>
                      <a:picLocks noChangeArrowheads="1" noChangeAspect="1"/>
                    </pic:cNvPicPr>
                  </pic:nvPicPr>
                  <pic:blipFill>
                    <a:blip r:embed="rId83"/>
                    <a:stretch>
                      <a:fillRect/>
                    </a:stretch>
                  </pic:blipFill>
                  <pic:spPr bwMode="auto">
                    <a:xfrm>
                      <a:off x="0" y="0"/>
                      <a:ext cx="5334000" cy="1889125"/>
                    </a:xfrm>
                    <a:prstGeom prst="rect">
                      <a:avLst/>
                    </a:prstGeom>
                    <a:noFill/>
                    <a:ln w="9525">
                      <a:noFill/>
                      <a:headEnd/>
                      <a:tailEnd/>
                    </a:ln>
                  </pic:spPr>
                </pic:pic>
              </a:graphicData>
            </a:graphic>
          </wp:inline>
        </w:drawing>
      </w:r>
    </w:p>
    <w:p>
      <w:pPr>
        <w:pStyle w:val="BodyText"/>
      </w:pPr>
      <w:r>
        <w:rPr>
          <w:b/>
          <w:bCs/>
          <w:i/>
          <w:iCs/>
        </w:rPr>
        <w:t xml:space="preserve">Commitment order follows the task’s logical direction, but defaults to causality when ambiguous.</w:t>
      </w:r>
      <w:r>
        <w:rPr>
          <w:i/>
          <w:iCs/>
        </w:rPr>
        <w:t xml:space="preserve"> </w:t>
      </w:r>
      <w:r>
        <w:rPr>
          <w:i/>
          <w:iCs/>
        </w:rPr>
        <w:t xml:space="preserve">Center of mass of the canvas positions committed by step</w:t>
      </w:r>
      <w:r>
        <w:rPr>
          <w:i/>
          <w:iCs/>
        </w:rPr>
        <w:t xml:space="preserve"> </w:t>
      </w:r>
      <m:oMath>
        <m:r>
          <m:t>t</m:t>
        </m:r>
      </m:oMath>
      <w:r>
        <w:rPr>
          <w:i/>
          <w:iCs/>
        </w:rPr>
        <w:t xml:space="preserve"> </w:t>
      </w:r>
      <w:r>
        <w:rPr>
          <w:i/>
          <w:iCs/>
        </w:rPr>
        <w:t xml:space="preserve">(0 = left, 1 = right of the content span) over diffusion progress</w:t>
      </w:r>
      <w:r>
        <w:rPr>
          <w:i/>
          <w:iCs/>
        </w:rPr>
        <w:t xml:space="preserve"> </w:t>
      </w:r>
      <m:oMath>
        <m:r>
          <m:t>t</m:t>
        </m:r>
        <m:r>
          <m:rPr>
            <m:sty m:val="p"/>
          </m:rPr>
          <m:t>/</m:t>
        </m:r>
        <m:r>
          <m:t>T</m:t>
        </m:r>
      </m:oMath>
      <w:r>
        <w:rPr>
          <w:i/>
          <w:iCs/>
        </w:rPr>
        <w:t xml:space="preserve"> </w:t>
      </w:r>
      <w:r>
        <w:rPr>
          <w:i/>
          <w:iCs/>
        </w:rPr>
        <w:t xml:space="preserve">(faint = single rollouts, bold = mean).</w:t>
      </w:r>
      <w:r>
        <w:rPr>
          <w:i/>
          <w:iCs/>
        </w:rPr>
        <w:t xml:space="preserve"> </w:t>
      </w:r>
      <m:oMath>
        <m:sSub>
          <m:e>
            <m:r>
              <m:t>ρ</m:t>
            </m:r>
          </m:e>
          <m:sub>
            <m:r>
              <m:rPr>
                <m:sty m:val="p"/>
              </m:rPr>
              <m:t>l</m:t>
            </m:r>
            <m:r>
              <m:rPr>
                <m:sty m:val="p"/>
              </m:rPr>
              <m:t>o</m:t>
            </m:r>
            <m:r>
              <m:rPr>
                <m:sty m:val="p"/>
              </m:rPr>
              <m:t>g</m:t>
            </m:r>
            <m:r>
              <m:rPr>
                <m:sty m:val="p"/>
              </m:rPr>
              <m:t>i</m:t>
            </m:r>
            <m:r>
              <m:rPr>
                <m:sty m:val="p"/>
              </m:rPr>
              <m:t>c</m:t>
            </m:r>
          </m:sub>
        </m:sSub>
      </m:oMath>
      <w:r>
        <w:rPr>
          <w:i/>
          <w:iCs/>
        </w:rPr>
        <w:t xml:space="preserve"> </w:t>
      </w:r>
      <w:r>
        <w:rPr>
          <w:i/>
          <w:iCs/>
        </w:rPr>
        <w:t xml:space="preserve">= Spearman between the judge’s logical ordering of its own atom decomposition and the atoms’ positions in the text.</w:t>
      </w:r>
    </w:p>
    <w:p>
      <w:pPr>
        <w:pStyle w:val="BodyText"/>
      </w:pPr>
      <w:r>
        <w:t xml:space="preserve">We considered three tasks. GPQA, which involves logic-style problems and therefore shoudl require left-to-right generation,</w:t>
      </w:r>
      <w:r>
        <w:t xml:space="preserve"> </w:t>
      </w:r>
      <w:r>
        <w:rPr>
          <w:i/>
          <w:iCs/>
        </w:rPr>
        <w:t xml:space="preserve">poem writing</w:t>
      </w:r>
      <w:r>
        <w:t xml:space="preserve">, which has no clear left-to-rigth bias but only needs to satisfy a global structure, and</w:t>
      </w:r>
      <w:r>
        <w:t xml:space="preserve"> </w:t>
      </w:r>
      <w:r>
        <w:rPr>
          <w:i/>
          <w:iCs/>
        </w:rPr>
        <w:t xml:space="preserve">reverse_chain</w:t>
      </w:r>
      <w:r>
        <w:t xml:space="preserve">, which requires the model to reverse its reasoning order.</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83" Target="media/rId83.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67" Target="media/rId67.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71"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71" Target="https://arxiv.org/abs/2506.19143"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2026-08-08T23:11:44Z</dcterms:created>
  <dcterms:modified xsi:type="dcterms:W3CDTF">2026-08-08T23:11:44Z</dcterms:modified>
</cp:coreProperties>
</file>

<file path=docProps/custom.xml><?xml version="1.0" encoding="utf-8"?>
<Properties xmlns="http://schemas.openxmlformats.org/officeDocument/2006/custom-properties" xmlns:vt="http://schemas.openxmlformats.org/officeDocument/2006/docPropsVTypes"/>
</file>