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0.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9.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4"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9" w:name="post-hoc-rationalization"/>
    <w:p>
      <w:pPr>
        <w:pStyle w:val="Heading3"/>
      </w:pPr>
      <w:r>
        <w:t xml:space="preserve">Post-hoc rationalization</w:t>
      </w:r>
    </w:p>
    <w:p>
      <w:pPr>
        <w:pStyle w:val="FirstParagraph"/>
      </w:pPr>
      <w:r>
        <w:t xml:space="preserve">An important question in monitorability (</w:t>
      </w:r>
      <w:hyperlink r:id="rId68">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0" name="Picture"/>
            <a:graphic>
              <a:graphicData uri="http://schemas.openxmlformats.org/drawingml/2006/picture">
                <pic:pic>
                  <pic:nvPicPr>
                    <pic:cNvPr descr="figs/figA8_posthoc_correlations.png" id="71" name="Picture"/>
                    <pic:cNvPicPr>
                      <a:picLocks noChangeArrowheads="1" noChangeAspect="1"/>
                    </pic:cNvPicPr>
                  </pic:nvPicPr>
                  <pic:blipFill>
                    <a:blip r:embed="rId69"/>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(n=40):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 Note difficulty ↔</w:t>
      </w:r>
      <w:r>
        <w:rPr>
          <w:i/>
          <w:iCs/>
        </w:rPr>
        <w:t xml:space="preserve"> </w:t>
      </w:r>
      <m:oMath>
        <m:r>
          <m:t>S</m:t>
        </m:r>
      </m:oMath>
      <w:r>
        <w:rPr>
          <w:i/>
          <w:iCs/>
        </w:rPr>
        <w:t xml:space="preserve"> </w:t>
      </w:r>
      <w:r>
        <w:rPr>
          <w:i/>
          <w:iCs/>
        </w:rPr>
        <w:t xml:space="preserve">is the one pairing that misses significance (</w:t>
      </w:r>
      <m:oMath>
        <m:r>
          <m:t>p</m:t>
        </m:r>
        <m:r>
          <m:rPr>
            <m:sty m:val="p"/>
          </m:rPr>
          <m:t>=</m:t>
        </m:r>
        <m:r>
          <m:t>.08</m:t>
        </m:r>
      </m:oMath>
      <w:r>
        <w:rPr>
          <w:i/>
          <w:iCs/>
        </w:rPr>
        <w:t xml:space="preserve">).</w:t>
      </w:r>
    </w:p>
    <w:p>
      <w:pPr>
        <w:pStyle w:val="BodyText"/>
      </w:pPr>
      <w:r>
        <w:t xml:space="preserve">For illustration, consider an easy and a hard problem side by side:</w:t>
      </w:r>
    </w:p>
    <w:p>
      <w:pPr>
        <w:pStyle w:val="CaptionedFigure"/>
      </w:pPr>
      <w:r>
        <w:drawing>
          <wp:inline>
            <wp:extent cx="5334000" cy="3733800"/>
            <wp:effectExtent b="0" l="0" r="0" t="0"/>
            <wp:docPr descr="Post-hoc case study" title="" id="73" name="Picture"/>
            <a:graphic>
              <a:graphicData uri="http://schemas.openxmlformats.org/drawingml/2006/picture">
                <pic:pic>
                  <pic:nvPicPr>
                    <pic:cNvPr descr="figs/figA8b_posthoc_case.png" id="74" name="Picture"/>
                    <pic:cNvPicPr>
                      <a:picLocks noChangeArrowheads="1" noChangeAspect="1"/>
                    </pic:cNvPicPr>
                  </pic:nvPicPr>
                  <pic:blipFill>
                    <a:blip r:embed="rId72"/>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An easy answer ignores its CoT; a hard answer breaks with it.</w:t>
      </w:r>
      <w:r>
        <w:rPr>
          <w:i/>
          <w:iCs/>
        </w:rPr>
        <w:t xml:space="preserve"> </w:t>
      </w:r>
      <w:r>
        <w:rPr>
          <w:i/>
          <w:iCs/>
        </w:rPr>
        <w:t xml:space="preserve">Top row: clean rollout, model answer highlighted, with its commitment time (bat_ball locks at step 0; sq1000 passes through 1 → 3 → 31 → 19 → 39, locking at ~step 4). Bottom row: the susceptibility intervention — every CoT canvas position (purple;</w:t>
      </w:r>
      <w:r>
        <w:rPr>
          <w:i/>
          <w:iCs/>
        </w:rPr>
        <w:t xml:space="preserve">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is pinned to random tokens at every step while the answer denoises freely. bat_ball still answers 5 (</w:t>
      </w:r>
      <m:oMath>
        <m:r>
          <m:t>S</m:t>
        </m:r>
        <m:r>
          <m:rPr>
            <m:sty m:val="p"/>
          </m:rPr>
          <m:t>=</m:t>
        </m:r>
        <m:r>
          <m:t>0.00</m:t>
        </m:r>
      </m:oMath>
      <w:r>
        <w:rPr>
          <w:i/>
          <w:iCs/>
        </w:rPr>
        <w:t xml:space="preserve">); sq1000’s answer breaks to 36/38/46 across corruption seeds (</w:t>
      </w:r>
      <m:oMath>
        <m:r>
          <m:t>S</m:t>
        </m:r>
        <m:r>
          <m:rPr>
            <m:sty m:val="p"/>
          </m:rPr>
          <m:t>=</m:t>
        </m:r>
        <m:r>
          <m:t>0.70</m:t>
        </m:r>
      </m:oMath>
      <w:r>
        <w:rPr>
          <w:i/>
          <w:iCs/>
        </w:rPr>
        <w:t xml:space="preserve">).</w:t>
      </w:r>
    </w:p>
    <w:bookmarkStart w:id="78" w:name="Xabbf9ebb3c7fb0570cb1488d42cd03734ef9222"/>
    <w:p>
      <w:pPr>
        <w:pStyle w:val="Heading4"/>
      </w:pPr>
      <w:r>
        <w:t xml:space="preserve">Load-bearing problems commit the answer only after the CoT</w:t>
      </w:r>
    </w:p>
    <w:p>
      <w:pPr>
        <w:pStyle w:val="FirstParagraph"/>
      </w:pPr>
      <w:r>
        <w:t xml:space="preserve">In the previous paragraph, we analyzed the causal dependence of the answer on the CoT, as well</w:t>
      </w:r>
    </w:p>
    <w:p>
      <w:pPr>
        <w:pStyle w:val="CaptionedFigure"/>
      </w:pPr>
      <w:r>
        <w:drawing>
          <wp:inline>
            <wp:extent cx="5334000" cy="2125265"/>
            <wp:effectExtent b="0" l="0" r="0" t="0"/>
            <wp:docPr descr="Answer resolution" title="" id="76" name="Picture"/>
            <a:graphic>
              <a:graphicData uri="http://schemas.openxmlformats.org/drawingml/2006/picture">
                <pic:pic>
                  <pic:nvPicPr>
                    <pic:cNvPr descr="figs/figA9_resolution.png" id="77" name="Picture"/>
                    <pic:cNvPicPr>
                      <a:picLocks noChangeArrowheads="1" noChangeAspect="1"/>
                    </pic:cNvPicPr>
                  </pic:nvPicPr>
                  <pic:blipFill>
                    <a:blip r:embed="rId75"/>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78"/>
    <w:bookmarkEnd w:id="79"/>
    <w:bookmarkStart w:id="83"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1" name="Picture"/>
            <a:graphic>
              <a:graphicData uri="http://schemas.openxmlformats.org/drawingml/2006/picture">
                <pic:pic>
                  <pic:nvPicPr>
                    <pic:cNvPr descr="figs/figA11_commit_causality.png" id="82" name="Picture"/>
                    <pic:cNvPicPr>
                      <a:picLocks noChangeArrowheads="1" noChangeAspect="1"/>
                    </pic:cNvPicPr>
                  </pic:nvPicPr>
                  <pic:blipFill>
                    <a:blip r:embed="rId80"/>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2026-08-08T20:37:40Z</dcterms:created>
  <dcterms:modified xsi:type="dcterms:W3CDTF">2026-08-08T20:37:40Z</dcterms:modified>
</cp:coreProperties>
</file>

<file path=docProps/custom.xml><?xml version="1.0" encoding="utf-8"?>
<Properties xmlns="http://schemas.openxmlformats.org/officeDocument/2006/custom-properties" xmlns:vt="http://schemas.openxmlformats.org/officeDocument/2006/docPropsVTypes"/>
</file>