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the correct answer is 16, but on first glance the answer is 18).</w:t>
      </w:r>
    </w:p>
    <w:p>
      <w:pPr>
        <w:pStyle w:val="BodyText"/>
      </w:pPr>
      <w:r>
        <w:t xml:space="preserve">In natural runs the canvas transiently visits the wrong answers and corrects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track the center of mass of the canvas positions committed by step</w:t>
      </w:r>
      <w:r>
        <w:t xml:space="preserve"> </w:t>
      </w:r>
      <m:oMath>
        <m:r>
          <m:t>t</m:t>
        </m:r>
      </m:oMath>
      <w:r>
        <w:t xml:space="preserve"> </w:t>
      </w:r>
      <w:r>
        <w:t xml:space="preserve">over diffusion progress, against a matched</w:t>
      </w:r>
      <w:r>
        <w:t xml:space="preserve"> </w:t>
      </w:r>
      <w:r>
        <w:rPr>
          <w:i/>
          <w:iCs/>
        </w:rPr>
        <w:t xml:space="preserve">left-to-right filler</w:t>
      </w:r>
      <w:r>
        <w:t xml:space="preserve"> </w:t>
      </w:r>
      <w:r>
        <w:t xml:space="preserve">(committing the same number of positions per step, leftmost first) — a strictly causal, AR-like fill sits on the filler curve. On classic benchmarks (GPQA, MATH, HumanEval; default sampler) commitment is strongly causal (median</w:t>
      </w:r>
      <w:r>
        <w:t xml:space="preserve"> </w:t>
      </w:r>
      <m:oMath>
        <m:sSub>
          <m:e>
            <m:r>
              <m:t>ρ</m:t>
            </m:r>
          </m:e>
          <m:sub>
            <m:r>
              <m:rPr>
                <m:sty m:val="p"/>
              </m:rPr>
              <m:t>c</m:t>
            </m:r>
            <m:r>
              <m:rPr>
                <m:sty m:val="p"/>
              </m:rPr>
              <m:t>h</m:t>
            </m:r>
            <m:r>
              <m:rPr>
                <m:sty m:val="p"/>
              </m:rPr>
              <m:t>a</m:t>
            </m:r>
            <m:r>
              <m:rPr>
                <m:sty m:val="p"/>
              </m:rPr>
              <m:t>i</m:t>
            </m:r>
            <m:r>
              <m:rPr>
                <m:sty m:val="p"/>
              </m:rPr>
              <m:t>n</m:t>
            </m:r>
          </m:sub>
        </m:sSub>
        <m:r>
          <m:rPr>
            <m:sty m:val="p"/>
          </m:rPr>
          <m:t>=</m:t>
        </m:r>
        <m:r>
          <m:rPr>
            <m:sty m:val="p"/>
          </m:rPr>
          <m:t>+</m:t>
        </m:r>
        <m:r>
          <m:t>0.75</m:t>
        </m:r>
        <m:r>
          <m:rPr>
            <m:sty m:val="p"/>
          </m:rPr>
          <m:t>.</m:t>
        </m:r>
        <m:r>
          <m:rPr>
            <m:sty m:val="p"/>
          </m:rPr>
          <m:t>.</m:t>
        </m:r>
        <m:r>
          <m:rPr>
            <m:sty m:val="p"/>
          </m:rPr>
          <m:t>+</m:t>
        </m:r>
        <m:r>
          <m:t>0.89</m:t>
        </m:r>
      </m:oMath>
      <w:r>
        <w:t xml:space="preserve">) — DG writes essentially in reading order. The idiosyncratic constrained-writing tasks show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the left edge of the canvas is back-filled only after the first words have committed.</w:t>
      </w:r>
    </w:p>
    <w:p>
      <w:pPr>
        <w:pStyle w:val="BodyText"/>
      </w:pPr>
      <w:r>
        <w:t xml:space="preserve">[stub:] The constrained-writing tasks give the model little</w:t>
      </w:r>
      <w:r>
        <w:t xml:space="preserve"> </w:t>
      </w:r>
      <w:r>
        <w:rPr>
          <w:i/>
          <w:iCs/>
        </w:rPr>
        <w:t xml:space="preserve">reason</w:t>
      </w:r>
      <w:r>
        <w:t xml:space="preserve"> </w:t>
      </w:r>
      <w:r>
        <w:t xml:space="preserve">to commit anticausally. The</w:t>
      </w:r>
      <w:r>
        <w:t xml:space="preserve"> </w:t>
      </w:r>
      <w:r>
        <w:rPr>
          <w:rStyle w:val="VerbatimChar"/>
        </w:rPr>
        <w:t xml:space="preserve">reverse_chain</w:t>
      </w:r>
      <w:r>
        <w:t xml:space="preserve"> </w:t>
      </w:r>
      <w:r>
        <w:t xml:space="preserve">probe task (from our replication battery around</w:t>
      </w:r>
      <w:r>
        <w:t xml:space="preserve"> </w:t>
      </w:r>
      <w:hyperlink r:id="rId24">
        <w:r>
          <w:rPr>
            <w:rStyle w:val="Hyperlink"/>
          </w:rPr>
          <w:t xml:space="preserve">Engels et al.</w:t>
        </w:r>
      </w:hyperlink>
      <w:r>
        <w:t xml:space="preserve">) does: a digit chain obeys</w:t>
      </w:r>
      <w:r>
        <w:t xml:space="preserve"> </w:t>
      </w:r>
      <m:oMath>
        <m:sSup>
          <m:e>
            <m:r>
              <m:t>x</m:t>
            </m:r>
          </m:e>
          <m:sup>
            <m:d>
              <m:dPr>
                <m:begChr m:val="("/>
                <m:sepChr m:val=""/>
                <m:endChr m:val=")"/>
                <m:grow/>
              </m:dPr>
              <m:e>
                <m:r>
                  <m:t>k</m:t>
                </m:r>
                <m:r>
                  <m:rPr>
                    <m:sty m:val="p"/>
                  </m:rPr>
                  <m:t>+</m:t>
                </m:r>
                <m:r>
                  <m:t>1</m:t>
                </m:r>
              </m:e>
            </m:d>
          </m:sup>
        </m:sSup>
        <m:r>
          <m:rPr>
            <m:sty m:val="p"/>
          </m:rPr>
          <m:t>=</m:t>
        </m:r>
        <m:r>
          <m:t>f</m:t>
        </m:r>
        <m:d>
          <m:dPr>
            <m:begChr m:val="("/>
            <m:sepChr m:val=""/>
            <m:endChr m:val=")"/>
            <m:grow/>
          </m:dPr>
          <m:e>
            <m:sSup>
              <m:e>
                <m:r>
                  <m:t>x</m:t>
                </m:r>
              </m:e>
              <m:sup>
                <m:d>
                  <m:dPr>
                    <m:begChr m:val="("/>
                    <m:sepChr m:val=""/>
                    <m:endChr m:val=")"/>
                    <m:grow/>
                  </m:dPr>
                  <m:e>
                    <m:r>
                      <m:t>k</m:t>
                    </m:r>
                  </m:e>
                </m:d>
              </m:sup>
            </m:sSup>
          </m:e>
        </m:d>
      </m:oMath>
      <w:r>
        <w:t xml:space="preserve"> </w:t>
      </w:r>
      <w:r>
        <w:t xml:space="preserve">under a given lookup table, the</w:t>
      </w:r>
      <w:r>
        <w:t xml:space="preserve"> </w:t>
      </w:r>
      <w:r>
        <w:rPr>
          <w:i/>
          <w:iCs/>
        </w:rPr>
        <w:t xml:space="preserve">last</w:t>
      </w:r>
      <w:r>
        <w:t xml:space="preserve"> </w:t>
      </w:r>
      <w:r>
        <w:t xml:space="preserve">element is given, and the answer must be written in forward order — the dependency runs right-to-left, so a causal single-pass generator must emit the deepest-dependency value first (budget-matched autoregressive Gemma stays below 0.25 at depth 3). When DG solves the task beyond trivial depth, its commitment literally runs backward: all correct depth-4/5 runs lock the digits back-to-front (</w:t>
      </w:r>
      <m:oMath>
        <m:sSub>
          <m:e>
            <m:r>
              <m:t>ρ</m:t>
            </m:r>
          </m:e>
          <m:sub>
            <m:r>
              <m:rPr>
                <m:sty m:val="p"/>
              </m:rPr>
              <m:t>c</m:t>
            </m:r>
            <m:r>
              <m:rPr>
                <m:sty m:val="p"/>
              </m:rPr>
              <m:t>h</m:t>
            </m:r>
            <m:r>
              <m:rPr>
                <m:sty m:val="p"/>
              </m:rPr>
              <m:t>a</m:t>
            </m:r>
            <m:r>
              <m:rPr>
                <m:sty m:val="p"/>
              </m:rPr>
              <m:t>i</m:t>
            </m:r>
            <m:r>
              <m:rPr>
                <m:sty m:val="p"/>
              </m:rPr>
              <m:t>n</m:t>
            </m:r>
          </m:sub>
        </m:sSub>
        <m:r>
          <m:rPr>
            <m:sty m:val="p"/>
          </m:rPr>
          <m:t>∈</m:t>
        </m:r>
        <m:d>
          <m:dPr>
            <m:begChr m:val="["/>
            <m:sepChr m:val=""/>
            <m:endChr m:val="]"/>
            <m:grow/>
          </m:dPr>
          <m:e>
            <m:r>
              <m:rPr>
                <m:sty m:val="p"/>
              </m:rPr>
              <m:t>−</m:t>
            </m:r>
            <m:r>
              <m:t>0.97</m:t>
            </m:r>
            <m:r>
              <m:rPr>
                <m:sty m:val="p"/>
              </m:rPr>
              <m:t>,</m:t>
            </m:r>
            <m:r>
              <m:rPr>
                <m:sty m:val="p"/>
              </m:rPr>
              <m:t>−</m:t>
            </m:r>
            <m:r>
              <m:t>0.89</m:t>
            </m:r>
          </m:e>
        </m:d>
      </m:oMath>
      <w:r>
        <w:t xml:space="preserve">), while failing runs fill forward (bottom-right panel above; trivial depth 3 is solved forward, and beyond depth ~6 the backward strategy stops producing correct answers).</w:t>
      </w:r>
    </w:p>
    <w:p>
      <w:pPr>
        <w:pStyle w:val="CaptionedFigure"/>
      </w:pPr>
      <w:r>
        <w:drawing>
          <wp:inline>
            <wp:extent cx="5334000" cy="2588558"/>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588558"/>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is left-to-right on benchmarks; anchored tasks deviate.</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0.5 = fully committed) over diffusion progress</w:t>
      </w:r>
      <w:r>
        <w:rPr>
          <w:i/>
          <w:iCs/>
        </w:rPr>
        <w:t xml:space="preserve"> </w:t>
      </w:r>
      <m:oMath>
        <m:r>
          <m:t>t</m:t>
        </m:r>
        <m:r>
          <m:rPr>
            <m:sty m:val="p"/>
          </m:rPr>
          <m:t>/</m:t>
        </m:r>
        <m:r>
          <m:t>T</m:t>
        </m:r>
      </m:oMath>
      <w:r>
        <w:rPr>
          <w:i/>
          <w:iCs/>
        </w:rPr>
        <w:t xml:space="preserve"> </w:t>
      </w:r>
      <w:r>
        <w:rPr>
          <w:i/>
          <w:iCs/>
        </w:rPr>
        <w:t xml:space="preserve">(faint = single rollouts, bold = mean; frozen tail beyond</w:t>
      </w:r>
      <w:r>
        <w:rPr>
          <w:i/>
          <w:iCs/>
        </w:rPr>
        <w:t xml:space="preserve"> </w:t>
      </w:r>
      <m:oMath>
        <m:r>
          <m:t>t</m:t>
        </m:r>
        <m:r>
          <m:rPr>
            <m:sty m:val="p"/>
          </m:rPr>
          <m:t>/</m:t>
        </m:r>
        <m:r>
          <m:t>T</m:t>
        </m:r>
        <m:r>
          <m:rPr>
            <m:sty m:val="p"/>
          </m:rPr>
          <m:t>=</m:t>
        </m:r>
        <m:r>
          <m:t>0.6</m:t>
        </m:r>
      </m:oMath>
      <w:r>
        <w:rPr>
          <w:i/>
          <w:iCs/>
        </w:rPr>
        <w:t xml:space="preserve"> </w:t>
      </w:r>
      <w:r>
        <w:rPr>
          <w:i/>
          <w:iCs/>
        </w:rPr>
        <w:t xml:space="preserve">cropped). Dashed: the matched left-to-right filler — a causal fill sits on it. Top row: GPQA, MATH, HumanEval (12 rollouts each, default sampler,</w:t>
      </w:r>
      <w:r>
        <w:rPr>
          <w:i/>
          <w:iCs/>
        </w:rPr>
        <w:t xml:space="preserve"> </w:t>
      </w:r>
      <m:oMath>
        <m:r>
          <m:t>C</m:t>
        </m:r>
        <m:r>
          <m:rPr>
            <m:sty m:val="p"/>
          </m:rPr>
          <m:t>=</m:t>
        </m:r>
        <m:r>
          <m:t>256</m:t>
        </m:r>
      </m:oMath>
      <w:r>
        <w:rPr>
          <w:i/>
          <w:iCs/>
        </w:rPr>
        <w:t xml:space="preserve">; argmax lock-in as commitment proxy) track the filler. Bottom row:</w:t>
      </w:r>
      <w:r>
        <w:rPr>
          <w:i/>
          <w:iCs/>
        </w:rPr>
        <w:t xml:space="preserve"> </w:t>
      </w:r>
      <w:r>
        <w:rPr>
          <w:rStyle w:val="VerbatimChar"/>
          <w:i/>
          <w:iCs/>
        </w:rPr>
        <w:t xml:space="preserve">palindrome_words</w:t>
      </w:r>
      <w:r>
        <w:rPr>
          <w:i/>
          <w:iCs/>
        </w:rPr>
        <w:t xml:space="preserve"> </w:t>
      </w:r>
      <w:r>
        <w:rPr>
          <w:i/>
          <w:iCs/>
        </w:rPr>
        <w:t xml:space="preserve">fills in bursts,</w:t>
      </w:r>
      <w:r>
        <w:rPr>
          <w:i/>
          <w:iCs/>
        </w:rPr>
        <w:t xml:space="preserve"> </w:t>
      </w:r>
      <w:r>
        <w:rPr>
          <w:rStyle w:val="VerbatimChar"/>
          <w:i/>
          <w:iCs/>
        </w:rPr>
        <w:t xml:space="preserve">ends_with</w:t>
      </w:r>
      <w:r>
        <w:rPr>
          <w:i/>
          <w:iCs/>
        </w:rPr>
        <w:t xml:space="preserve"> </w:t>
      </w:r>
      <w:r>
        <w:rPr>
          <w:i/>
          <w:iCs/>
        </w:rPr>
        <w:t xml:space="preserve">sits above the filler early (the anchored final word commits first), and on</w:t>
      </w:r>
      <w:r>
        <w:rPr>
          <w:i/>
          <w:iCs/>
        </w:rPr>
        <w:t xml:space="preserve"> </w:t>
      </w:r>
      <w:r>
        <w:rPr>
          <w:rStyle w:val="VerbatimChar"/>
          <w:i/>
          <w:iCs/>
        </w:rPr>
        <w:t xml:space="preserve">reverse_chain</w:t>
      </w:r>
      <w:r>
        <w:rPr>
          <w:i/>
          <w:iCs/>
        </w:rPr>
        <w:t xml:space="preserve"> </w:t>
      </w:r>
      <w:r>
        <w:rPr>
          <w:i/>
          <w:iCs/>
        </w:rPr>
        <w:t xml:space="preserve">(depths 4–5) the solving runs (green)</w:t>
      </w:r>
      <w:r>
        <w:rPr>
          <w:i/>
          <w:iCs/>
        </w:rPr>
        <w:t xml:space="preserve"> </w:t>
      </w:r>
      <w:r>
        <w:rPr>
          <w:i/>
          <w:i/>
          <w:iCs/>
          <w:iCs/>
        </w:rPr>
        <w:t xml:space="preserve">start</w:t>
      </w:r>
      <w:r>
        <w:rPr>
          <w:i/>
          <w:iCs/>
        </w:rPr>
        <w:t xml:space="preserve"> </w:t>
      </w:r>
      <w:r>
        <w:rPr>
          <w:i/>
          <w:iCs/>
        </w:rPr>
        <w:t xml:space="preserve">at the anchored end and walk backward, while failing runs (grey) rise like a causal fill.</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of final-commit step vs position; for reverse_chain it is canvas-level (including separators) — digits-only, the correct runs reach</w:t>
      </w:r>
      <w:r>
        <w:rPr>
          <w:i/>
          <w:iCs/>
        </w:rPr>
        <w:t xml:space="preserve"> </w:t>
      </w:r>
      <m:oMath>
        <m:r>
          <m:rPr>
            <m:sty m:val="p"/>
          </m:rPr>
          <m:t>−</m:t>
        </m:r>
        <m:r>
          <m:t>0.89</m:t>
        </m:r>
        <m:r>
          <m:rPr>
            <m:sty m:val="p"/>
          </m:rPr>
          <m:t>.</m:t>
        </m:r>
        <m:r>
          <m:rPr>
            <m:sty m:val="p"/>
          </m:rPr>
          <m:t>.</m:t>
        </m:r>
        <m:r>
          <m:rPr>
            <m:sty m:val="p"/>
          </m:rPr>
          <m:t>−</m:t>
        </m:r>
        <m:r>
          <m:t>0.97</m:t>
        </m:r>
      </m:oMath>
      <w:r>
        <w:rPr>
          <w:i/>
          <w:iCs/>
        </w:rPr>
        <w:t xml:space="preserve">.</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2026-08-07T22:06:38Z</dcterms:created>
  <dcterms:modified xsi:type="dcterms:W3CDTF">2026-08-07T22:06:38Z</dcterms:modified>
</cp:coreProperties>
</file>

<file path=docProps/custom.xml><?xml version="1.0" encoding="utf-8"?>
<Properties xmlns="http://schemas.openxmlformats.org/officeDocument/2006/custom-properties" xmlns:vt="http://schemas.openxmlformats.org/officeDocument/2006/docPropsVTypes"/>
</file>