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7.png" ContentType="image/png"/>
  <Override PartName="/word/media/rId34.png" ContentType="image/png"/>
  <Override PartName="/word/media/rId40.png" ContentType="image/png"/>
  <Override PartName="/word/media/rId87.png" ContentType="image/png"/>
  <Override PartName="/word/media/rId49.png" ContentType="image/png"/>
  <Override PartName="/word/media/rId54.png" ContentType="image/png"/>
  <Override PartName="/word/media/rId60.png" ContentType="image/png"/>
  <Override PartName="/word/media/rId65.png" ContentType="image/png"/>
  <Override PartName="/word/media/rId44.png" ContentType="image/png"/>
  <Override PartName="/word/media/rId68.png" ContentType="image/png"/>
  <Override PartName="/word/media/rId76.png" ContentType="image/png"/>
  <Override PartName="/word/media/rId79.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does-diffusiongemma-do-latent-reasoning"/>
    <w:p>
      <w:pPr>
        <w:pStyle w:val="Heading1"/>
      </w:pPr>
      <w:r>
        <w:t xml:space="preserve">Does DiffusionGemma do latent reasoning?</w:t>
      </w:r>
    </w:p>
    <w:bookmarkStart w:id="22" w:name="tldr"/>
    <w:p>
      <w:pPr>
        <w:pStyle w:val="Heading2"/>
      </w:pPr>
      <w:r>
        <w:t xml:space="preserve">TL;DR</w:t>
      </w:r>
    </w:p>
    <w:p>
      <w:pPr>
        <w:pStyle w:val="FirstParagraph"/>
      </w:pPr>
      <w:r>
        <w:t xml:space="preserve">Google DeepMind’s recent model DiffusionGemma (DG) generates text via diffusion, meaning many diffusion steps happen before generating the final output. In particular, these diffusion steps carry</w:t>
      </w:r>
      <w:r>
        <w:t xml:space="preserve"> </w:t>
      </w:r>
      <w:r>
        <w:rPr>
          <w:i/>
          <w:iCs/>
        </w:rPr>
        <w:t xml:space="preserve">vectors</w:t>
      </w:r>
      <w:r>
        <w:t xml:space="preserve"> </w:t>
      </w:r>
      <w:r>
        <w:t xml:space="preserve">in addition to tokens. If we cannot interpret these tokens and vectors, the model has significant</w:t>
      </w:r>
      <w:r>
        <w:t xml:space="preserve"> </w:t>
      </w:r>
      <w:hyperlink r:id="rId20">
        <w:r>
          <w:rPr>
            <w:rStyle w:val="Hyperlink"/>
          </w:rPr>
          <w:t xml:space="preserve">opaque serial depth</w:t>
        </w:r>
      </w:hyperlink>
      <w:r>
        <w:t xml:space="preserve">, potentially harming monitorability. Recently,</w:t>
      </w:r>
      <w:r>
        <w:t xml:space="preserve"> </w:t>
      </w:r>
      <w:hyperlink r:id="rId21">
        <w:r>
          <w:rPr>
            <w:rStyle w:val="Hyperlink"/>
          </w:rPr>
          <w:t xml:space="preserve">Engels et al.</w:t>
        </w:r>
      </w:hyperlink>
      <w:r>
        <w:t xml:space="preserve"> </w:t>
      </w:r>
      <w:r>
        <w:t xml:space="preserve">found that DG nevertheless maintains high monitorability, for instance by showing that projecting the distribution to its top-k items largely retains performance. We strengthen these results by showing that this performance degradation is largely a sampler artifact and good performance can be maintained with only the top item, supporting the case for high monitorability. Still, we also find some rare case studies where the distribution vector is load-bearing computationally, i.e. thus top-1 projection is not enough. However even in these cases, it just encodes superposition, remaining interpretable.</w:t>
      </w:r>
    </w:p>
    <w:p>
      <w:pPr>
        <w:pStyle w:val="BodyText"/>
      </w:pPr>
      <w:r>
        <w:t xml:space="preserve">Apart from model behavior, we also examined how interpretability techniques carry over to DiffusionGemma, including probes, steering, and J-lens. We find that performance is largely retained. This is a positive update on the interpretability of diffusion models that are derived from text-pretrained LLMs (an efficient training method likely to be deployed), but might not apply for more general paradigms.</w:t>
      </w:r>
    </w:p>
    <w:p>
      <w:pPr>
        <w:pStyle w:val="BodyText"/>
      </w:pPr>
      <w:r>
        <w:t xml:space="preserve">Overall, this supports the paper’s conclusion that DiffusionGemma remains highly monitorable, while nevertheless showing that there are cases where models can learn to use vector-valued information.</w:t>
      </w:r>
    </w:p>
    <w:p>
      <w:pPr>
        <w:pStyle w:val="BodyText"/>
      </w:pPr>
      <w:r>
        <w:t xml:space="preserve">Github</w:t>
      </w:r>
    </w:p>
    <w:bookmarkEnd w:id="22"/>
    <w:bookmarkStart w:id="25" w:name="introduction"/>
    <w:p>
      <w:pPr>
        <w:pStyle w:val="Heading2"/>
      </w:pPr>
      <w:r>
        <w:t xml:space="preserve">Introduction</w:t>
      </w:r>
    </w:p>
    <w:p>
      <w:pPr>
        <w:pStyle w:val="FirstParagraph"/>
      </w:pPr>
      <w:r>
        <w:t xml:space="preserve">Large language models arrive at answers to complex questions through chains-of-thought. These chains are generated token-by-token in a sequence of autoregressive steps. This gives fairly large visibility into the model’s process of arriving at the answer, and has been the main pillar for monitorability in recent years (see e.g. </w:t>
      </w:r>
      <w:hyperlink r:id="rId23">
        <w:r>
          <w:rPr>
            <w:rStyle w:val="Hyperlink"/>
          </w:rPr>
          <w:t xml:space="preserve">Guan et al.</w:t>
        </w:r>
      </w:hyperlink>
      <w:r>
        <w:t xml:space="preserve">). In contrast, latent reasoning models (see</w:t>
      </w:r>
      <w:r>
        <w:t xml:space="preserve"> </w:t>
      </w:r>
      <w:hyperlink r:id="rId24">
        <w:r>
          <w:rPr>
            <w:rStyle w:val="Hyperlink"/>
          </w:rPr>
          <w:t xml:space="preserve">here</w:t>
        </w:r>
      </w:hyperlink>
      <w:r>
        <w:t xml:space="preserve"> </w:t>
      </w:r>
      <w:r>
        <w:t xml:space="preserve">for a survey) pass</w:t>
      </w:r>
      <w:r>
        <w:t xml:space="preserve"> </w:t>
      </w:r>
      <w:r>
        <w:rPr>
          <w:i/>
          <w:iCs/>
        </w:rPr>
        <w:t xml:space="preserve">vectors</w:t>
      </w:r>
      <w:r>
        <w:t xml:space="preserve"> </w:t>
      </w:r>
      <w:r>
        <w:t xml:space="preserve">between diffusion steps, a priori destroying monitorability.</w:t>
      </w:r>
    </w:p>
    <w:p>
      <w:pPr>
        <w:pStyle w:val="BodyText"/>
      </w:pPr>
      <w:r>
        <w:t xml:space="preserve">DiffusionGemma is a particular model whose architecture allows latent reasoning, by passing a</w:t>
      </w:r>
      <w:r>
        <w:t xml:space="preserve"> </w:t>
      </w:r>
      <w:r>
        <w:rPr>
          <w:b/>
          <w:bCs/>
        </w:rPr>
        <w:t xml:space="preserve">vector encoding a probability distribution</w:t>
      </w:r>
      <w:r>
        <w:t xml:space="preserve"> </w:t>
      </w:r>
      <w:r>
        <w:t xml:space="preserve">between steps.</w:t>
      </w:r>
    </w:p>
    <w:p>
      <w:pPr>
        <w:pStyle w:val="BodyText"/>
      </w:pPr>
      <w:hyperlink r:id="rId21">
        <w:r>
          <w:rPr>
            <w:rStyle w:val="Hyperlink"/>
          </w:rPr>
          <w:t xml:space="preserve">Engels et al.</w:t>
        </w:r>
      </w:hyperlink>
      <w:r>
        <w:t xml:space="preserve"> </w:t>
      </w:r>
      <w:r>
        <w:t xml:space="preserve">recently surveyed DiffusionGemma’s behavior, identifying cases where the model will use its distribution to express uncertainty about positioning of tokens. Here, we explore whether there are instances where the model uses the distribution computationally.</w:t>
      </w:r>
    </w:p>
    <w:bookmarkEnd w:id="25"/>
    <w:bookmarkStart w:id="29" w:name="background-on-diffusiongemma"/>
    <w:p>
      <w:pPr>
        <w:pStyle w:val="Heading2"/>
      </w:pPr>
      <w:r>
        <w:t xml:space="preserve">Background on DiffusionGemma</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Here,</w:t>
      </w:r>
      <w:r>
        <w:t xml:space="preserve"> </w:t>
      </w:r>
      <m:oMath>
        <m:sSub>
          <m:e>
            <m:d>
              <m:dPr>
                <m:begChr m:val="("/>
                <m:sepChr m:val=""/>
                <m:endChr m:val=")"/>
                <m:grow/>
              </m:dPr>
              <m:e>
                <m:sSubSup>
                  <m:e>
                    <m:r>
                      <m:rPr>
                        <m:sty m:val="b"/>
                      </m:rPr>
                      <m:t>s</m:t>
                    </m:r>
                  </m:e>
                  <m:sub>
                    <m:r>
                      <m:t>i</m:t>
                    </m:r>
                  </m:sub>
                  <m:sup>
                    <m:r>
                      <m:t>t</m:t>
                    </m:r>
                  </m:sup>
                </m:sSubSup>
              </m:e>
            </m:d>
          </m:e>
          <m:sub>
            <m:r>
              <m:t>i</m:t>
            </m:r>
            <m:r>
              <m:rPr>
                <m:sty m:val="p"/>
              </m:rPr>
              <m:t>=</m:t>
            </m:r>
            <m:r>
              <m:t>1</m:t>
            </m:r>
            <m:r>
              <m:rPr>
                <m:sty m:val="p"/>
              </m:rPr>
              <m:t>.</m:t>
            </m:r>
            <m:r>
              <m:rPr>
                <m:sty m:val="p"/>
              </m:rPr>
              <m:t>.</m:t>
            </m:r>
            <m:r>
              <m:t>C</m:t>
            </m:r>
          </m:sub>
        </m:sSub>
        <m:r>
          <m:rPr>
            <m:sty m:val="p"/>
          </m:rPr>
          <m:t>=</m:t>
        </m:r>
        <m:sSup>
          <m:e>
            <m:r>
              <m:rPr>
                <m:sty m:val="b"/>
              </m:rPr>
              <m:t>S</m:t>
            </m:r>
          </m:e>
          <m:sup>
            <m:r>
              <m:t>t</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represents the distribution passed between diffusion steps. While</w:t>
      </w:r>
      <w:r>
        <w:t xml:space="preserve"> </w:t>
      </w:r>
      <m:oMath>
        <m:sSup>
          <m:e>
            <m:r>
              <m:t>X</m:t>
            </m:r>
          </m:e>
          <m:sup>
            <m:r>
              <m:t>t</m:t>
            </m:r>
          </m:sup>
        </m:sSup>
      </m:oMath>
      <w:r>
        <w:t xml:space="preserve"> </w:t>
      </w:r>
      <w:r>
        <w:t xml:space="preserve">attends causally to</w:t>
      </w:r>
      <w:r>
        <w:t xml:space="preserve"> </w:t>
      </w:r>
      <m:oMath>
        <m:r>
          <m:t>p</m:t>
        </m:r>
      </m:oMath>
      <w:r>
        <w:t xml:space="preserve">, it attends</w:t>
      </w:r>
      <w:r>
        <w:t xml:space="preserve"> </w:t>
      </w:r>
      <w:r>
        <w:rPr>
          <w:i/>
          <w:iCs/>
        </w:rPr>
        <w:t xml:space="preserve">bidirectionally</w:t>
      </w:r>
      <w:r>
        <w:t xml:space="preserve"> </w:t>
      </w:r>
      <w:r>
        <w:t xml:space="preserve">to itself.</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cumulative</w:t>
      </w:r>
      <w:r>
        <w:t xml:space="preserve"> </w:t>
      </w:r>
      <w:r>
        <w:rPr>
          <w:i/>
          <w:iCs/>
        </w:rPr>
        <w:t xml:space="preserve">entropy bound</w:t>
      </w:r>
      <w:r>
        <w:t xml:space="preserve"> </w:t>
      </w:r>
      <w:r>
        <w:t xml:space="preserve">is crossed,</w:t>
      </w:r>
      <w:r>
        <w:t xml:space="preserve"> </w:t>
      </w:r>
      <m:oMath>
        <m:sSup>
          <m:e>
            <m:r>
              <m:t>x</m:t>
            </m:r>
          </m:e>
          <m:sup>
            <m:r>
              <m:t>t</m:t>
            </m:r>
          </m:sup>
        </m:sSup>
      </m:oMath>
      <w:r>
        <w:t xml:space="preserve"> </w:t>
      </w:r>
      <w:r>
        <w:t xml:space="preserve">gets replaced with a uniformly chosen random token at every step</w:t>
      </w:r>
      <w:r>
        <w:t xml:space="preserve"> </w:t>
      </w:r>
      <m:oMath>
        <m:r>
          <m:t>t</m:t>
        </m:r>
      </m:oMath>
      <w:r>
        <w:t xml:space="preserve">. The distribution</w:t>
      </w:r>
      <w:r>
        <w:t xml:space="preserve"> </w:t>
      </w:r>
      <m:oMath>
        <m:sSup>
          <m:e>
            <m:r>
              <m:rPr>
                <m:sty m:val="b"/>
              </m:rPr>
              <m:t>s</m:t>
            </m:r>
          </m:e>
          <m:sup>
            <m:r>
              <m:t>t</m:t>
            </m:r>
          </m:sup>
        </m:sSup>
      </m:oMath>
      <w:r>
        <w:t xml:space="preserve"> </w:t>
      </w:r>
      <w:r>
        <w:t xml:space="preserve">at every step is furthermore sharpened by a temperature rescaling the logits, which itself follows a linear cooling schedule over steps.</w:t>
      </w:r>
    </w:p>
    <w:p>
      <w:pPr>
        <w:pStyle w:val="BodyText"/>
      </w:pPr>
      <w:r>
        <w:t xml:space="preserve">For a visual and more detailed introduction to DiffusionGemma, see</w:t>
      </w:r>
      <w:r>
        <w:t xml:space="preserve"> </w:t>
      </w:r>
      <w:hyperlink r:id="rId26">
        <w:r>
          <w:rPr>
            <w:rStyle w:val="Hyperlink"/>
          </w:rPr>
          <w:t xml:space="preserve">this post</w:t>
        </w:r>
      </w:hyperlink>
      <w:r>
        <w:t xml:space="preserve"> </w:t>
      </w:r>
      <w:r>
        <w:t xml:space="preserve">or the</w:t>
      </w:r>
      <w:r>
        <w:t xml:space="preserve"> </w:t>
      </w:r>
      <w:hyperlink r:id="rId27">
        <w:r>
          <w:rPr>
            <w:rStyle w:val="Hyperlink"/>
          </w:rPr>
          <w:t xml:space="preserve">technical report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(see e.g. </w:t>
      </w:r>
      <w:hyperlink r:id="rId28">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9"/>
    <w:bookmarkStart w:id="33"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1">
        <w:r>
          <w:rPr>
            <w:rStyle w:val="Hyperlink"/>
          </w:rPr>
          <w:t xml:space="preserve">Engels et al.</w:t>
        </w:r>
      </w:hyperlink>
      <w:r>
        <w:t xml:space="preserve"> </w:t>
      </w:r>
      <w:r>
        <w:t xml:space="preserve">found that DiffusionGemma scores similar monitorability to Gemma [maybe give more details on what the paper found]. However, when truncating</w:t>
      </w:r>
      <w:r>
        <w:t xml:space="preserve"> </w:t>
      </w:r>
      <m:oMath>
        <m:sSup>
          <m:e>
            <m:r>
              <m:rPr>
                <m:sty m:val="b"/>
              </m:rPr>
              <m:t>s</m:t>
            </m:r>
          </m:e>
          <m:sup>
            <m:r>
              <m:t>t</m:t>
            </m:r>
          </m:sup>
        </m:sSup>
      </m:oMath>
      <w:r>
        <w:t xml:space="preserve"> </w:t>
      </w:r>
      <w:r>
        <w:t xml:space="preserve">to just its top-k entries, performance significantly dropped. Thus somehow the information in</w:t>
      </w:r>
      <w:r>
        <w:t xml:space="preserve"> </w:t>
      </w:r>
      <m:oMath>
        <m:sSup>
          <m:e>
            <m:r>
              <m:rPr>
                <m:sty m:val="b"/>
              </m:rPr>
              <m:t>s</m:t>
            </m:r>
          </m:e>
          <m:sup>
            <m:r>
              <m:t>t</m:t>
            </m:r>
          </m:sup>
        </m:sSup>
      </m:oMath>
      <w:r>
        <w:t xml:space="preserve"> </w:t>
      </w:r>
      <w:r>
        <w:t xml:space="preserve">seemed to have been essential,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31" name="Picture"/>
            <a:graphic>
              <a:graphicData uri="http://schemas.openxmlformats.org/drawingml/2006/picture">
                <pic:pic>
                  <pic:nvPicPr>
                    <pic:cNvPr descr="figs/fig1_gpqa_trunc_failures.pn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b/>
          <w:bCs/>
          <w:i/>
          <w:iCs/>
        </w:rPr>
        <w:t xml:space="preserve">A gentler sampler prevents the degenerate loop that caused performance degradation on top-k truncating the distributional state</w:t>
      </w:r>
      <w:r>
        <w:rPr>
          <w:b/>
          <w:bCs/>
          <w:i/>
          <w:iCs/>
        </w:rPr>
        <w:t xml:space="preserve"> </w:t>
      </w:r>
      <m:oMath>
        <m:sSup>
          <m:e>
            <m:r>
              <m:rPr>
                <m:sty m:val="b"/>
              </m:rPr>
              <m:t>s</m:t>
            </m:r>
          </m:e>
          <m:sup>
            <m:r>
              <m:t>t</m:t>
            </m:r>
          </m:sup>
        </m:sSup>
      </m:oMath>
      <w:r>
        <w:rPr>
          <w:b/>
          <w:bCs/>
          <w:i/>
          <w:iCs/>
        </w:rPr>
        <w:t xml:space="preserve"> </w:t>
      </w:r>
      <w:r>
        <w:rPr>
          <w:b/>
          <w:bCs/>
          <w:i/>
          <w:iCs/>
        </w:rPr>
        <w:t xml:space="preserve">observed in</w:t>
      </w:r>
      <w:r>
        <w:rPr>
          <w:b/>
          <w:bCs/>
          <w:i/>
          <w:iCs/>
        </w:rPr>
        <w:t xml:space="preserve"> </w:t>
      </w:r>
      <w:hyperlink r:id="rId21">
        <w:r>
          <w:rPr>
            <w:rStyle w:val="Hyperlink"/>
            <w:b/>
            <w:bCs/>
            <w:i/>
            <w:iCs/>
          </w:rPr>
          <w:t xml:space="preserve">Engels et al.</w:t>
        </w:r>
      </w:hyperlink>
      <w:r>
        <w:rPr>
          <w:b/>
          <w:bCs/>
          <w:i/>
          <w:iCs/>
        </w:rPr>
        <w:t xml:space="preserve">.</w:t>
      </w:r>
      <w:r>
        <w:rPr>
          <w:i/>
          <w:iCs/>
        </w:rPr>
        <w:t xml:space="preserve"> </w:t>
      </w:r>
      <w:r>
        <w:rPr>
          <w:i/>
          <w:iCs/>
        </w:rPr>
        <w:t xml:space="preserve">Specifically, we use more diffusion steps (</w:t>
      </w:r>
      <m:oMath>
        <m:r>
          <m:t>T</m:t>
        </m:r>
      </m:oMath>
      <w:r>
        <w:rPr>
          <w:i/>
          <w:iCs/>
        </w:rPr>
        <w:t xml:space="preserve"> </w:t>
      </w:r>
      <w:r>
        <w:rPr>
          <w:i/>
          <w:iCs/>
        </w:rPr>
        <w:t xml:space="preserve">= 48 → 96), a wider temperature range (0.8–0.4 → 1.0–0.5), and a lower entropy bound (0.1 → 0.02), all of which contribute to stabilization. Soft denotes the untruncated distribution</w:t>
      </w:r>
      <w:r>
        <w:rPr>
          <w:i/>
          <w:iCs/>
        </w:rPr>
        <w:t xml:space="preserve"> </w:t>
      </w:r>
      <m:oMath>
        <m:sSup>
          <m:e>
            <m:r>
              <m:rPr>
                <m:sty m:val="b"/>
              </m:rPr>
              <m:t>s</m:t>
            </m:r>
          </m:e>
          <m:sup>
            <m:r>
              <m:t>t</m:t>
            </m:r>
          </m:sup>
        </m:sSup>
      </m:oMath>
      <w:r>
        <w:rPr>
          <w:i/>
          <w:iCs/>
        </w:rPr>
        <w:t xml:space="preserve">.</w:t>
      </w:r>
    </w:p>
    <w:bookmarkEnd w:id="33"/>
    <w:bookmarkStart w:id="48"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We looked for tasks where the model plausibly would hold several</w:t>
      </w:r>
      <w:r>
        <w:t xml:space="preserve"> </w:t>
      </w:r>
      <w:r>
        <w:t xml:space="preserve">“hypotheses”</w:t>
      </w:r>
      <w:r>
        <w:t xml:space="preserve"> </w:t>
      </w:r>
      <w:r>
        <w:t xml:space="preserve">in superposition, and do computation on them in parallel. We were able to construct a case study with</w:t>
      </w:r>
      <w:r>
        <w:t xml:space="preserve"> </w:t>
      </w:r>
      <w:r>
        <w:rPr>
          <w:i/>
          <w:iCs/>
        </w:rPr>
        <w:t xml:space="preserve">letter arithmetic</w:t>
      </w:r>
      <w:r>
        <w:t xml:space="preserve">, where we ask the model to shift a letter 3 down in the alphabet:</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w:t>
      </w:r>
    </w:p>
    <w:p>
      <w:pPr>
        <w:pStyle w:val="BodyText"/>
      </w:pPr>
      <w:r>
        <w:t xml:space="preserve">We here find that DG holds a probability distribution on the starting letter. Note however that there is a natural mechanism to implement this computation: embedding letters as points on a circle and rotating by an angle of 3/26. We were not able to easily find similar parallel computation in other settings.</w:t>
      </w:r>
    </w:p>
    <w:p>
      <w:pPr>
        <w:pStyle w:val="BodyText"/>
      </w:pPr>
      <w:r>
        <w:t xml:space="preserve">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5" name="Picture"/>
            <a:graphic>
              <a:graphicData uri="http://schemas.openxmlformats.org/drawingml/2006/picture">
                <pic:pic>
                  <pic:nvPicPr>
                    <pic:cNvPr descr="figs/fig2a_transfer_map.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b/>
          <w:bCs/>
          <w:i/>
          <w:iCs/>
        </w:rPr>
        <w:t xml:space="preserve">Perturbing subleading tokens predominantly triggers a response at corresponding target tokens.</w:t>
      </w:r>
      <w:r>
        <w:rPr>
          <w:i/>
          <w:iCs/>
        </w:rPr>
        <w:t xml:space="preserve"> </w:t>
      </w:r>
      <w:r>
        <w:rPr>
          <w:i/>
          <w:iCs/>
        </w:rPr>
        <w:t xml:space="preserve">x-axis: Injection token, y-axis: possible target tokens. Note the negative response at J, the target of the model’s natural response</w:t>
      </w:r>
      <w:r>
        <w:rPr>
          <w:i/>
          <w:iCs/>
        </w:rPr>
        <w:t xml:space="preserve"> </w:t>
      </w:r>
      <w:r>
        <w:rPr>
          <w:rStyle w:val="VerbatimChar"/>
          <w:i/>
          <w:iCs/>
        </w:rPr>
        <w:t xml:space="preserve">Letters: G, J</w:t>
      </w:r>
      <w:r>
        <w:rPr>
          <w:i/>
          <w:iCs/>
        </w:rPr>
        <w:t xml:space="preserve">.</w:t>
      </w:r>
    </w:p>
    <w:p>
      <w:pPr>
        <w:pStyle w:val="BodyText"/>
      </w:pPr>
      <w:r>
        <w:t xml:space="preserve">For illustration, here is a single intervention in full:</w:t>
      </w:r>
    </w:p>
    <w:p>
      <w:pPr>
        <w:pStyle w:val="CaptionedFigure"/>
      </w:pPr>
      <w:r>
        <w:drawing>
          <wp:inline>
            <wp:extent cx="5334000" cy="2554393"/>
            <wp:effectExtent b="0" l="0" r="0" t="0"/>
            <wp:docPr descr="Example intervention" title="" id="38" name="Picture"/>
            <a:graphic>
              <a:graphicData uri="http://schemas.openxmlformats.org/drawingml/2006/picture">
                <pic:pic>
                  <pic:nvPicPr>
                    <pic:cNvPr descr="figs/fig2a_example_intervention.png" id="39" name="Picture"/>
                    <pic:cNvPicPr>
                      <a:picLocks noChangeArrowheads="1" noChangeAspect="1"/>
                    </pic:cNvPicPr>
                  </pic:nvPicPr>
                  <pic:blipFill>
                    <a:blip r:embed="rId37"/>
                    <a:stretch>
                      <a:fillRect/>
                    </a:stretch>
                  </pic:blipFill>
                  <pic:spPr bwMode="auto">
                    <a:xfrm>
                      <a:off x="0" y="0"/>
                      <a:ext cx="5334000" cy="255439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b/>
          <w:bCs/>
          <w:i/>
          <w:iCs/>
        </w:rPr>
        <w:t xml:space="preserve">Example of one intervention.</w:t>
      </w:r>
      <w:r>
        <w:rPr>
          <w:i/>
          <w:iCs/>
        </w:rPr>
        <w:t xml:space="preserve"> </w:t>
      </w:r>
      <w:r>
        <w:rPr>
          <w:i/>
          <w:iCs/>
        </w:rPr>
        <w:t xml:space="preserve">a subleading injection on</w:t>
      </w:r>
      <w:r>
        <w:rPr>
          <w:i/>
          <w:iCs/>
        </w:rPr>
        <w:t xml:space="preserve"> </w:t>
      </w:r>
      <w:r>
        <w:rPr>
          <w:rStyle w:val="VerbatimChar"/>
          <w:i/>
          <w:iCs/>
        </w:rPr>
        <w:t xml:space="preserve">H</w:t>
      </w:r>
      <w:r>
        <w:rPr>
          <w:i/>
          <w:iCs/>
        </w:rPr>
        <w:t xml:space="preserve"> </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switches the answer slot from</w:t>
      </w:r>
      <w:r>
        <w:rPr>
          <w:i/>
          <w:iCs/>
        </w:rPr>
        <w:t xml:space="preserve"> </w:t>
      </w:r>
      <w:r>
        <w:rPr>
          <w:rStyle w:val="VerbatimChar"/>
          <w:i/>
          <w:iCs/>
        </w:rPr>
        <w:t xml:space="preserve">J</w:t>
      </w:r>
      <w:r>
        <w:rPr>
          <w:i/>
          <w:iCs/>
        </w:rPr>
        <w:t xml:space="preserve"> </w:t>
      </w:r>
      <w:r>
        <w:rPr>
          <w:i/>
          <w:iCs/>
        </w:rPr>
        <w:t xml:space="preserve">to</w:t>
      </w:r>
      <w:r>
        <w:rPr>
          <w:i/>
          <w:iCs/>
        </w:rPr>
        <w:t xml:space="preserve"> </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 Top shows the prompt, and the model’s</w:t>
      </w:r>
      <w:r>
        <w:rPr>
          <w:i/>
          <w:iCs/>
        </w:rPr>
        <w:t xml:space="preserve"> </w:t>
      </w:r>
      <w:r>
        <w:rPr>
          <w:i/>
          <w:iCs/>
        </w:rPr>
        <w:t xml:space="preserve">“natural”</w:t>
      </w:r>
      <w:r>
        <w:rPr>
          <w:i/>
          <w:iCs/>
        </w:rPr>
        <w:t xml:space="preserve"> </w:t>
      </w:r>
      <w:r>
        <w:rPr>
          <w:i/>
          <w:iCs/>
        </w:rPr>
        <w:t xml:space="preserve">output. The lower part shows previous and next step vocabulary distributions (minor columns), for the baseline run and after intervention, respectively. Note how the</w:t>
      </w:r>
      <w:r>
        <w:rPr>
          <w:i/>
          <w:iCs/>
        </w:rPr>
        <w:t xml:space="preserve"> </w:t>
      </w:r>
      <w:r>
        <w:rPr>
          <w:i/>
          <w:iCs/>
        </w:rPr>
        <w:t xml:space="preserve">“natural”</w:t>
      </w:r>
      <w:r>
        <w:rPr>
          <w:i/>
          <w:iCs/>
        </w:rPr>
        <w:t xml:space="preserve"> </w:t>
      </w:r>
      <w:r>
        <w:rPr>
          <w:i/>
          <w:iCs/>
        </w:rPr>
        <w:t xml:space="preserve">output J loses mass due to the competing injected mass on H (purple).</w:t>
      </w:r>
    </w:p>
    <w:bookmarkStart w:id="43" w:name="parallel-computation"/>
    <w:p>
      <w:pPr>
        <w:pStyle w:val="Heading3"/>
      </w:pPr>
      <w:r>
        <w:t xml:space="preserve">Parallel computation</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This would be interesting, since it would point to the model’s capacity to carry out simultaneous computation, a key advantage that latent reasoning models have on paper.</w:t>
      </w:r>
    </w:p>
    <w:p>
      <w:pPr>
        <w:pStyle w:val="BodyText"/>
      </w:pPr>
      <w:r>
        <w:t xml:space="preserve">To this end, we measured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images over the injection operand sets and images of</w:t>
      </w:r>
      <w:r>
        <w:t xml:space="preserve"> </w:t>
      </w:r>
      <w:r>
        <w:rPr>
          <w:i/>
          <w:iCs/>
        </w:rPr>
        <w:t xml:space="preserve">non-injected but possible operands</w:t>
      </w:r>
      <w:r>
        <w:t xml:space="preserve">, respectively, and measure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We then report the fraction of simultaneous injections that has positive response on all targets, as well as a null hypothesis if tokens would respond randomly.</w:t>
      </w:r>
    </w:p>
    <w:p>
      <w:pPr>
        <w:pStyle w:val="CaptionedFigure"/>
      </w:pPr>
      <w:r>
        <w:drawing>
          <wp:inline>
            <wp:extent cx="5334000" cy="4513384"/>
            <wp:effectExtent b="0" l="0" r="0" t="0"/>
            <wp:docPr descr="Parallel injection fraction" title="" id="41" name="Picture"/>
            <a:graphic>
              <a:graphicData uri="http://schemas.openxmlformats.org/drawingml/2006/picture">
                <pic:pic>
                  <pic:nvPicPr>
                    <pic:cNvPr descr="figs/fig2c_parallel_frac.png" id="42" name="Picture"/>
                    <pic:cNvPicPr>
                      <a:picLocks noChangeArrowheads="1" noChangeAspect="1"/>
                    </pic:cNvPicPr>
                  </pic:nvPicPr>
                  <pic:blipFill>
                    <a:blip r:embed="rId40"/>
                    <a:stretch>
                      <a:fillRect/>
                    </a:stretch>
                  </pic:blipFill>
                  <pic:spPr bwMode="auto">
                    <a:xfrm>
                      <a:off x="0" y="0"/>
                      <a:ext cx="5334000" cy="4513384"/>
                    </a:xfrm>
                    <a:prstGeom prst="rect">
                      <a:avLst/>
                    </a:prstGeom>
                    <a:noFill/>
                    <a:ln w="9525">
                      <a:noFill/>
                      <a:headEnd/>
                      <a:tailEnd/>
                    </a:ln>
                  </pic:spPr>
                </pic:pic>
              </a:graphicData>
            </a:graphic>
          </wp:inline>
        </w:drawing>
      </w:r>
    </w:p>
    <w:p>
      <w:pPr>
        <w:pStyle w:val="ImageCaption"/>
      </w:pPr>
      <w:r>
        <w:t xml:space="preserve">Parallel injection fraction</w:t>
      </w:r>
    </w:p>
    <w:p>
      <w:pPr>
        <w:pStyle w:val="BodyText"/>
      </w:pPr>
      <w:r>
        <w:rPr>
          <w:b/>
          <w:bCs/>
          <w:i/>
          <w:iCs/>
        </w:rPr>
        <w:t xml:space="preserve">DiffusionGemma responds to multiple injections in parallel, more than expected by chance.</w:t>
      </w:r>
      <w:r>
        <w:rPr>
          <w:i/>
          <w:iCs/>
        </w:rPr>
        <w:t xml:space="preserve"> </w:t>
      </w:r>
      <w:r>
        <w:rPr>
          <w:i/>
          <w:iCs/>
        </w:rPr>
        <w:t xml:space="preserve">Error bars are 95% CIs over possible injection operand sets.</w:t>
      </w:r>
    </w:p>
    <w:p>
      <w:pPr>
        <w:pStyle w:val="BodyText"/>
      </w:pPr>
      <w:r>
        <w:t xml:space="preserve">We observe that the average target response exceeds the non-target response for all injected members more often than chance, averaged over possible injection sets. This behavior is plausible considering the computation in question: a shift is easily implemented by a linear operation in representation space. Therefore by linearity, superpositions of letters will be transported to superpositions of responses. Overall, this leaves an interpretable picture.</w:t>
      </w:r>
    </w:p>
    <w:p>
      <w:pPr>
        <w:pStyle w:val="BodyText"/>
      </w:pPr>
      <w:r>
        <w:t xml:space="preserve">In contrast, we found that for multiplication (e.g. letter × 3) or taking the absolute value, there was no significant effect.</w:t>
      </w:r>
    </w:p>
    <w:bookmarkEnd w:id="43"/>
    <w:bookmarkStart w:id="4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 previous</w:t>
      </w:r>
      <w:r>
        <w:t xml:space="preserve"> </w:t>
      </w:r>
      <w:r>
        <w:rPr>
          <w:i/>
          <w:iCs/>
        </w:rPr>
        <w:t xml:space="preserve">letter arithmetic</w:t>
      </w:r>
      <w:r>
        <w:t xml:space="preserve"> </w:t>
      </w:r>
      <w:r>
        <w:t xml:space="preserve">task,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We ask the model</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fall leaves as soon as leaves fall</w:t>
      </w:r>
      <w:r>
        <w:t xml:space="preserve">) and a well-known</w:t>
      </w:r>
      <w:r>
        <w:t xml:space="preserve"> </w:t>
      </w:r>
      <w:r>
        <w:rPr>
          <w:i/>
          <w:iCs/>
        </w:rPr>
        <w:t xml:space="preserve">idiom</w:t>
      </w:r>
      <w:r>
        <w:t xml:space="preserve"> </w:t>
      </w:r>
      <w:r>
        <w:t xml:space="preserve">(</w:t>
      </w:r>
      <w:r>
        <w:rPr>
          <w:rStyle w:val="VerbatimChar"/>
        </w:rPr>
        <w:t xml:space="preserve">all for one and one for all</w:t>
      </w:r>
      <w:r>
        <w:t xml:space="preserve">). We measure how the probability mass of these two typical outcomes, summed over positions, varies over the course of diffusion.</w:t>
      </w:r>
    </w:p>
    <w:p>
      <w:pPr>
        <w:pStyle w:val="CaptionedFigure"/>
      </w:pPr>
      <w:r>
        <w:drawing>
          <wp:inline>
            <wp:extent cx="5334000" cy="2956891"/>
            <wp:effectExtent b="0" l="0" r="0" t="0"/>
            <wp:docPr descr="Seasonal vs idiom: ablation" title="" id="45" name="Picture"/>
            <a:graphic>
              <a:graphicData uri="http://schemas.openxmlformats.org/drawingml/2006/picture">
                <pic:pic>
                  <pic:nvPicPr>
                    <pic:cNvPr descr="figs/figA5_seasonal_ember_kill.png" id="46" name="Picture"/>
                    <pic:cNvPicPr>
                      <a:picLocks noChangeArrowheads="1" noChangeAspect="1"/>
                    </pic:cNvPicPr>
                  </pic:nvPicPr>
                  <pic:blipFill>
                    <a:blip r:embed="rId4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Ablating a nascent contender can prevent takeover (during an intermediate step window).</w:t>
      </w:r>
      <w:r>
        <w:rPr>
          <w:i/>
          <w:iCs/>
        </w:rPr>
        <w:t xml:space="preserve"> </w:t>
      </w:r>
      <w:r>
        <w:rPr>
          <w:i/>
          <w:iCs/>
        </w:rPr>
        <w:t xml:space="preserve">Probability mass of the two completions at the contested slots, summed over comprising tokens (black: idiom, purple: seasonal). Top row: Base run without interventions. Bottom row: ablation of the idiom’s probability mass (red) beyond step</w:t>
      </w:r>
      <w:r>
        <w:rPr>
          <w:i/>
          <w:iCs/>
        </w:rPr>
        <w:t xml:space="preserve"> </w:t>
      </w:r>
      <m:oMath>
        <m:r>
          <m:t>t</m:t>
        </m:r>
        <m:r>
          <m:rPr>
            <m:sty m:val="p"/>
          </m:rPr>
          <m:t>=</m:t>
        </m:r>
        <m:r>
          <m:t>2</m:t>
        </m:r>
      </m:oMath>
      <w:r>
        <w:rPr>
          <w:i/>
          <w:iCs/>
        </w:rP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when ablating</w:t>
      </w:r>
      <w:r>
        <w:t xml:space="preserve"> </w:t>
      </w:r>
      <w:r>
        <w:rPr>
          <w:i/>
          <w:iCs/>
        </w:rPr>
        <w:t xml:space="preserve">idiom</w:t>
      </w:r>
      <w:r>
        <w:t xml:space="preserve">’s tokens, the transition can be prevented. Note however that early and late ablation do not have this effect.</w:t>
      </w:r>
    </w:p>
    <w:bookmarkEnd w:id="47"/>
    <w:bookmarkEnd w:id="48"/>
    <w:bookmarkStart w:id="73" w:name="transfer-of-interpretability-techniques"/>
    <w:p>
      <w:pPr>
        <w:pStyle w:val="Heading2"/>
      </w:pPr>
      <w:r>
        <w:t xml:space="preserve">Transfer of interpretability techniques</w:t>
      </w:r>
    </w:p>
    <w:p>
      <w:pPr>
        <w:pStyle w:val="FirstParagraph"/>
      </w:pPr>
      <w:r>
        <w:t xml:space="preserve">So far, we have focused on DiffusionGemma’s behavior. We here study whether the model’s representation supports the behavioral finding of high monitorability.</w:t>
      </w:r>
    </w:p>
    <w:bookmarkStart w:id="53" w:name="representation-similarity"/>
    <w:p>
      <w:pPr>
        <w:pStyle w:val="Heading3"/>
      </w:pPr>
      <w:r>
        <w:t xml:space="preserve">Representation similarity</w:t>
      </w:r>
    </w:p>
    <w:p>
      <w:pPr>
        <w:pStyle w:val="FirstParagraph"/>
      </w:pPr>
      <w:r>
        <w:t xml:space="preserve">We first ask about how the representation changes between Gemma and DiffusionGemma, and then will ask about functional implications.</w:t>
      </w:r>
    </w:p>
    <w:p>
      <w:pPr>
        <w:pStyle w:val="BodyText"/>
      </w:pPr>
      <w:r>
        <w:t xml:space="preserve">A simple way is to just measure overlap between pairs of inputs, where each element of the pair is fed through Gemma or DiffusionGemma, respectively. We here compare a simple cosine similarity, and centered kernel analysis (CKA, a measure that is invariant to global rotations of the representation).</w:t>
      </w:r>
    </w:p>
    <w:p>
      <w:pPr>
        <w:pStyle w:val="CaptionedFigure"/>
      </w:pPr>
      <w:r>
        <w:drawing>
          <wp:inline>
            <wp:extent cx="5334000" cy="2125265"/>
            <wp:effectExtent b="0" l="0" r="0" t="0"/>
            <wp:docPr descr="RSA cosine and CKA" title="" id="50" name="Picture"/>
            <a:graphic>
              <a:graphicData uri="http://schemas.openxmlformats.org/drawingml/2006/picture">
                <pic:pic>
                  <pic:nvPicPr>
                    <pic:cNvPr descr="figs/figA1_rsa_cosine_cka.png" id="51" name="Picture"/>
                    <pic:cNvPicPr>
                      <a:picLocks noChangeArrowheads="1" noChangeAspect="1"/>
                    </pic:cNvPicPr>
                  </pic:nvPicPr>
                  <pic:blipFill>
                    <a:blip r:embed="rId49"/>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b/>
          <w:bCs/>
          <w:i/>
          <w:iCs/>
        </w:rPr>
        <w:t xml:space="preserve">Representational similarity falls with layers, and is significantly driven by bare model difference and bidirectional attention.</w:t>
      </w:r>
      <w:r>
        <w:rPr>
          <w:i/>
          <w:iCs/>
        </w:rPr>
        <w:t xml:space="preserve"> </w:t>
      </w:r>
      <w:r>
        <w:rPr>
          <w:i/>
          <w:iCs/>
        </w:rPr>
        <w:t xml:space="preserve">Inputs are concepts from (</w:t>
      </w:r>
      <w:hyperlink r:id="rId52">
        <w:r>
          <w:rPr>
            <w:rStyle w:val="Hyperlink"/>
            <w:i/>
            <w:iCs/>
          </w:rPr>
          <w:t xml:space="preserve">Kantamneni et al., 2025</w:t>
        </w:r>
      </w:hyperlink>
      <w:r>
        <w:rPr>
          <w:i/>
          <w:iCs/>
        </w:rPr>
        <w:t xml:space="preserve">).</w:t>
      </w:r>
    </w:p>
    <w:p>
      <w:pPr>
        <w:pStyle w:val="BodyText"/>
      </w:pPr>
      <w:r>
        <w:t xml:space="preserve">A priori, this rather large drop suggests a significant change in how the representation is organized, which we then went on to test more specifically.</w:t>
      </w:r>
    </w:p>
    <w:bookmarkEnd w:id="53"/>
    <w:bookmarkStart w:id="58" w:name="probe-retention"/>
    <w:p>
      <w:pPr>
        <w:pStyle w:val="Heading3"/>
      </w:pPr>
      <w:r>
        <w:t xml:space="preserve">Probe retention</w:t>
      </w:r>
    </w:p>
    <w:p>
      <w:pPr>
        <w:pStyle w:val="FirstParagraph"/>
      </w:pPr>
      <w:r>
        <w:t xml:space="preserve">Probing allows us to study how well a model separates concepts. We use 56 binary concept datasets from the SAE-Probes benchmark (</w:t>
      </w:r>
      <w:hyperlink r:id="rId52">
        <w:r>
          <w:rPr>
            <w:rStyle w:val="Hyperlink"/>
          </w:rPr>
          <w:t xml:space="preserve">Kantamneni et al., 2025</w:t>
        </w:r>
      </w:hyperlink>
      <w:r>
        <w:t xml:space="preserve">) and train logistic-regression probes on gemma-4’s residual stream (≤ 1024 training examples for most concepts, 256 held-out), optimizing the layer via heldout AUC. We then test this probe on DG.</w:t>
      </w:r>
    </w:p>
    <w:p>
      <w:pPr>
        <w:pStyle w:val="CaptionedFigure"/>
      </w:pPr>
      <w:r>
        <w:drawing>
          <wp:inline>
            <wp:extent cx="5334000" cy="3810846"/>
            <wp:effectExtent b="0" l="0" r="0" t="0"/>
            <wp:docPr descr="Probe retention" title="" id="55" name="Picture"/>
            <a:graphic>
              <a:graphicData uri="http://schemas.openxmlformats.org/drawingml/2006/picture">
                <pic:pic>
                  <pic:nvPicPr>
                    <pic:cNvPr descr="figs/figA2_probe_retention.png" id="56" name="Picture"/>
                    <pic:cNvPicPr>
                      <a:picLocks noChangeArrowheads="1" noChangeAspect="1"/>
                    </pic:cNvPicPr>
                  </pic:nvPicPr>
                  <pic:blipFill>
                    <a:blip r:embed="rId54"/>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On this instance, the same gemma-trained probe scores gemma-4 and DG activations near-identically. Ticks: &lt;read model&gt; · &lt;attention mode&gt; · &lt;read position&gt;.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57"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57"/>
    <w:bookmarkEnd w:id="58"/>
    <w:bookmarkStart w:id="63"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9">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needs to make a forced choice to select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61" name="Picture"/>
            <a:graphic>
              <a:graphicData uri="http://schemas.openxmlformats.org/drawingml/2006/picture">
                <pic:pic>
                  <pic:nvPicPr>
                    <pic:cNvPr descr="figs/figA3_steer_retention.png" id="62" name="Picture"/>
                    <pic:cNvPicPr>
                      <a:picLocks noChangeArrowheads="1" noChangeAspect="1"/>
                    </pic:cNvPicPr>
                  </pic:nvPicPr>
                  <pic:blipFill>
                    <a:blip r:embed="rId60"/>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63"/>
    <w:bookmarkStart w:id="72" w:name="j-lens-retention"/>
    <w:p>
      <w:pPr>
        <w:pStyle w:val="Heading3"/>
      </w:pPr>
      <w:r>
        <w:t xml:space="preserve">J-Lens retention</w:t>
      </w:r>
    </w:p>
    <w:p>
      <w:pPr>
        <w:pStyle w:val="FirstParagraph"/>
      </w:pPr>
      <w:r>
        <w:t xml:space="preserve">The</w:t>
      </w:r>
      <w:r>
        <w:t xml:space="preserve"> </w:t>
      </w:r>
      <w:hyperlink r:id="rId64">
        <w:r>
          <w:rPr>
            <w:rStyle w:val="Hyperlink"/>
          </w:rPr>
          <w:t xml:space="preserve">Jacobian lens</w:t>
        </w:r>
      </w:hyperlink>
      <w:r>
        <w:t xml:space="preserve"> </w:t>
      </w:r>
      <w:r>
        <w:t xml:space="preserve">describes how a residual-stream activation</w:t>
      </w:r>
      <w:r>
        <w:t xml:space="preserve"> </w:t>
      </w:r>
      <m:oMath>
        <m:sSub>
          <m:e>
            <m:r>
              <m:t>h</m:t>
            </m:r>
          </m:e>
          <m:sub>
            <m:r>
              <m:rPr>
                <m:sty m:val="p"/>
              </m:rPr>
              <m:t>ℓ</m:t>
            </m:r>
          </m:sub>
        </m:sSub>
      </m:oMath>
      <w:r>
        <w:t xml:space="preserve"> </w:t>
      </w:r>
      <w:r>
        <w:t xml:space="preserve">affects future output, on average.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66" name="Picture"/>
            <a:graphic>
              <a:graphicData uri="http://schemas.openxmlformats.org/drawingml/2006/picture">
                <pic:pic>
                  <pic:nvPicPr>
                    <pic:cNvPr descr="figs/figA4_jlens_retention.png" id="67" name="Picture"/>
                    <pic:cNvPicPr>
                      <a:picLocks noChangeArrowheads="1" noChangeAspect="1"/>
                    </pic:cNvPicPr>
                  </pic:nvPicPr>
                  <pic:blipFill>
                    <a:blip r:embed="rId65"/>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64">
        <w:r>
          <w:rPr>
            <w:rStyle w:val="Hyperlink"/>
            <w:i/>
            <w:iCs/>
          </w:rPr>
          <w:t xml:space="preserve">J-Lens paper</w:t>
        </w:r>
      </w:hyperlink>
      <w:r>
        <w:rPr>
          <w:i/>
          <w:iCs/>
        </w:rPr>
        <w:t xml:space="preserve">). Bottom: An example poetry eval task, where the models surface the rhyme already one line in advance. Ticks show the computed Jacobian:</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The expectation is taken over samples</w:t>
      </w:r>
      <w:r>
        <w:rPr>
          <w:i/>
          <w:iCs/>
        </w:rPr>
        <w:t xml:space="preserve"> </w:t>
      </w:r>
      <m:oMath>
        <m:r>
          <m:t>X</m:t>
        </m:r>
      </m:oMath>
      <w:r>
        <w:rPr>
          <w:i/>
          <w:iCs/>
        </w:rPr>
        <w:t xml:space="preserve"> </w:t>
      </w:r>
      <w:r>
        <w:rPr>
          <w:i/>
          <w:iCs/>
        </w:rPr>
        <w:t xml:space="preserve">of WikiText.</w:t>
      </w:r>
    </w:p>
    <w:bookmarkStart w:id="71" w:name="X9b7ff029db2884a5e97d7b865768ea997429a17"/>
    <w:p>
      <w:pPr>
        <w:pStyle w:val="Heading4"/>
      </w:pPr>
      <w:r>
        <w:t xml:space="preserve">DiffusionGemma represents tokens acausally</w:t>
      </w:r>
    </w:p>
    <w:p>
      <w:pPr>
        <w:pStyle w:val="FirstParagraph"/>
      </w:pPr>
      <w:r>
        <w:t xml:space="preserve">Since DiffusionGemma uses bidirectional attention, it is interesting to ask whether J-space percept will also be distributed in a non-causal way. In particular, do they occur before the token that triggers them? Indeed, we found such instances on some problems:</w:t>
      </w:r>
    </w:p>
    <w:p>
      <w:pPr>
        <w:pStyle w:val="CaptionedFigure"/>
      </w:pPr>
      <w:r>
        <w:drawing>
          <wp:inline>
            <wp:extent cx="5334000" cy="1197186"/>
            <wp:effectExtent b="0" l="0" r="0" t="0"/>
            <wp:docPr descr="J-Lens future operation" title="" id="69" name="Picture"/>
            <a:graphic>
              <a:graphicData uri="http://schemas.openxmlformats.org/drawingml/2006/picture">
                <pic:pic>
                  <pic:nvPicPr>
                    <pic:cNvPr descr="figs/figA6_jlens_future.png" id="70" name="Picture"/>
                    <pic:cNvPicPr>
                      <a:picLocks noChangeArrowheads="1" noChangeAspect="1"/>
                    </pic:cNvPicPr>
                  </pic:nvPicPr>
                  <pic:blipFill>
                    <a:blip r:embed="rId68"/>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A position preceding the operand will hold it in J-space.</w:t>
      </w:r>
      <w:r>
        <w:rPr>
          <w:i/>
          <w:iCs/>
        </w:rPr>
        <w:t xml:space="preserve"> </w:t>
      </w:r>
      <w:r>
        <w:rPr>
          <w:i/>
          <w:iCs/>
        </w:rPr>
        <w:t xml:space="preserve">Shown are the top-5 J-space tokens.</w:t>
      </w:r>
    </w:p>
    <w:bookmarkEnd w:id="71"/>
    <w:bookmarkEnd w:id="72"/>
    <w:bookmarkEnd w:id="73"/>
    <w:bookmarkStart w:id="74" w:name="conclusion"/>
    <w:p>
      <w:pPr>
        <w:pStyle w:val="Heading2"/>
      </w:pPr>
      <w:r>
        <w:t xml:space="preserve">Conclusion</w:t>
      </w:r>
    </w:p>
    <w:p>
      <w:pPr>
        <w:pStyle w:val="FirstParagraph"/>
      </w:pPr>
      <w:r>
        <w:t xml:space="preserve">In this post, we have studied whether DiffusionGemma does latent reasoning via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1">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nontrivial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research.</w:t>
      </w:r>
    </w:p>
    <w:bookmarkEnd w:id="74"/>
    <w:bookmarkStart w:id="91" w:name="appendix"/>
    <w:p>
      <w:pPr>
        <w:pStyle w:val="Heading2"/>
      </w:pPr>
      <w:r>
        <w:t xml:space="preserve">Appendix</w:t>
      </w:r>
    </w:p>
    <w:p>
      <w:pPr>
        <w:pStyle w:val="FirstParagraph"/>
      </w:pPr>
      <w:r>
        <w:t xml:space="preserve">Here we discuss some additional interesting phenomena in DiffusionGemma relating to its monitorability that do not depend on using its distributional state, but rather arise from bidirectional attention and looped generation per se.</w:t>
      </w:r>
    </w:p>
    <w:bookmarkStart w:id="86" w:name="post-hoc-rationalization"/>
    <w:p>
      <w:pPr>
        <w:pStyle w:val="Heading3"/>
      </w:pPr>
      <w:r>
        <w:t xml:space="preserve">Post-hoc rationalization</w:t>
      </w:r>
    </w:p>
    <w:p>
      <w:pPr>
        <w:pStyle w:val="FirstParagraph"/>
      </w:pPr>
      <w:r>
        <w:t xml:space="preserve">An important question in monitorability (</w:t>
      </w:r>
      <w:hyperlink r:id="rId75">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monitorability.</w:t>
      </w:r>
    </w:p>
    <w:p>
      <w:pPr>
        <w:pStyle w:val="CaptionedFigure"/>
      </w:pPr>
      <w:r>
        <w:drawing>
          <wp:inline>
            <wp:extent cx="5334000" cy="1619249"/>
            <wp:effectExtent b="0" l="0" r="0" t="0"/>
            <wp:docPr descr="Post-hoc correlations" title="" id="77" name="Picture"/>
            <a:graphic>
              <a:graphicData uri="http://schemas.openxmlformats.org/drawingml/2006/picture">
                <pic:pic>
                  <pic:nvPicPr>
                    <pic:cNvPr descr="figs/figA8_posthoc_correlations.png" id="78" name="Picture"/>
                    <pic:cNvPicPr>
                      <a:picLocks noChangeArrowheads="1" noChangeAspect="1"/>
                    </pic:cNvPicPr>
                  </pic:nvPicPr>
                  <pic:blipFill>
                    <a:blip r:embed="rId76"/>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cognitive-reflection-test problems that have a suggestive but wrong answer (crt), counting/enumeration (count), hard arithmetic/enumeration (hard), and multi-hop compute-then-transform chains (transform), see the code repository for details.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80" name="Picture"/>
            <a:graphic>
              <a:graphicData uri="http://schemas.openxmlformats.org/drawingml/2006/picture">
                <pic:pic>
                  <pic:nvPicPr>
                    <pic:cNvPr descr="figs/figA8b_posthoc_case.png" id="81" name="Picture"/>
                    <pic:cNvPicPr>
                      <a:picLocks noChangeArrowheads="1" noChangeAspect="1"/>
                    </pic:cNvPicPr>
                  </pic:nvPicPr>
                  <pic:blipFill>
                    <a:blip r:embed="rId79"/>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85"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83" name="Picture"/>
            <a:graphic>
              <a:graphicData uri="http://schemas.openxmlformats.org/drawingml/2006/picture">
                <pic:pic>
                  <pic:nvPicPr>
                    <pic:cNvPr descr="figs/figA9_resolution.png" id="84" name="Picture"/>
                    <pic:cNvPicPr>
                      <a:picLocks noChangeArrowheads="1" noChangeAspect="1"/>
                    </pic:cNvPicPr>
                  </pic:nvPicPr>
                  <pic:blipFill>
                    <a:blip r:embed="rId82"/>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 n is the number of tasks in each panel, taken from the previous figure.</w:t>
      </w:r>
    </w:p>
    <w:bookmarkEnd w:id="85"/>
    <w:bookmarkEnd w:id="86"/>
    <w:bookmarkStart w:id="90" w:name="X750f5a405227149eb0381e6a9408fc28a798756"/>
    <w:p>
      <w:pPr>
        <w:pStyle w:val="Heading3"/>
      </w:pPr>
      <w:r>
        <w:t xml:space="preserve">How bidirectional are DiffusionGemma’s generations?</w:t>
      </w:r>
    </w:p>
    <w:p>
      <w:pPr>
        <w:pStyle w:val="FirstParagraph"/>
      </w:pPr>
      <w:r>
        <w:t xml:space="preserve">One of the differences in DiffusionGemma is that it has bidirectional attention. While some tasks relying on some form of logical induction require causal left-to-right generation, other tasks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8" name="Picture"/>
            <a:graphic>
              <a:graphicData uri="http://schemas.openxmlformats.org/drawingml/2006/picture">
                <pic:pic>
                  <pic:nvPicPr>
                    <pic:cNvPr descr="figs/figA11_commit_causality.png" id="89" name="Picture"/>
                    <pic:cNvPicPr>
                      <a:picLocks noChangeArrowheads="1" noChangeAspect="1"/>
                    </pic:cNvPicPr>
                  </pic:nvPicPr>
                  <pic:blipFill>
                    <a:blip r:embed="rId87"/>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 n denotes distinct task instances.</w:t>
      </w:r>
    </w:p>
    <w:p>
      <w:pPr>
        <w:pStyle w:val="BodyText"/>
      </w:pPr>
      <w:r>
        <w:t xml:space="preserve">We considered three tasks: GPQA, which involves logic-style problems and therefore should require left-to-right generation,</w:t>
      </w:r>
      <w:r>
        <w:t xml:space="preserve"> </w:t>
      </w:r>
      <w:r>
        <w:rPr>
          <w:i/>
          <w:iCs/>
        </w:rPr>
        <w:t xml:space="preserve">poem writing</w:t>
      </w:r>
      <w:r>
        <w:t xml:space="preserve">, which has no clear left-to-right bias but only needs to satisfy a global structure, and</w:t>
      </w:r>
      <w:r>
        <w:t xml:space="preserve"> </w:t>
      </w:r>
      <w:r>
        <w:rPr>
          <w:i/>
          <w:iCs/>
        </w:rPr>
        <w:t xml:space="preserve">reverse_chain</w:t>
      </w:r>
      <w:r>
        <w:t xml:space="preserve">, which requires the model to reverse its reasoning order.</w:t>
      </w:r>
    </w:p>
    <w:bookmarkEnd w:id="90"/>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87" Target="media/rId87.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hyperlink" Id="rId28" Target="https://arxiv.org/abs/2301.13196" TargetMode="External" /><Relationship Type="http://schemas.openxmlformats.org/officeDocument/2006/relationships/hyperlink" Id="rId59" Target="https://arxiv.org/abs/2310.01405" TargetMode="External" /><Relationship Type="http://schemas.openxmlformats.org/officeDocument/2006/relationships/hyperlink" Id="rId52" Target="https://arxiv.org/abs/2502.16681" TargetMode="External" /><Relationship Type="http://schemas.openxmlformats.org/officeDocument/2006/relationships/hyperlink" Id="rId75" Target="https://arxiv.org/abs/2506.19143" TargetMode="External" /><Relationship Type="http://schemas.openxmlformats.org/officeDocument/2006/relationships/hyperlink" Id="rId24" Target="https://arxiv.org/abs/2507.06203" TargetMode="External" /><Relationship Type="http://schemas.openxmlformats.org/officeDocument/2006/relationships/hyperlink" Id="rId23" Target="https://arxiv.org/abs/2512.18311" TargetMode="External" /><Relationship Type="http://schemas.openxmlformats.org/officeDocument/2006/relationships/hyperlink" Id="rId20" Target="https://arxiv.org/abs/2603.09786" TargetMode="External" /><Relationship Type="http://schemas.openxmlformats.org/officeDocument/2006/relationships/hyperlink" Id="rId21" Target="https://arxiv.org/abs/2606.20560" TargetMode="External" /><Relationship Type="http://schemas.openxmlformats.org/officeDocument/2006/relationships/hyperlink" Id="rId27" Target="https://arxiv.org/abs/2608.00146" TargetMode="External" /><Relationship Type="http://schemas.openxmlformats.org/officeDocument/2006/relationships/hyperlink" Id="rId26" Target="https://newsletter.maartengrootendorst.com/p/a-visual-guide-to-diffusiongemma" TargetMode="External" /><Relationship Type="http://schemas.openxmlformats.org/officeDocument/2006/relationships/hyperlink" Id="rId64"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8" Target="https://arxiv.org/abs/2301.13196" TargetMode="External" /><Relationship Type="http://schemas.openxmlformats.org/officeDocument/2006/relationships/hyperlink" Id="rId59" Target="https://arxiv.org/abs/2310.01405" TargetMode="External" /><Relationship Type="http://schemas.openxmlformats.org/officeDocument/2006/relationships/hyperlink" Id="rId52" Target="https://arxiv.org/abs/2502.16681" TargetMode="External" /><Relationship Type="http://schemas.openxmlformats.org/officeDocument/2006/relationships/hyperlink" Id="rId75" Target="https://arxiv.org/abs/2506.19143" TargetMode="External" /><Relationship Type="http://schemas.openxmlformats.org/officeDocument/2006/relationships/hyperlink" Id="rId24" Target="https://arxiv.org/abs/2507.06203" TargetMode="External" /><Relationship Type="http://schemas.openxmlformats.org/officeDocument/2006/relationships/hyperlink" Id="rId23" Target="https://arxiv.org/abs/2512.18311" TargetMode="External" /><Relationship Type="http://schemas.openxmlformats.org/officeDocument/2006/relationships/hyperlink" Id="rId20" Target="https://arxiv.org/abs/2603.09786" TargetMode="External" /><Relationship Type="http://schemas.openxmlformats.org/officeDocument/2006/relationships/hyperlink" Id="rId21" Target="https://arxiv.org/abs/2606.20560" TargetMode="External" /><Relationship Type="http://schemas.openxmlformats.org/officeDocument/2006/relationships/hyperlink" Id="rId27" Target="https://arxiv.org/abs/2608.00146" TargetMode="External" /><Relationship Type="http://schemas.openxmlformats.org/officeDocument/2006/relationships/hyperlink" Id="rId26" Target="https://newsletter.maartengrootendorst.com/p/a-visual-guide-to-diffusiongemma" TargetMode="External" /><Relationship Type="http://schemas.openxmlformats.org/officeDocument/2006/relationships/hyperlink" Id="rId64"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2026-08-15T18:07:20Z</dcterms:created>
  <dcterms:modified xsi:type="dcterms:W3CDTF">2026-08-15T18:07:20Z</dcterms:modified>
</cp:coreProperties>
</file>

<file path=docProps/custom.xml><?xml version="1.0" encoding="utf-8"?>
<Properties xmlns="http://schemas.openxmlformats.org/officeDocument/2006/custom-properties" xmlns:vt="http://schemas.openxmlformats.org/officeDocument/2006/docPropsVTypes"/>
</file>