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Override PartName="/word/media/rId30.png" ContentType="image/png"/>
  <Override PartName="/word/media/rId85.png" ContentType="image/png"/>
  <Override PartName="/word/media/rId65.png" ContentType="image/png"/>
  <Override PartName="/word/media/rId57.png" ContentType="image/png"/>
  <Override PartName="/word/media/rId38.png" ContentType="image/png"/>
  <Override PartName="/word/media/rId43.png" ContentType="image/png"/>
  <Override PartName="/word/media/rId49.png" ContentType="image/png"/>
  <Override PartName="/word/media/rId54.png" ContentType="image/png"/>
  <Override PartName="/word/media/rId69.png" ContentType="image/png"/>
  <Override PartName="/word/media/rId60.png" ContentType="image/png"/>
  <Override PartName="/word/media/rId74.png" ContentType="image/png"/>
  <Override PartName="/word/media/rId77.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f5e660dc2e9c1a368125465a5756c31f66c44e2"/>
    <w:p>
      <w:pPr>
        <w:pStyle w:val="Heading4"/>
      </w:pPr>
      <w:r>
        <w:t xml:space="preserve">Does DiffusionGemma have latent reasoning?</w:t>
      </w:r>
    </w:p>
    <w:bookmarkEnd w:id="20"/>
    <w:bookmarkStart w:id="21"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1"/>
    <w:bookmarkStart w:id="24"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 This threshold is an</w:t>
      </w:r>
      <w:r>
        <w:t xml:space="preserve"> </w:t>
      </w:r>
      <w:r>
        <w:rPr>
          <w:i/>
          <w:iCs/>
        </w:rPr>
        <w:t xml:space="preserve">entropy bound</w:t>
      </w:r>
      <w:r>
        <w:t xml:space="preserve"> </w:t>
      </w:r>
      <w:r>
        <w:t xml:space="preserve">on</w:t>
      </w:r>
      <w:r>
        <w:t xml:space="preserve"> </w:t>
      </w:r>
      <m:oMath>
        <m:sSubSup>
          <m:e>
            <m:r>
              <m:rPr>
                <m:sty m:val="b"/>
              </m:rPr>
              <m:t>s</m:t>
            </m:r>
          </m:e>
          <m:sub>
            <m:r>
              <m:t>i</m:t>
            </m:r>
          </m:sub>
          <m:sup>
            <m:r>
              <m:t>t</m:t>
            </m:r>
          </m:sup>
        </m:sSubSup>
      </m:oMath>
      <w:r>
        <w:t xml:space="preserve">: positions are accepted in order of increasing entropy until the budget is spent, and every remaining position is renoised uniformly at random. The proposal tokens themselves are sampled from</w:t>
      </w:r>
      <w:r>
        <w:t xml:space="preserve"> </w:t>
      </w:r>
      <m:oMath>
        <m:sSup>
          <m:e>
            <m:r>
              <m:rPr>
                <m:sty m:val="b"/>
              </m:rPr>
              <m:t>s</m:t>
            </m:r>
          </m:e>
          <m:sup>
            <m:r>
              <m:t>t</m:t>
            </m:r>
          </m:sup>
        </m:sSup>
      </m:oMath>
      <w:r>
        <w:t xml:space="preserve"> </w:t>
      </w:r>
      <w:r>
        <w:t xml:space="preserve">at a temperature that anneals over the run. Together with the total number of diffusion steps</w:t>
      </w:r>
      <w:r>
        <w:t xml:space="preserve"> </w:t>
      </w:r>
      <m:oMath>
        <m:r>
          <m:t>T</m:t>
        </m:r>
      </m:oMath>
      <w:r>
        <w:t xml:space="preserve">, which caps how many refinement passes the canvas receives, these are the sampler settings we adjust below.</w:t>
      </w:r>
    </w:p>
    <w:p>
      <w:pPr>
        <w:pStyle w:val="BodyText"/>
      </w:pPr>
      <w:r>
        <w:t xml:space="preserve">For a visual and more detailed introduction to DiffusionGemma, see</w:t>
      </w:r>
      <w:r>
        <w:t xml:space="preserve"> </w:t>
      </w:r>
      <w:hyperlink r:id="rId22">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3">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4"/>
    <w:bookmarkStart w:id="29"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5">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7" name="Picture"/>
            <a:graphic>
              <a:graphicData uri="http://schemas.openxmlformats.org/drawingml/2006/picture">
                <pic:pic>
                  <pic:nvPicPr>
                    <pic:cNvPr descr="figs/fig1_gpqa_trunc_failure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5">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9"/>
    <w:bookmarkStart w:id="36"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5">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1" name="Picture"/>
            <a:graphic>
              <a:graphicData uri="http://schemas.openxmlformats.org/drawingml/2006/picture">
                <pic:pic>
                  <pic:nvPicPr>
                    <pic:cNvPr descr="figs/fig2a_transfer_map.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554393"/>
            <wp:effectExtent b="0" l="0" r="0" t="0"/>
            <wp:docPr descr="Example intervention" title="" id="34" name="Picture"/>
            <a:graphic>
              <a:graphicData uri="http://schemas.openxmlformats.org/drawingml/2006/picture">
                <pic:pic>
                  <pic:nvPicPr>
                    <pic:cNvPr descr="figs/fig2a_example_intervention.png" id="35" name="Picture"/>
                    <pic:cNvPicPr>
                      <a:picLocks noChangeArrowheads="1" noChangeAspect="1"/>
                    </pic:cNvPicPr>
                  </pic:nvPicPr>
                  <pic:blipFill>
                    <a:blip r:embed="rId33"/>
                    <a:stretch>
                      <a:fillRect/>
                    </a:stretch>
                  </pic:blipFill>
                  <pic:spPr bwMode="auto">
                    <a:xfrm>
                      <a:off x="0" y="0"/>
                      <a:ext cx="5334000" cy="255439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6"/>
    <w:bookmarkStart w:id="37"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5">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7"/>
    <w:bookmarkStart w:id="89" w:name="appendix"/>
    <w:p>
      <w:pPr>
        <w:pStyle w:val="Heading2"/>
      </w:pPr>
      <w:r>
        <w:t xml:space="preserve">Appendix</w:t>
      </w:r>
    </w:p>
    <w:p>
      <w:pPr>
        <w:pStyle w:val="FirstParagraph"/>
      </w:pPr>
      <w:r>
        <w:t xml:space="preserve">The findings by</w:t>
      </w:r>
      <w:r>
        <w:t xml:space="preserve"> </w:t>
      </w:r>
      <w:hyperlink r:id="rId25">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2"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9" name="Picture"/>
            <a:graphic>
              <a:graphicData uri="http://schemas.openxmlformats.org/drawingml/2006/picture">
                <pic:pic>
                  <pic:nvPicPr>
                    <pic:cNvPr descr="figs/figA1_rsa_cosine_cka.png" id="40" name="Picture"/>
                    <pic:cNvPicPr>
                      <a:picLocks noChangeArrowheads="1" noChangeAspect="1"/>
                    </pic:cNvPicPr>
                  </pic:nvPicPr>
                  <pic:blipFill>
                    <a:blip r:embed="rId38"/>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1">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2"/>
    <w:bookmarkStart w:id="47"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1">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4" name="Picture"/>
            <a:graphic>
              <a:graphicData uri="http://schemas.openxmlformats.org/drawingml/2006/picture">
                <pic:pic>
                  <pic:nvPicPr>
                    <pic:cNvPr descr="figs/figA2_probe_retention.png" id="45" name="Picture"/>
                    <pic:cNvPicPr>
                      <a:picLocks noChangeArrowheads="1" noChangeAspect="1"/>
                    </pic:cNvPicPr>
                  </pic:nvPicPr>
                  <pic:blipFill>
                    <a:blip r:embed="rId43"/>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6"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6"/>
    <w:bookmarkEnd w:id="47"/>
    <w:bookmarkStart w:id="52"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8">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0" name="Picture"/>
            <a:graphic>
              <a:graphicData uri="http://schemas.openxmlformats.org/drawingml/2006/picture">
                <pic:pic>
                  <pic:nvPicPr>
                    <pic:cNvPr descr="figs/figA3_steer_retention.png" id="51" name="Picture"/>
                    <pic:cNvPicPr>
                      <a:picLocks noChangeArrowheads="1" noChangeAspect="1"/>
                    </pic:cNvPicPr>
                  </pic:nvPicPr>
                  <pic:blipFill>
                    <a:blip r:embed="rId49"/>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2"/>
    <w:bookmarkStart w:id="64" w:name="j-lens-retention"/>
    <w:p>
      <w:pPr>
        <w:pStyle w:val="Heading3"/>
      </w:pPr>
      <w:r>
        <w:t xml:space="preserve">J-Lens retention</w:t>
      </w:r>
    </w:p>
    <w:p>
      <w:pPr>
        <w:pStyle w:val="FirstParagraph"/>
      </w:pPr>
      <w:r>
        <w:t xml:space="preserve">The</w:t>
      </w:r>
      <w:r>
        <w:t xml:space="preserve"> </w:t>
      </w:r>
      <w:hyperlink r:id="rId53">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5" name="Picture"/>
            <a:graphic>
              <a:graphicData uri="http://schemas.openxmlformats.org/drawingml/2006/picture">
                <pic:pic>
                  <pic:nvPicPr>
                    <pic:cNvPr descr="figs/figA4_jlens_retention.png" id="56" name="Picture"/>
                    <pic:cNvPicPr>
                      <a:picLocks noChangeArrowheads="1" noChangeAspect="1"/>
                    </pic:cNvPicPr>
                  </pic:nvPicPr>
                  <pic:blipFill>
                    <a:blip r:embed="rId54"/>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3">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8" name="Picture"/>
            <a:graphic>
              <a:graphicData uri="http://schemas.openxmlformats.org/drawingml/2006/picture">
                <pic:pic>
                  <pic:nvPicPr>
                    <pic:cNvPr descr="figs/figA16_jlens_step_accuracy.png" id="59" name="Picture"/>
                    <pic:cNvPicPr>
                      <a:picLocks noChangeArrowheads="1" noChangeAspect="1"/>
                    </pic:cNvPicPr>
                  </pic:nvPicPr>
                  <pic:blipFill>
                    <a:blip r:embed="rId57"/>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3"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End w:id="64"/>
    <w:bookmarkStart w:id="68"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6" name="Picture"/>
            <a:graphic>
              <a:graphicData uri="http://schemas.openxmlformats.org/drawingml/2006/picture">
                <pic:pic>
                  <pic:nvPicPr>
                    <pic:cNvPr descr="figs/figA13_mult_transfer.png" id="67" name="Picture"/>
                    <pic:cNvPicPr>
                      <a:picLocks noChangeArrowheads="1" noChangeAspect="1"/>
                    </pic:cNvPicPr>
                  </pic:nvPicPr>
                  <pic:blipFill>
                    <a:blip r:embed="rId6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1.46</m:t>
        </m:r>
      </m:oMath>
      <w:r>
        <w:rPr>
          <w:i/>
          <w:iCs/>
        </w:rPr>
        <w:t xml:space="preserve"> </w:t>
      </w:r>
      <w:r>
        <w:rPr>
          <w:i/>
          <w:iCs/>
        </w:rPr>
        <w:t xml:space="preserve">for the</w:t>
      </w:r>
      <w:r>
        <w:rPr>
          <w:i/>
          <w:iCs/>
        </w:rPr>
        <w:t xml:space="preserve"> </w:t>
      </w:r>
      <m:oMath>
        <m:r>
          <m:t>k</m:t>
        </m:r>
        <m:r>
          <m:rPr>
            <m:sty m:val="p"/>
          </m:rPr>
          <m:t>=</m:t>
        </m:r>
        <m:r>
          <m:t>3</m:t>
        </m:r>
      </m:oMath>
      <w:r>
        <w:rPr>
          <w:i/>
          <w:iCs/>
        </w:rPr>
        <w:t xml:space="preserve"> </w:t>
      </w:r>
      <w:r>
        <w:rPr>
          <w:i/>
          <w:iCs/>
        </w:rPr>
        <w:t xml:space="preserve">map shown in the main text).</w:t>
      </w:r>
    </w:p>
    <w:bookmarkEnd w:id="68"/>
    <w:bookmarkStart w:id="72"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70" name="Picture"/>
            <a:graphic>
              <a:graphicData uri="http://schemas.openxmlformats.org/drawingml/2006/picture">
                <pic:pic>
                  <pic:nvPicPr>
                    <pic:cNvPr descr="figs/figA5_seasonal_ember_kill.png" id="71" name="Picture"/>
                    <pic:cNvPicPr>
                      <a:picLocks noChangeArrowheads="1" noChangeAspect="1"/>
                    </pic:cNvPicPr>
                  </pic:nvPicPr>
                  <pic:blipFill>
                    <a:blip r:embed="rId69"/>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2"/>
    <w:bookmarkStart w:id="84" w:name="post-hoc-rationalization"/>
    <w:p>
      <w:pPr>
        <w:pStyle w:val="Heading3"/>
      </w:pPr>
      <w:r>
        <w:t xml:space="preserve">Post-hoc rationalization</w:t>
      </w:r>
    </w:p>
    <w:p>
      <w:pPr>
        <w:pStyle w:val="FirstParagraph"/>
      </w:pPr>
      <w:r>
        <w:t xml:space="preserve">An important question in monitorability (</w:t>
      </w:r>
      <w:hyperlink r:id="rId73">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5" name="Picture"/>
            <a:graphic>
              <a:graphicData uri="http://schemas.openxmlformats.org/drawingml/2006/picture">
                <pic:pic>
                  <pic:nvPicPr>
                    <pic:cNvPr descr="figs/figA8_posthoc_correlations.png" id="76" name="Picture"/>
                    <pic:cNvPicPr>
                      <a:picLocks noChangeArrowheads="1" noChangeAspect="1"/>
                    </pic:cNvPicPr>
                  </pic:nvPicPr>
                  <pic:blipFill>
                    <a:blip r:embed="rId74"/>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8" name="Picture"/>
            <a:graphic>
              <a:graphicData uri="http://schemas.openxmlformats.org/drawingml/2006/picture">
                <pic:pic>
                  <pic:nvPicPr>
                    <pic:cNvPr descr="figs/figA8b_posthoc_case.png" id="79" name="Picture"/>
                    <pic:cNvPicPr>
                      <a:picLocks noChangeArrowheads="1" noChangeAspect="1"/>
                    </pic:cNvPicPr>
                  </pic:nvPicPr>
                  <pic:blipFill>
                    <a:blip r:embed="rId77"/>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3"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1" name="Picture"/>
            <a:graphic>
              <a:graphicData uri="http://schemas.openxmlformats.org/drawingml/2006/picture">
                <pic:pic>
                  <pic:nvPicPr>
                    <pic:cNvPr descr="figs/figA9_resolution.png" id="82" name="Picture"/>
                    <pic:cNvPicPr>
                      <a:picLocks noChangeArrowheads="1" noChangeAspect="1"/>
                    </pic:cNvPicPr>
                  </pic:nvPicPr>
                  <pic:blipFill>
                    <a:blip r:embed="rId80"/>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3"/>
    <w:bookmarkEnd w:id="84"/>
    <w:bookmarkStart w:id="88"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6" name="Picture"/>
            <a:graphic>
              <a:graphicData uri="http://schemas.openxmlformats.org/drawingml/2006/picture">
                <pic:pic>
                  <pic:nvPicPr>
                    <pic:cNvPr descr="figs/figA11_commit_causality.png" id="87" name="Picture"/>
                    <pic:cNvPicPr>
                      <a:picLocks noChangeArrowheads="1" noChangeAspect="1"/>
                    </pic:cNvPicPr>
                  </pic:nvPicPr>
                  <pic:blipFill>
                    <a:blip r:embed="rId85"/>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85" Target="media/rId85.png" /><Relationship Type="http://schemas.openxmlformats.org/officeDocument/2006/relationships/image" Id="rId65" Target="media/rId65.png" /><Relationship Type="http://schemas.openxmlformats.org/officeDocument/2006/relationships/image" Id="rId57" Target="media/rId57.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60" Target="media/rId6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hyperlink" Id="rId23" Target="https://arxiv.org/abs/2301.13196" TargetMode="External" /><Relationship Type="http://schemas.openxmlformats.org/officeDocument/2006/relationships/hyperlink" Id="rId48" Target="https://arxiv.org/abs/2310.01405" TargetMode="External" /><Relationship Type="http://schemas.openxmlformats.org/officeDocument/2006/relationships/hyperlink" Id="rId41" Target="https://arxiv.org/abs/2502.16681" TargetMode="External" /><Relationship Type="http://schemas.openxmlformats.org/officeDocument/2006/relationships/hyperlink" Id="rId73" Target="https://arxiv.org/abs/2506.19143" TargetMode="External" /><Relationship Type="http://schemas.openxmlformats.org/officeDocument/2006/relationships/hyperlink" Id="rId25" Target="https://arxiv.org/abs/2606.20560" TargetMode="External" /><Relationship Type="http://schemas.openxmlformats.org/officeDocument/2006/relationships/hyperlink" Id="rId22" Target="https://newsletter.maartengrootendorst.com/p/a-visual-guide-to-diffusiongemma" TargetMode="External" /><Relationship Type="http://schemas.openxmlformats.org/officeDocument/2006/relationships/hyperlink" Id="rId53"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3" Target="https://arxiv.org/abs/2301.13196" TargetMode="External" /><Relationship Type="http://schemas.openxmlformats.org/officeDocument/2006/relationships/hyperlink" Id="rId48" Target="https://arxiv.org/abs/2310.01405" TargetMode="External" /><Relationship Type="http://schemas.openxmlformats.org/officeDocument/2006/relationships/hyperlink" Id="rId41" Target="https://arxiv.org/abs/2502.16681" TargetMode="External" /><Relationship Type="http://schemas.openxmlformats.org/officeDocument/2006/relationships/hyperlink" Id="rId73" Target="https://arxiv.org/abs/2506.19143" TargetMode="External" /><Relationship Type="http://schemas.openxmlformats.org/officeDocument/2006/relationships/hyperlink" Id="rId25" Target="https://arxiv.org/abs/2606.20560" TargetMode="External" /><Relationship Type="http://schemas.openxmlformats.org/officeDocument/2006/relationships/hyperlink" Id="rId22" Target="https://newsletter.maartengrootendorst.com/p/a-visual-guide-to-diffusiongemma" TargetMode="External" /><Relationship Type="http://schemas.openxmlformats.org/officeDocument/2006/relationships/hyperlink" Id="rId53"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2026-08-15T08:09:39Z</dcterms:created>
  <dcterms:modified xsi:type="dcterms:W3CDTF">2026-08-15T08:09:39Z</dcterms:modified>
</cp:coreProperties>
</file>

<file path=docProps/custom.xml><?xml version="1.0" encoding="utf-8"?>
<Properties xmlns="http://schemas.openxmlformats.org/officeDocument/2006/custom-properties" xmlns:vt="http://schemas.openxmlformats.org/officeDocument/2006/docPropsVTypes"/>
</file>