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94.png" ContentType="image/png"/>
  <Override PartName="/word/media/rId64.png" ContentType="image/png"/>
  <Override PartName="/word/media/rId67.png" ContentType="image/png"/>
  <Override PartName="/word/media/rId70.png" ContentType="image/png"/>
  <Override PartName="/word/media/rId73.png" ContentType="image/png"/>
  <Override PartName="/word/media/rId41.png" ContentType="image/png"/>
  <Override PartName="/word/media/rId46.png" ContentType="image/png"/>
  <Override PartName="/word/media/rId52.png" ContentType="image/png"/>
  <Override PartName="/word/media/rId57.png" ContentType="image/png"/>
  <Override PartName="/word/media/rId78.png" ContentType="image/png"/>
  <Override PartName="/word/media/rId60.png" ContentType="image/png"/>
  <Override PartName="/word/media/rId83.png" ContentType="image/png"/>
  <Override PartName="/word/media/rId86.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9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77" w:name="letter-arithmetic"/>
    <w:p>
      <w:pPr>
        <w:pStyle w:val="Heading3"/>
      </w:pPr>
      <w:r>
        <w:t xml:space="preserve">Letter arithmetic</w:t>
      </w:r>
    </w:p>
    <w:p>
      <w:pPr>
        <w:pStyle w:val="FirstParagraph"/>
      </w:pPr>
      <w:r>
        <w:t xml:space="preserve">[stub:] The parallelism analysis in the main text compares set</w:t>
      </w:r>
      <w:r>
        <w:t xml:space="preserve"> </w:t>
      </w:r>
      <w:r>
        <w:rPr>
          <w:i/>
          <w:iCs/>
        </w:rPr>
        <w:t xml:space="preserve">means</w:t>
      </w:r>
      <w:r>
        <w:t xml:space="preserve">,</w:t>
      </w:r>
      <w:r>
        <w:t xml:space="preserve"> </w:t>
      </w:r>
      <m:oMath>
        <m:r>
          <m:rPr>
            <m:sty m:val="p"/>
          </m:rPr>
          <m:t>⟨</m:t>
        </m:r>
        <m:r>
          <m:t>R</m:t>
        </m:r>
        <m:sSub>
          <m:e>
            <m:r>
              <m:rPr>
                <m:sty m:val="p"/>
              </m:rPr>
              <m:t>⟩</m:t>
            </m:r>
          </m:e>
          <m:sub>
            <m:r>
              <m:t>T</m:t>
            </m:r>
          </m:sub>
        </m:sSub>
      </m:oMath>
      <w:r>
        <w:t xml:space="preserve"> </w:t>
      </w:r>
      <w:r>
        <w:t xml:space="preserve">vs</w:t>
      </w:r>
      <w:r>
        <w:t xml:space="preserve"> </w:t>
      </w:r>
      <m:oMath>
        <m:r>
          <m:rPr>
            <m:sty m:val="p"/>
          </m:rPr>
          <m:t>⟨</m:t>
        </m:r>
        <m:r>
          <m:t>R</m:t>
        </m:r>
        <m:sSub>
          <m:e>
            <m:r>
              <m:rPr>
                <m:sty m:val="p"/>
              </m:rPr>
              <m:t>⟩</m:t>
            </m:r>
          </m:e>
          <m:sub>
            <m:r>
              <m:t>N</m:t>
            </m:r>
          </m:sub>
        </m:sSub>
      </m:oMath>
      <w:r>
        <w:t xml:space="preserve">. A stricter criterion asks whether</w:t>
      </w:r>
      <w:r>
        <w:t xml:space="preserve"> </w:t>
      </w:r>
      <w:r>
        <w:rPr>
          <w:i/>
          <w:iCs/>
        </w:rPr>
        <w:t xml:space="preserve">every</w:t>
      </w:r>
      <w:r>
        <w:t xml:space="preserve"> </w:t>
      </w:r>
      <w:r>
        <w:t xml:space="preserve">target beats</w:t>
      </w:r>
      <w:r>
        <w:t xml:space="preserve"> </w:t>
      </w:r>
      <w:r>
        <w:rPr>
          <w:i/>
          <w:iCs/>
        </w:rPr>
        <w:t xml:space="preserve">every</w:t>
      </w:r>
      <w:r>
        <w:t xml:space="preserve"> </w:t>
      </w:r>
      <w:r>
        <w:t xml:space="preserve">non-target: we aggregate the same cells with the weakest target response</w:t>
      </w:r>
      <w:r>
        <w:t xml:space="preserve"> </w:t>
      </w:r>
      <m:oMath>
        <m:sSubSup>
          <m:e>
            <m:r>
              <m:t>R</m:t>
            </m:r>
          </m:e>
          <m:sub>
            <m:r>
              <m:t>T</m:t>
            </m:r>
          </m:sub>
          <m:sup>
            <m:r>
              <m:rPr>
                <m:sty m:val="p"/>
              </m:rPr>
              <m:t>min</m:t>
            </m:r>
          </m:sup>
        </m:sSubSup>
      </m:oMath>
      <w:r>
        <w:t xml:space="preserve"> </w:t>
      </w:r>
      <w:r>
        <w:t xml:space="preserve">against the strongest non-target response</w:t>
      </w:r>
      <w:r>
        <w:t xml:space="preserve"> </w:t>
      </w:r>
      <m:oMath>
        <m:sSubSup>
          <m:e>
            <m:r>
              <m:t>R</m:t>
            </m:r>
          </m:e>
          <m:sub>
            <m:r>
              <m:t>N</m:t>
            </m:r>
          </m:sub>
          <m:sup>
            <m:r>
              <m:rPr>
                <m:sty m:val="p"/>
              </m:rPr>
              <m:t>max</m:t>
            </m:r>
          </m:sup>
        </m:sSubSup>
      </m:oMath>
      <w:r>
        <w:t xml:space="preserve">, and</w:t>
      </w:r>
      <w:r>
        <w:t xml:space="preserve"> </w:t>
      </w:r>
      <m:oMath>
        <m:sSup>
          <m:e>
            <m:r>
              <m:t>E</m:t>
            </m:r>
          </m:e>
          <m:sup>
            <m:r>
              <m:rPr>
                <m:sty m:val="p"/>
              </m:rPr>
              <m:t>min</m:t>
            </m:r>
          </m:sup>
        </m:sSup>
        <m:r>
          <m:rPr>
            <m:sty m:val="p"/>
          </m:rPr>
          <m:t>=</m:t>
        </m:r>
        <m:sSubSup>
          <m:e>
            <m:r>
              <m:t>R</m:t>
            </m:r>
          </m:e>
          <m:sub>
            <m:r>
              <m:t>T</m:t>
            </m:r>
          </m:sub>
          <m:sup>
            <m:r>
              <m:rPr>
                <m:sty m:val="p"/>
              </m:rPr>
              <m:t>min</m:t>
            </m:r>
          </m:sup>
        </m:sSubSup>
        <m:r>
          <m:rPr>
            <m:sty m:val="p"/>
          </m:rPr>
          <m:t>−</m:t>
        </m:r>
        <m:sSubSup>
          <m:e>
            <m:r>
              <m:t>R</m:t>
            </m:r>
          </m:e>
          <m:sub>
            <m:r>
              <m:t>N</m:t>
            </m:r>
          </m:sub>
          <m:sup>
            <m:r>
              <m:rPr>
                <m:sty m:val="p"/>
              </m:rPr>
              <m:t>max</m:t>
            </m:r>
          </m:sup>
        </m:sSubSup>
      </m:oMath>
      <w:r>
        <w:t xml:space="preserve">.</w:t>
      </w:r>
    </w:p>
    <w:p>
      <w:pPr>
        <w:pStyle w:val="CaptionedFigure"/>
      </w:pPr>
      <w:r>
        <w:drawing>
          <wp:inline>
            <wp:extent cx="5334000" cy="1700212"/>
            <wp:effectExtent b="0" l="0" r="0" t="0"/>
            <wp:docPr descr="Letters strict triptych" title="" id="65" name="Picture"/>
            <a:graphic>
              <a:graphicData uri="http://schemas.openxmlformats.org/drawingml/2006/picture">
                <pic:pic>
                  <pic:nvPicPr>
                    <pic:cNvPr descr="figs/figA12_letters_strict.png" id="66" name="Picture"/>
                    <pic:cNvPicPr>
                      <a:picLocks noChangeArrowheads="1" noChangeAspect="1"/>
                    </pic:cNvPicPr>
                  </pic:nvPicPr>
                  <pic:blipFill>
                    <a:blip r:embed="rId64"/>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Letters strict triptych</w:t>
      </w:r>
    </w:p>
    <w:p>
      <w:pPr>
        <w:pStyle w:val="BodyText"/>
      </w:pPr>
      <w:r>
        <w:rPr>
          <w:i/>
          <w:iCs/>
        </w:rPr>
        <w:t xml:space="preserve">The separation is mean-level only: already at</w:t>
      </w:r>
      <w:r>
        <w:rPr>
          <w:i/>
          <w:iCs/>
        </w:rPr>
        <w:t xml:space="preserve"> </w:t>
      </w:r>
      <m:oMath>
        <m:r>
          <m:t>n</m:t>
        </m:r>
        <m:r>
          <m:rPr>
            <m:sty m:val="p"/>
          </m:rPr>
          <m:t>=</m:t>
        </m:r>
        <m:r>
          <m:t>1</m:t>
        </m:r>
      </m:oMath>
      <w:r>
        <w:rPr>
          <w:i/>
          <w:iCs/>
        </w:rPr>
        <w:t xml:space="preserve"> </w:t>
      </w:r>
      <w:r>
        <w:rPr>
          <w:i/>
          <w:iCs/>
        </w:rPr>
        <w:t xml:space="preserve">some non-target letter responds more strongly than the weakest target (</w:t>
      </w:r>
      <m:oMath>
        <m:sSup>
          <m:e>
            <m:r>
              <m:t>E</m:t>
            </m:r>
          </m:e>
          <m:sup>
            <m:r>
              <m:rPr>
                <m:sty m:val="p"/>
              </m:rPr>
              <m:t>min</m:t>
            </m:r>
          </m:sup>
        </m:sSup>
        <m:r>
          <m:rPr>
            <m:sty m:val="p"/>
          </m:rPr>
          <m:t>&lt;</m:t>
        </m:r>
        <m:r>
          <m:t>0</m:t>
        </m:r>
      </m:oMath>
      <w:r>
        <w:rPr>
          <w:i/>
          <w:iCs/>
        </w:rPr>
        <w:t xml:space="preserve"> </w:t>
      </w:r>
      <w:r>
        <w:rPr>
          <w:i/>
          <w:iCs/>
        </w:rPr>
        <w:t xml:space="preserve">at every</w:t>
      </w:r>
      <w:r>
        <w:rPr>
          <w:i/>
          <w:iCs/>
        </w:rPr>
        <w:t xml:space="preserve"> </w:t>
      </w:r>
      <m:oMath>
        <m:r>
          <m:t>n</m:t>
        </m:r>
      </m:oMath>
      <w:r>
        <w:rPr>
          <w:i/>
          <w:iCs/>
        </w:rPr>
        <w:t xml:space="preserve">).</w:t>
      </w:r>
    </w:p>
    <w:bookmarkStart w:id="76" w:name="multiplication"/>
    <w:p>
      <w:pPr>
        <w:pStyle w:val="Heading4"/>
      </w:pPr>
      <w:r>
        <w:t xml:space="preserve">Multiplication</w:t>
      </w:r>
    </w:p>
    <w:p>
      <w:pPr>
        <w:pStyle w:val="FirstParagraph"/>
      </w:pPr>
      <w:r>
        <w:t xml:space="preserve">[stub:] The same protocol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8" name="Picture"/>
            <a:graphic>
              <a:graphicData uri="http://schemas.openxmlformats.org/drawingml/2006/picture">
                <pic:pic>
                  <pic:nvPicPr>
                    <pic:cNvPr descr="figs/figA13_mult_transfer.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p>
      <w:pPr>
        <w:pStyle w:val="CaptionedFigure"/>
      </w:pPr>
      <w:r>
        <w:drawing>
          <wp:inline>
            <wp:extent cx="5334000" cy="1700212"/>
            <wp:effectExtent b="0" l="0" r="0" t="0"/>
            <wp:docPr descr="Multiplicative parallelism triptych" title="" id="71" name="Picture"/>
            <a:graphic>
              <a:graphicData uri="http://schemas.openxmlformats.org/drawingml/2006/picture">
                <pic:pic>
                  <pic:nvPicPr>
                    <pic:cNvPr descr="figs/figA14_mult_triptych.png" id="72" name="Picture"/>
                    <pic:cNvPicPr>
                      <a:picLocks noChangeArrowheads="1" noChangeAspect="1"/>
                    </pic:cNvPicPr>
                  </pic:nvPicPr>
                  <pic:blipFill>
                    <a:blip r:embed="rId70"/>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Multiplicative parallelism triptych</w:t>
      </w:r>
    </w:p>
    <w:p>
      <w:pPr>
        <w:pStyle w:val="BodyText"/>
      </w:pPr>
      <w:r>
        <w:rPr>
          <w:i/>
          <w:iCs/>
        </w:rPr>
        <w:t xml:space="preserve">Mean parallelism for</w:t>
      </w:r>
      <w:r>
        <w:rPr>
          <w:i/>
          <w:iCs/>
        </w:rPr>
        <w:t xml:space="preserve"> </w:t>
      </w:r>
      <m:oMath>
        <m:r>
          <m:rPr>
            <m:sty m:val="p"/>
          </m:rPr>
          <m:t>×</m:t>
        </m:r>
        <m:r>
          <m:t>k</m:t>
        </m:r>
      </m:oMath>
      <w:r>
        <w:rPr>
          <w:i/>
          <w:iCs/>
        </w:rPr>
        <w:t xml:space="preserve">: targets separate from non-targets, peaking at</w:t>
      </w:r>
      <w:r>
        <w:rPr>
          <w:i/>
          <w:iCs/>
        </w:rPr>
        <w:t xml:space="preserve"> </w:t>
      </w:r>
      <m:oMath>
        <m:r>
          <m:t>n</m:t>
        </m:r>
        <m:r>
          <m:rPr>
            <m:sty m:val="p"/>
          </m:rPr>
          <m:t>≈</m:t>
        </m:r>
        <m:r>
          <m:t>3</m:t>
        </m:r>
      </m:oMath>
      <w:r>
        <w:rPr>
          <w:i/>
          <w:iCs/>
        </w:rPr>
        <w:t xml:space="preserve">–</w:t>
      </w:r>
      <m:oMath>
        <m:r>
          <m:t>4</m:t>
        </m:r>
      </m:oMath>
      <w:r>
        <w:rPr>
          <w:i/>
          <w:iCs/>
        </w:rPr>
        <w:t xml:space="preserve">.</w:t>
      </w:r>
    </w:p>
    <w:p>
      <w:pPr>
        <w:pStyle w:val="CaptionedFigure"/>
      </w:pPr>
      <w:r>
        <w:drawing>
          <wp:inline>
            <wp:extent cx="5334000" cy="1700212"/>
            <wp:effectExtent b="0" l="0" r="0" t="0"/>
            <wp:docPr descr="Multiplicative strict triptych" title="" id="74" name="Picture"/>
            <a:graphic>
              <a:graphicData uri="http://schemas.openxmlformats.org/drawingml/2006/picture">
                <pic:pic>
                  <pic:nvPicPr>
                    <pic:cNvPr descr="figs/figA15_mult_strict.png" id="75" name="Picture"/>
                    <pic:cNvPicPr>
                      <a:picLocks noChangeArrowheads="1" noChangeAspect="1"/>
                    </pic:cNvPicPr>
                  </pic:nvPicPr>
                  <pic:blipFill>
                    <a:blip r:embed="rId73"/>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Multiplicative strict triptych</w:t>
      </w:r>
    </w:p>
    <w:p>
      <w:pPr>
        <w:pStyle w:val="BodyText"/>
      </w:pPr>
      <w:r>
        <w:rPr>
          <w:i/>
          <w:iCs/>
        </w:rPr>
        <w:t xml:space="preserve">As in the additive family, the worst-case criterion stays negative at every</w:t>
      </w:r>
      <w:r>
        <w:rPr>
          <w:i/>
          <w:iCs/>
        </w:rPr>
        <w:t xml:space="preserve"> </w:t>
      </w:r>
      <m:oMath>
        <m:r>
          <m:t>n</m:t>
        </m:r>
      </m:oMath>
      <w:r>
        <w:rPr>
          <w:i/>
          <w:iCs/>
        </w:rPr>
        <w:t xml:space="preserve">.</w:t>
      </w:r>
    </w:p>
    <w:bookmarkEnd w:id="76"/>
    <w:bookmarkEnd w:id="77"/>
    <w:bookmarkStart w:id="8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79" name="Picture"/>
            <a:graphic>
              <a:graphicData uri="http://schemas.openxmlformats.org/drawingml/2006/picture">
                <pic:pic>
                  <pic:nvPicPr>
                    <pic:cNvPr descr="figs/figA5_seasonal_ember_kill.png" id="80" name="Picture"/>
                    <pic:cNvPicPr>
                      <a:picLocks noChangeArrowheads="1" noChangeAspect="1"/>
                    </pic:cNvPicPr>
                  </pic:nvPicPr>
                  <pic:blipFill>
                    <a:blip r:embed="rId7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81"/>
    <w:bookmarkStart w:id="93" w:name="post-hoc-rationalization"/>
    <w:p>
      <w:pPr>
        <w:pStyle w:val="Heading3"/>
      </w:pPr>
      <w:r>
        <w:t xml:space="preserve">Post-hoc rationalization</w:t>
      </w:r>
    </w:p>
    <w:p>
      <w:pPr>
        <w:pStyle w:val="FirstParagraph"/>
      </w:pPr>
      <w:r>
        <w:t xml:space="preserve">An important question in monitorability (</w:t>
      </w:r>
      <w:hyperlink r:id="rId8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84" name="Picture"/>
            <a:graphic>
              <a:graphicData uri="http://schemas.openxmlformats.org/drawingml/2006/picture">
                <pic:pic>
                  <pic:nvPicPr>
                    <pic:cNvPr descr="figs/figA8_posthoc_correlations.png" id="85" name="Picture"/>
                    <pic:cNvPicPr>
                      <a:picLocks noChangeArrowheads="1" noChangeAspect="1"/>
                    </pic:cNvPicPr>
                  </pic:nvPicPr>
                  <pic:blipFill>
                    <a:blip r:embed="rId8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87" name="Picture"/>
            <a:graphic>
              <a:graphicData uri="http://schemas.openxmlformats.org/drawingml/2006/picture">
                <pic:pic>
                  <pic:nvPicPr>
                    <pic:cNvPr descr="figs/figA8b_posthoc_case.png" id="88" name="Picture"/>
                    <pic:cNvPicPr>
                      <a:picLocks noChangeArrowheads="1" noChangeAspect="1"/>
                    </pic:cNvPicPr>
                  </pic:nvPicPr>
                  <pic:blipFill>
                    <a:blip r:embed="rId8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9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90" name="Picture"/>
            <a:graphic>
              <a:graphicData uri="http://schemas.openxmlformats.org/drawingml/2006/picture">
                <pic:pic>
                  <pic:nvPicPr>
                    <pic:cNvPr descr="figs/figA9_resolution.png" id="91" name="Picture"/>
                    <pic:cNvPicPr>
                      <a:picLocks noChangeArrowheads="1" noChangeAspect="1"/>
                    </pic:cNvPicPr>
                  </pic:nvPicPr>
                  <pic:blipFill>
                    <a:blip r:embed="rId8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92"/>
    <w:bookmarkEnd w:id="93"/>
    <w:bookmarkStart w:id="9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95" name="Picture"/>
            <a:graphic>
              <a:graphicData uri="http://schemas.openxmlformats.org/drawingml/2006/picture">
                <pic:pic>
                  <pic:nvPicPr>
                    <pic:cNvPr descr="figs/figA11_commit_causality.png" id="96" name="Picture"/>
                    <pic:cNvPicPr>
                      <a:picLocks noChangeArrowheads="1" noChangeAspect="1"/>
                    </pic:cNvPicPr>
                  </pic:nvPicPr>
                  <pic:blipFill>
                    <a:blip r:embed="rId9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94" Target="media/rId94.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8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8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2026-08-10T06:01:48Z</dcterms:created>
  <dcterms:modified xsi:type="dcterms:W3CDTF">2026-08-10T06:01:48Z</dcterms:modified>
</cp:coreProperties>
</file>

<file path=docProps/custom.xml><?xml version="1.0" encoding="utf-8"?>
<Properties xmlns="http://schemas.openxmlformats.org/officeDocument/2006/custom-properties" xmlns:vt="http://schemas.openxmlformats.org/officeDocument/2006/docPropsVTypes"/>
</file>