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84.png" ContentType="image/png"/>
  <Override PartName="/word/media/rId64.png" ContentType="image/png"/>
  <Override PartName="/word/media/rId56.png" ContentType="image/png"/>
  <Override PartName="/word/media/rId37.png" ContentType="image/png"/>
  <Override PartName="/word/media/rId42.png" ContentType="image/png"/>
  <Override PartName="/word/media/rId48.png" ContentType="image/png"/>
  <Override PartName="/word/media/rId53.png" ContentType="image/png"/>
  <Override PartName="/word/media/rId68.png" ContentType="image/png"/>
  <Override PartName="/word/media/rId59.png" ContentType="image/png"/>
  <Override PartName="/word/media/rId73.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supports the paper’s conclusion that DiffusionGemma remains highly monitorable, while nevertheless showing that there are cases where models can learn to use vector-valued information.</w:t>
      </w:r>
    </w:p>
    <w:p>
      <w:pPr>
        <w:pStyle w:val="BodyText"/>
      </w:pPr>
      <w:r>
        <w:t xml:space="preserve">Github: …</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Here,</w:t>
      </w:r>
      <w:r>
        <w:t xml:space="preserve"> </w:t>
      </w:r>
      <m:oMath>
        <m:sSub>
          <m:e>
            <m:d>
              <m:dPr>
                <m:begChr m:val="("/>
                <m:sepChr m:val=""/>
                <m:endChr m:val=")"/>
                <m:grow/>
              </m:dPr>
              <m:e>
                <m:sSubSup>
                  <m:e>
                    <m:r>
                      <m:rPr>
                        <m:sty m:val="b"/>
                      </m:rPr>
                      <m:t>s</m:t>
                    </m:r>
                  </m:e>
                  <m:sub>
                    <m:r>
                      <m:t>i</m:t>
                    </m:r>
                  </m:sub>
                  <m:sup>
                    <m:r>
                      <m:t>t</m:t>
                    </m:r>
                  </m:sup>
                </m:sSubSup>
              </m:e>
            </m:d>
          </m:e>
          <m:sub>
            <m:r>
              <m:t>i</m:t>
            </m:r>
            <m:r>
              <m:rPr>
                <m:sty m:val="p"/>
              </m:rPr>
              <m:t>=</m:t>
            </m:r>
            <m:r>
              <m:t>1</m:t>
            </m:r>
            <m:r>
              <m:rPr>
                <m:sty m:val="p"/>
              </m:rPr>
              <m:t>.</m:t>
            </m:r>
            <m:r>
              <m:rPr>
                <m:sty m:val="p"/>
              </m:rPr>
              <m:t>.</m:t>
            </m:r>
            <m:r>
              <m:t>C</m:t>
            </m:r>
          </m:sub>
        </m:sSub>
        <m:r>
          <m:rPr>
            <m:sty m:val="p"/>
          </m:rPr>
          <m:t>=</m:t>
        </m:r>
        <m:sSup>
          <m:e>
            <m:r>
              <m:rPr>
                <m:sty m:val="b"/>
              </m:rPr>
              <m:t>S</m:t>
            </m:r>
          </m:e>
          <m:sup>
            <m:r>
              <m:t>t</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represents the distribution passed between diffusion steps. Importantly,</w:t>
      </w:r>
      <w:r>
        <w:t xml:space="preserve"> </w:t>
      </w:r>
      <m:oMath>
        <m:sSup>
          <m:e>
            <m:r>
              <m:t>X</m:t>
            </m:r>
          </m:e>
          <m:sup>
            <m:r>
              <m:t>t</m:t>
            </m:r>
          </m:sup>
        </m:sSup>
      </m:oMath>
      <w:r>
        <w:t xml:space="preserve"> </w:t>
      </w:r>
      <w:r>
        <w:t xml:space="preserve">attends bidirectionally to itself, and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 This threshold is an</w:t>
      </w:r>
      <w:r>
        <w:t xml:space="preserve"> </w:t>
      </w:r>
      <w:r>
        <w:rPr>
          <w:i/>
          <w:iCs/>
        </w:rPr>
        <w:t xml:space="preserve">entropy bound</w:t>
      </w:r>
      <w:r>
        <w:t xml:space="preserve"> </w:t>
      </w:r>
      <w:r>
        <w:t xml:space="preserve">on</w:t>
      </w:r>
      <w:r>
        <w:t xml:space="preserve"> </w:t>
      </w:r>
      <m:oMath>
        <m:sSubSup>
          <m:e>
            <m:r>
              <m:rPr>
                <m:sty m:val="b"/>
              </m:rPr>
              <m:t>s</m:t>
            </m:r>
          </m:e>
          <m:sub>
            <m:r>
              <m:t>i</m:t>
            </m:r>
          </m:sub>
          <m:sup>
            <m:r>
              <m:t>t</m:t>
            </m:r>
          </m:sup>
        </m:sSubSup>
      </m:oMath>
      <w:r>
        <w:t xml:space="preserve">: positions are accepted in order of increasing entropy until the budget is spent, and every remaining position is renoised uniformly at random. The proposal tokens themselves are sampled from</w:t>
      </w:r>
      <w:r>
        <w:t xml:space="preserve"> </w:t>
      </w:r>
      <m:oMath>
        <m:sSup>
          <m:e>
            <m:r>
              <m:rPr>
                <m:sty m:val="b"/>
              </m:rPr>
              <m:t>s</m:t>
            </m:r>
          </m:e>
          <m:sup>
            <m:r>
              <m:t>t</m:t>
            </m:r>
          </m:sup>
        </m:sSup>
      </m:oMath>
      <w:r>
        <w:t xml:space="preserve"> </w:t>
      </w:r>
      <w:r>
        <w:t xml:space="preserve">at a temperature that anneals over the run. Together with the total number of diffusion steps</w:t>
      </w:r>
      <w:r>
        <w:t xml:space="preserve"> </w:t>
      </w:r>
      <m:oMath>
        <m:r>
          <m:t>T</m:t>
        </m:r>
      </m:oMath>
      <w:r>
        <w:t xml:space="preserve">, which caps how many refinement passes the canvas receives, these are the sampler settings we adjust below.</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significantly dropped. Thus somehow the information in</w:t>
      </w:r>
      <w:r>
        <w:t xml:space="preserve"> </w:t>
      </w:r>
      <m:oMath>
        <m:sSup>
          <m:e>
            <m:r>
              <m:rPr>
                <m:sty m:val="b"/>
              </m:rPr>
              <m:t>s</m:t>
            </m:r>
          </m:e>
          <m:sup>
            <m:r>
              <m:t>t</m:t>
            </m:r>
          </m:sup>
        </m:sSup>
      </m:oMath>
      <w:r>
        <w:t xml:space="preserve"> </w:t>
      </w:r>
      <w:r>
        <w:t xml:space="preserve">seemed to have been essential,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b/>
          <w:bCs/>
          <w:i/>
          <w:iCs/>
        </w:rPr>
        <w:t xml:space="preserve">A gentler sampler prevents the degenerate loop that caused performance degradation on top-k truncating the distributional state</w:t>
      </w:r>
      <w:r>
        <w:rPr>
          <w:b/>
          <w:bCs/>
          <w:i/>
          <w:iCs/>
        </w:rPr>
        <w:t xml:space="preserve"> </w:t>
      </w:r>
      <m:oMath>
        <m:sSup>
          <m:e>
            <m:r>
              <m:rPr>
                <m:sty m:val="b"/>
              </m:rPr>
              <m:t>s</m:t>
            </m:r>
          </m:e>
          <m:sup>
            <m:r>
              <m:t>t</m:t>
            </m:r>
          </m:sup>
        </m:sSup>
      </m:oMath>
      <w:r>
        <w:rPr>
          <w:b/>
          <w:bCs/>
          <w:i/>
          <w:iCs/>
        </w:rPr>
        <w:t xml:space="preserve"> </w:t>
      </w:r>
      <w:r>
        <w:rPr>
          <w:b/>
          <w:bCs/>
          <w:i/>
          <w:iCs/>
        </w:rPr>
        <w:t xml:space="preserve">observed in</w:t>
      </w:r>
      <w:r>
        <w:rPr>
          <w:b/>
          <w:bCs/>
          <w:i/>
          <w:iCs/>
        </w:rPr>
        <w:t xml:space="preserve"> </w:t>
      </w:r>
      <w:hyperlink r:id="rId24">
        <w:r>
          <w:rPr>
            <w:rStyle w:val="Hyperlink"/>
            <w:b/>
            <w:bCs/>
            <w:i/>
            <w:iCs/>
          </w:rPr>
          <w:t xml:space="preserve">Engels et al.</w:t>
        </w:r>
      </w:hyperlink>
      <w:r>
        <w:rPr>
          <w:b/>
          <w:bCs/>
          <w:i/>
          <w:iCs/>
        </w:rPr>
        <w:t xml:space="preserve">.</w:t>
      </w:r>
      <w:r>
        <w:rPr>
          <w:i/>
          <w:iCs/>
        </w:rPr>
        <w:t xml:space="preserve"> </w:t>
      </w:r>
      <w:r>
        <w:rPr>
          <w:i/>
          <w:iCs/>
        </w:rPr>
        <w:t xml:space="preserve">Specifically, we use more diffusion steps, a wider temperature range, and a lower entropy bound.</w:t>
      </w:r>
    </w:p>
    <w:bookmarkEnd w:id="28"/>
    <w:bookmarkStart w:id="35"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Tomorrow the weather will be _</w:t>
      </w:r>
      <w:r>
        <w:t xml:space="preserve">, with</w:t>
      </w:r>
      <w:r>
        <w:t xml:space="preserve"> </w:t>
      </w:r>
      <w:r>
        <w:rPr>
          <w:rStyle w:val="VerbatimChar"/>
        </w:rPr>
        <w:t xml:space="preserve">rainy</w:t>
      </w:r>
      <w:r>
        <w:t xml:space="preserve"> </w:t>
      </w:r>
      <w:r>
        <w:t xml:space="preserve">and</w:t>
      </w:r>
      <w:r>
        <w:t xml:space="preserve"> </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computation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b/>
          <w:bCs/>
          <w:i/>
          <w:iCs/>
        </w:rPr>
        <w:t xml:space="preserve">Perturbing subleading tokens predominantly triggers a response at corresponding target tokens.</w:t>
      </w:r>
    </w:p>
    <w:p>
      <w:pPr>
        <w:pStyle w:val="BodyText"/>
      </w:pPr>
      <w:r>
        <w:t xml:space="preserve">For illustration, here is a single intervention in full:</w:t>
      </w:r>
    </w:p>
    <w:p>
      <w:pPr>
        <w:pStyle w:val="CaptionedFigure"/>
      </w:pPr>
      <w:r>
        <w:drawing>
          <wp:inline>
            <wp:extent cx="5334000" cy="24299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4299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b/>
          <w:bCs/>
          <w:i/>
          <w:iCs/>
        </w:rPr>
        <w:t xml:space="preserve">Example of one intervention.</w:t>
      </w:r>
      <w:r>
        <w:rPr>
          <w:i/>
          <w:iCs/>
        </w:rPr>
        <w:t xml:space="preserve"> </w:t>
      </w:r>
      <w:r>
        <w:rPr>
          <w:i/>
          <w:iCs/>
        </w:rPr>
        <w:t xml:space="preserve">A subleading injection on</w:t>
      </w:r>
      <w:r>
        <w:rPr>
          <w:i/>
          <w:iCs/>
        </w:rPr>
        <w:t xml:space="preserve"> </w:t>
      </w:r>
      <w:r>
        <w:rPr>
          <w:rStyle w:val="VerbatimChar"/>
          <w:i/>
          <w:iCs/>
        </w:rPr>
        <w:t xml:space="preserve">H</w:t>
      </w:r>
      <w:r>
        <w:rPr>
          <w:i/>
          <w:iCs/>
        </w:rPr>
        <w:t xml:space="preserve"> </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switches the answer slot from</w:t>
      </w:r>
      <w:r>
        <w:rPr>
          <w:i/>
          <w:iCs/>
        </w:rPr>
        <w:t xml:space="preserve"> </w:t>
      </w:r>
      <w:r>
        <w:rPr>
          <w:rStyle w:val="VerbatimChar"/>
          <w:i/>
          <w:iCs/>
        </w:rPr>
        <w:t xml:space="preserve">J</w:t>
      </w:r>
      <w:r>
        <w:rPr>
          <w:i/>
          <w:iCs/>
        </w:rPr>
        <w:t xml:space="preserve"> </w:t>
      </w:r>
      <w:r>
        <w:rPr>
          <w:i/>
          <w:iCs/>
        </w:rPr>
        <w:t xml:space="preserve">to</w:t>
      </w:r>
      <w:r>
        <w:rPr>
          <w:i/>
          <w:iCs/>
        </w:rPr>
        <w:t xml:space="preserve"> </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End w:id="35"/>
    <w:bookmarkStart w:id="36"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research.</w:t>
      </w:r>
    </w:p>
    <w:bookmarkEnd w:id="36"/>
    <w:bookmarkStart w:id="8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1" w:name="representation-similarity"/>
    <w:p>
      <w:pPr>
        <w:pStyle w:val="Heading3"/>
      </w:pPr>
      <w:r>
        <w:t xml:space="preserve">Representation similarity</w:t>
      </w:r>
    </w:p>
    <w:p>
      <w:pPr>
        <w:pStyle w:val="FirstParagraph"/>
      </w:pPr>
      <w:r>
        <w:t xml:space="preserve">We first ask about how the representation changes between Gemma and DiffusionGemma, and then will ask about functional implications.</w:t>
      </w:r>
    </w:p>
    <w:p>
      <w:pPr>
        <w:pStyle w:val="BodyText"/>
      </w:pPr>
      <w:r>
        <w:t xml:space="preserve">A simple way is to just measure overlap between pairs of inputs, where each element of the pair is fed through Gemma or DiffusionGemma, respectively. We here compare a simple cosine similarity, and centered kernel analysis (CKA, a measure that is invariant to global rotations of the representation).</w:t>
      </w:r>
    </w:p>
    <w:p>
      <w:pPr>
        <w:pStyle w:val="CaptionedFigure"/>
      </w:pPr>
      <w:r>
        <w:drawing>
          <wp:inline>
            <wp:extent cx="5334000" cy="2125265"/>
            <wp:effectExtent b="0" l="0" r="0" t="0"/>
            <wp:docPr descr="RSA cosine and CKA" title="" id="38" name="Picture"/>
            <a:graphic>
              <a:graphicData uri="http://schemas.openxmlformats.org/drawingml/2006/picture">
                <pic:pic>
                  <pic:nvPicPr>
                    <pic:cNvPr descr="figs/figA1_rsa_cosine_cka.png" id="39" name="Picture"/>
                    <pic:cNvPicPr>
                      <a:picLocks noChangeArrowheads="1" noChangeAspect="1"/>
                    </pic:cNvPicPr>
                  </pic:nvPicPr>
                  <pic:blipFill>
                    <a:blip r:embed="rId37"/>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b/>
          <w:bCs/>
          <w:i/>
          <w:iCs/>
        </w:rPr>
        <w:t xml:space="preserve">Representational similarity falls with layers, and is significantly driven by bare model difference and bidirectional attention.</w:t>
      </w:r>
      <w:r>
        <w:rPr>
          <w:i/>
          <w:iCs/>
        </w:rPr>
        <w:t xml:space="preserve"> </w:t>
      </w:r>
      <w:r>
        <w:rPr>
          <w:i/>
          <w:iCs/>
        </w:rPr>
        <w:t xml:space="preserve">Inputs are concepts from (</w:t>
      </w:r>
      <w:hyperlink r:id="rId40">
        <w:r>
          <w:rPr>
            <w:rStyle w:val="Hyperlink"/>
            <w:i/>
            <w:iCs/>
          </w:rPr>
          <w:t xml:space="preserve">Kantamneni et al., 2025</w:t>
        </w:r>
      </w:hyperlink>
      <w:r>
        <w:rPr>
          <w:i/>
          <w:iCs/>
        </w:rPr>
        <w:t xml:space="preserve">).</w:t>
      </w:r>
    </w:p>
    <w:p>
      <w:pPr>
        <w:pStyle w:val="BodyText"/>
      </w:pPr>
      <w:r>
        <w:t xml:space="preserve">A priori, this rather large drop suggests a significant change in how the representation is organized, which we then went on to test more specifically.</w:t>
      </w:r>
    </w:p>
    <w:bookmarkEnd w:id="41"/>
    <w:bookmarkStart w:id="46" w:name="probe-retention"/>
    <w:p>
      <w:pPr>
        <w:pStyle w:val="Heading3"/>
      </w:pPr>
      <w:r>
        <w:t xml:space="preserve">Probe retention</w:t>
      </w:r>
    </w:p>
    <w:p>
      <w:pPr>
        <w:pStyle w:val="FirstParagraph"/>
      </w:pPr>
      <w:r>
        <w:t xml:space="preserve">Probing allows us to study how well a model separates concepts. We use 56 binary concept datasets from the SAE-Probes benchmark (</w:t>
      </w:r>
      <w:hyperlink r:id="rId40">
        <w:r>
          <w:rPr>
            <w:rStyle w:val="Hyperlink"/>
          </w:rPr>
          <w:t xml:space="preserve">Kantamneni et al., 2025</w:t>
        </w:r>
      </w:hyperlink>
      <w:r>
        <w:t xml:space="preserve">) and train logistic-regression probes on gemma-4’s residual stream (up to 1024 training examples per concept; 43/56 at the full budget, minimum 512; 256 held-out), optimizing the layer via heldout AUC. We then test this probe on DG.</w:t>
      </w:r>
    </w:p>
    <w:p>
      <w:pPr>
        <w:pStyle w:val="CaptionedFigure"/>
      </w:pPr>
      <w:r>
        <w:drawing>
          <wp:inline>
            <wp:extent cx="5334000" cy="3810846"/>
            <wp:effectExtent b="0" l="0" r="0" t="0"/>
            <wp:docPr descr="Probe retention" title="" id="43" name="Picture"/>
            <a:graphic>
              <a:graphicData uri="http://schemas.openxmlformats.org/drawingml/2006/picture">
                <pic:pic>
                  <pic:nvPicPr>
                    <pic:cNvPr descr="figs/figA2_probe_retention.png" id="44" name="Picture"/>
                    <pic:cNvPicPr>
                      <a:picLocks noChangeArrowheads="1" noChangeAspect="1"/>
                    </pic:cNvPicPr>
                  </pic:nvPicPr>
                  <pic:blipFill>
                    <a:blip r:embed="rId42"/>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On this instance, the same gemma-trained probe scores gemma-4 and DG activations near-identically. Ticks: &lt;read model&gt; · &lt;attention mode&gt; · &lt;read position&gt;.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5"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5"/>
    <w:bookmarkEnd w:id="46"/>
    <w:bookmarkStart w:id="51"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47">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needs to make a forced choice to select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49" name="Picture"/>
            <a:graphic>
              <a:graphicData uri="http://schemas.openxmlformats.org/drawingml/2006/picture">
                <pic:pic>
                  <pic:nvPicPr>
                    <pic:cNvPr descr="figs/figA3_steer_retention.png" id="50" name="Picture"/>
                    <pic:cNvPicPr>
                      <a:picLocks noChangeArrowheads="1" noChangeAspect="1"/>
                    </pic:cNvPicPr>
                  </pic:nvPicPr>
                  <pic:blipFill>
                    <a:blip r:embed="rId48"/>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1"/>
    <w:bookmarkStart w:id="63" w:name="j-lens-retention"/>
    <w:p>
      <w:pPr>
        <w:pStyle w:val="Heading3"/>
      </w:pPr>
      <w:r>
        <w:t xml:space="preserve">J-Lens retention</w:t>
      </w:r>
    </w:p>
    <w:p>
      <w:pPr>
        <w:pStyle w:val="FirstParagraph"/>
      </w:pPr>
      <w:r>
        <w:t xml:space="preserve">The</w:t>
      </w:r>
      <w:r>
        <w:t xml:space="preserve"> </w:t>
      </w:r>
      <w:hyperlink r:id="rId52">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would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4" name="Picture"/>
            <a:graphic>
              <a:graphicData uri="http://schemas.openxmlformats.org/drawingml/2006/picture">
                <pic:pic>
                  <pic:nvPicPr>
                    <pic:cNvPr descr="figs/figA4_jlens_retention.png" id="55" name="Picture"/>
                    <pic:cNvPicPr>
                      <a:picLocks noChangeArrowheads="1" noChangeAspect="1"/>
                    </pic:cNvPicPr>
                  </pic:nvPicPr>
                  <pic:blipFill>
                    <a:blip r:embed="rId53"/>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2">
        <w:r>
          <w:rPr>
            <w:rStyle w:val="Hyperlink"/>
            <w:i/>
            <w:iCs/>
          </w:rPr>
          <w:t xml:space="preserve">J-Lens paper</w:t>
        </w:r>
      </w:hyperlink>
      <w:r>
        <w:rPr>
          <w:i/>
          <w:iCs/>
        </w:rPr>
        <w:t xml:space="preserve">). Bottom: An example poetry eval task, where the models surface the rhyme already one line in advance. Ticks show the computed Jacobian:</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We then briefly investigated whether the diffusion step where J-lens is applied affects accuracy:</w:t>
      </w:r>
    </w:p>
    <w:p>
      <w:pPr>
        <w:pStyle w:val="CaptionedFigure"/>
      </w:pPr>
      <w:r>
        <w:drawing>
          <wp:inline>
            <wp:extent cx="5334000" cy="3852702"/>
            <wp:effectExtent b="0" l="0" r="0" t="0"/>
            <wp:docPr descr="J-Lens step accuracy" title="" id="57" name="Picture"/>
            <a:graphic>
              <a:graphicData uri="http://schemas.openxmlformats.org/drawingml/2006/picture">
                <pic:pic>
                  <pic:nvPicPr>
                    <pic:cNvPr descr="figs/figA16_jlens_step_accuracy.png" id="58" name="Picture"/>
                    <pic:cNvPicPr>
                      <a:picLocks noChangeArrowheads="1" noChangeAspect="1"/>
                    </pic:cNvPicPr>
                  </pic:nvPicPr>
                  <pic:blipFill>
                    <a:blip r:embed="rId56"/>
                    <a:stretch>
                      <a:fillRect/>
                    </a:stretch>
                  </pic:blipFill>
                  <pic:spPr bwMode="auto">
                    <a:xfrm>
                      <a:off x="0" y="0"/>
                      <a:ext cx="5334000" cy="3852702"/>
                    </a:xfrm>
                    <a:prstGeom prst="rect">
                      <a:avLst/>
                    </a:prstGeom>
                    <a:noFill/>
                    <a:ln w="9525">
                      <a:noFill/>
                      <a:headEnd/>
                      <a:tailEnd/>
                    </a:ln>
                  </pic:spPr>
                </pic:pic>
              </a:graphicData>
            </a:graphic>
          </wp:inline>
        </w:drawing>
      </w:r>
    </w:p>
    <w:p>
      <w:pPr>
        <w:pStyle w:val="ImageCaption"/>
      </w:pPr>
      <w:r>
        <w:t xml:space="preserve">J-Lens step accuracy</w:t>
      </w:r>
    </w:p>
    <w:p>
      <w:pPr>
        <w:pStyle w:val="BodyText"/>
      </w:pPr>
      <w:r>
        <w:rPr>
          <w:b/>
          <w:bCs/>
          <w:i/>
          <w:iCs/>
        </w:rPr>
        <w:t xml:space="preserve">Accuracy of J-lens outputs as a function of source and target diffusion step.</w:t>
      </w:r>
      <w:r>
        <w:rPr>
          <w:i/>
          <w:iCs/>
        </w:rPr>
        <w:t xml:space="preserve"> </w:t>
      </w:r>
      <w:r>
        <w:rPr>
          <w:i/>
          <w:iCs/>
        </w:rPr>
        <w:t xml:space="preserve">We consider J-lens on the canvas region resulting from diffusion on a prompt, fitted at diffusion step</w:t>
      </w:r>
      <w:r>
        <w:rPr>
          <w:i/>
          <w:iCs/>
        </w:rPr>
        <w:t xml:space="preserve"> </w:t>
      </w:r>
      <m:oMath>
        <m:r>
          <m:t>t</m:t>
        </m:r>
      </m:oMath>
      <w:r>
        <w:rPr>
          <w:i/>
          <w:iCs/>
        </w:rPr>
        <w:t xml:space="preserve"> </w:t>
      </w:r>
      <w:r>
        <w:rPr>
          <w:i/>
          <w:iCs/>
        </w:rPr>
        <w:t xml:space="preserve">and tested at step</w:t>
      </w:r>
      <w:r>
        <w:rPr>
          <w:i/>
          <w:iCs/>
        </w:rPr>
        <w:t xml:space="preserve"> </w:t>
      </w:r>
      <m:oMath>
        <m:r>
          <m:t>t</m:t>
        </m:r>
        <m:r>
          <m:rPr>
            <m:sty m:val="p"/>
          </m:rPr>
          <m:t>′</m:t>
        </m:r>
      </m:oMath>
      <w:r>
        <w:rPr>
          <w:i/>
          <w:iCs/>
        </w:rPr>
        <w:t xml:space="preserve">. This is in contrast to the token-forcing in the previous investigation.</w:t>
      </w:r>
    </w:p>
    <w:p>
      <w:pPr>
        <w:pStyle w:val="BodyText"/>
      </w:pPr>
      <w:r>
        <w:t xml:space="preserve">The model is prompted with</w:t>
      </w:r>
      <w:r>
        <w:t xml:space="preserve"> </w:t>
      </w:r>
      <w:r>
        <w:rPr>
          <w:rStyle w:val="VerbatimChar"/>
        </w:rPr>
        <w:t xml:space="preserve">Continue the scene below in exactly two sentences of 12 to 20 words each. Use only concrete actions, dialogue, and sensory details. Do not explain, summarize, diagnose, classify, identify, or name any underlying emotion, situation, theme, person, genre, or concept. Scene: &lt;beginning of a story&gt; Continuation:</w:t>
      </w:r>
    </w:p>
    <w:p>
      <w:pPr>
        <w:pStyle w:val="BodyText"/>
      </w:pPr>
      <w:r>
        <w:t xml:space="preserve">We then fit J-lens at every diffusion step</w:t>
      </w:r>
      <w:r>
        <w:t xml:space="preserve"> </w:t>
      </w:r>
      <m:oMath>
        <m:r>
          <m:t>t</m:t>
        </m:r>
      </m:oMath>
      <w:r>
        <w:t xml:space="preserve">, and on a set of heldout prompts measure at each application step</w:t>
      </w:r>
      <w:r>
        <w:t xml:space="preserve"> </w:t>
      </w:r>
      <m:oMath>
        <m:r>
          <m:t>t</m:t>
        </m:r>
        <m:r>
          <m:rPr>
            <m:sty m:val="p"/>
          </m:rPr>
          <m:t>′</m:t>
        </m:r>
      </m:oMath>
      <w:r>
        <w:t xml:space="preserve"> </w:t>
      </w:r>
      <w:r>
        <w:t xml:space="preserve">[TODO use better score] how many of the top-20 tokens surfaced by J-lens are plausible in context, but not lexically related to the canvas at any diffusion step.</w:t>
      </w:r>
    </w:p>
    <w:bookmarkStart w:id="62" w:name="X9b7ff029db2884a5e97d7b865768ea997429a17"/>
    <w:p>
      <w:pPr>
        <w:pStyle w:val="Heading4"/>
      </w:pPr>
      <w:r>
        <w:t xml:space="preserve">DiffusionGemma represents tokens acausally</w:t>
      </w:r>
    </w:p>
    <w:p>
      <w:pPr>
        <w:pStyle w:val="FirstParagraph"/>
      </w:pPr>
      <w:r>
        <w:t xml:space="preserve">Since DiffusionGemma uses bidirectional attention, it is interesting to ask whether J-space percepts will also be distributed in a non-causal way. In particular, do they occur before the token that triggers them? Indeed, we found such instances on some problems:</w:t>
      </w:r>
    </w:p>
    <w:p>
      <w:pPr>
        <w:pStyle w:val="CaptionedFigure"/>
      </w:pPr>
      <w:r>
        <w:drawing>
          <wp:inline>
            <wp:extent cx="5334000" cy="1197186"/>
            <wp:effectExtent b="0" l="0" r="0" t="0"/>
            <wp:docPr descr="J-Lens future operation" title="" id="60" name="Picture"/>
            <a:graphic>
              <a:graphicData uri="http://schemas.openxmlformats.org/drawingml/2006/picture">
                <pic:pic>
                  <pic:nvPicPr>
                    <pic:cNvPr descr="figs/figA6_jlens_future.png" id="61" name="Picture"/>
                    <pic:cNvPicPr>
                      <a:picLocks noChangeArrowheads="1" noChangeAspect="1"/>
                    </pic:cNvPicPr>
                  </pic:nvPicPr>
                  <pic:blipFill>
                    <a:blip r:embed="rId59"/>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2"/>
    <w:bookmarkEnd w:id="63"/>
    <w:bookmarkStart w:id="67" w:name="letter-arithmetic"/>
    <w:p>
      <w:pPr>
        <w:pStyle w:val="Heading3"/>
      </w:pPr>
      <w:r>
        <w:t xml:space="preserve">Letter arithmetic</w:t>
      </w:r>
    </w:p>
    <w:p>
      <w:pPr>
        <w:pStyle w:val="FirstParagraph"/>
      </w:pPr>
      <w:r>
        <w:t xml:space="preserve">[stub:] The single-injection transfer-map protocol of the main text also runs with a multiplicative image map, $x’ = $ the letter at position</w:t>
      </w:r>
      <w:r>
        <w:t xml:space="preserve"> </w:t>
      </w:r>
      <m:oMath>
        <m:r>
          <m:t>k</m:t>
        </m:r>
        <m:r>
          <m:rPr>
            <m:sty m:val="p"/>
          </m:rPr>
          <m:t>⋅</m:t>
        </m:r>
        <m:r>
          <m:rPr>
            <m:sty m:val="p"/>
          </m:rPr>
          <m:t>p</m:t>
        </m:r>
        <m:r>
          <m:rPr>
            <m:sty m:val="p"/>
          </m:rPr>
          <m:t>o</m:t>
        </m:r>
        <m:r>
          <m:rPr>
            <m:sty m:val="p"/>
          </m:rPr>
          <m:t>s</m:t>
        </m:r>
        <m:d>
          <m:dPr>
            <m:begChr m:val="("/>
            <m:sepChr m:val=""/>
            <m:endChr m:val=")"/>
            <m:grow/>
          </m:dPr>
          <m:e>
            <m:r>
              <m:t>x</m:t>
            </m:r>
          </m:e>
        </m:d>
      </m:oMath>
      <w:r>
        <w:t xml:space="preserve">,</w:t>
      </w:r>
      <w:r>
        <w:t xml:space="preserve"> </w:t>
      </w:r>
      <m:oMath>
        <m:r>
          <m:t>k</m:t>
        </m:r>
        <m:r>
          <m:rPr>
            <m:sty m:val="p"/>
          </m:rPr>
          <m:t>∈</m:t>
        </m:r>
        <m:r>
          <m:rPr>
            <m:sty m:val="p"/>
          </m:rPr>
          <m:t>{</m:t>
        </m:r>
        <m:r>
          <m:t>2</m:t>
        </m:r>
        <m:r>
          <m:rPr>
            <m:sty m:val="p"/>
          </m:rPr>
          <m:t>,</m:t>
        </m:r>
        <m:r>
          <m:t>3</m:t>
        </m:r>
        <m:r>
          <m:rPr>
            <m:sty m:val="p"/>
          </m:rPr>
          <m:t>,</m:t>
        </m:r>
        <m:r>
          <m:t>4</m:t>
        </m:r>
        <m:r>
          <m:rPr>
            <m:sty m:val="p"/>
          </m:rPr>
          <m:t>}</m:t>
        </m:r>
      </m:oMath>
      <w:r>
        <w:t xml:space="preserve"> </w:t>
      </w:r>
      <w:r>
        <w:t xml:space="preserve">(upper→upper).</w:t>
      </w:r>
    </w:p>
    <w:p>
      <w:pPr>
        <w:pStyle w:val="CaptionedFigure"/>
      </w:pPr>
      <w:r>
        <w:drawing>
          <wp:inline>
            <wp:extent cx="5334000" cy="4000500"/>
            <wp:effectExtent b="0" l="0" r="0" t="0"/>
            <wp:docPr descr="Multiplicative transfer map" title="" id="65" name="Picture"/>
            <a:graphic>
              <a:graphicData uri="http://schemas.openxmlformats.org/drawingml/2006/picture">
                <pic:pic>
                  <pic:nvPicPr>
                    <pic:cNvPr descr="figs/figA13_mult_transfer.png" id="66" name="Picture"/>
                    <pic:cNvPicPr>
                      <a:picLocks noChangeArrowheads="1" noChangeAspect="1"/>
                    </pic:cNvPicPr>
                  </pic:nvPicPr>
                  <pic:blipFill>
                    <a:blip r:embed="rId6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Multiplicative transfer map</w:t>
      </w:r>
    </w:p>
    <w:p>
      <w:pPr>
        <w:pStyle w:val="BodyText"/>
      </w:pPr>
      <w:r>
        <w:rPr>
          <w:i/>
          <w:iCs/>
        </w:rPr>
        <w:t xml:space="preserve">Perturbed sources trigger a response at their multiplicative images, but far less specifically than in the additive map (diagonal excess</w:t>
      </w:r>
      <w:r>
        <w:rPr>
          <w:i/>
          <w:iCs/>
        </w:rPr>
        <w:t xml:space="preserve"> </w:t>
      </w:r>
      <m:oMath>
        <m:r>
          <m:rPr>
            <m:sty m:val="p"/>
          </m:rPr>
          <m:t>+</m:t>
        </m:r>
        <m:r>
          <m:t>0.19</m:t>
        </m:r>
      </m:oMath>
      <w:r>
        <w:rPr>
          <w:i/>
          <w:iCs/>
        </w:rPr>
        <w:t xml:space="preserve"> </w:t>
      </w:r>
      <w:r>
        <w:rPr>
          <w:i/>
          <w:iCs/>
        </w:rPr>
        <w:t xml:space="preserve">vs</w:t>
      </w:r>
      <w:r>
        <w:rPr>
          <w:i/>
          <w:iCs/>
        </w:rPr>
        <w:t xml:space="preserve"> </w:t>
      </w:r>
      <m:oMath>
        <m:r>
          <m:rPr>
            <m:sty m:val="p"/>
          </m:rPr>
          <m:t>+</m:t>
        </m:r>
        <m:r>
          <m:t>0.97</m:t>
        </m:r>
      </m:oMath>
      <w:r>
        <w:rPr>
          <w:i/>
          <w:iCs/>
        </w:rPr>
        <w:t xml:space="preserve">).</w:t>
      </w:r>
    </w:p>
    <w:bookmarkEnd w:id="67"/>
    <w:bookmarkStart w:id="71"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9" name="Picture"/>
            <a:graphic>
              <a:graphicData uri="http://schemas.openxmlformats.org/drawingml/2006/picture">
                <pic:pic>
                  <pic:nvPicPr>
                    <pic:cNvPr descr="figs/figA5_seasonal_ember_kill.png" id="70" name="Picture"/>
                    <pic:cNvPicPr>
                      <a:picLocks noChangeArrowheads="1" noChangeAspect="1"/>
                    </pic:cNvPicPr>
                  </pic:nvPicPr>
                  <pic:blipFill>
                    <a:blip r:embed="rId68"/>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this example also represents a more general instantion of</w:t>
      </w:r>
      <w:r>
        <w:t xml:space="preserve"> </w:t>
      </w:r>
      <w:r>
        <w:rPr>
          <w:b/>
          <w:bCs/>
        </w:rPr>
        <w:t xml:space="preserve">self-correction</w:t>
      </w:r>
      <w:r>
        <w:t xml:space="preserve">, anticipating the correction through the</w:t>
      </w:r>
      <w:r>
        <w:t xml:space="preserve"> </w:t>
      </w:r>
      <m:oMath>
        <m:sSup>
          <m:e>
            <m:r>
              <m:rPr>
                <m:sty m:val="b"/>
              </m:rPr>
              <m:t>s</m:t>
            </m:r>
          </m:e>
          <m:sup>
            <m:r>
              <m:t>t</m:t>
            </m:r>
          </m:sup>
        </m:sSup>
      </m:oMath>
      <w:r>
        <w:t xml:space="preserve"> </w:t>
      </w:r>
      <w:r>
        <w:t xml:space="preserve">channel.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71"/>
    <w:bookmarkStart w:id="83" w:name="post-hoc-rationalization"/>
    <w:p>
      <w:pPr>
        <w:pStyle w:val="Heading3"/>
      </w:pPr>
      <w:r>
        <w:t xml:space="preserve">Post-hoc rationalization</w:t>
      </w:r>
    </w:p>
    <w:p>
      <w:pPr>
        <w:pStyle w:val="FirstParagraph"/>
      </w:pPr>
      <w:r>
        <w:t xml:space="preserve">An important question in monitorability (</w:t>
      </w:r>
      <w:hyperlink r:id="rId72">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4" name="Picture"/>
            <a:graphic>
              <a:graphicData uri="http://schemas.openxmlformats.org/drawingml/2006/picture">
                <pic:pic>
                  <pic:nvPicPr>
                    <pic:cNvPr descr="figs/figA8_posthoc_correlations.png" id="75" name="Picture"/>
                    <pic:cNvPicPr>
                      <a:picLocks noChangeArrowheads="1" noChangeAspect="1"/>
                    </pic:cNvPicPr>
                  </pic:nvPicPr>
                  <pic:blipFill>
                    <a:blip r:embed="rId73"/>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the mean rating of three blind LLM raters (shown only the problem and its correct answer), CoT load-bearingness is measured via a susceptibility</w:t>
      </w:r>
      <w:r>
        <w:rPr>
          <w:i/>
          <w:iCs/>
        </w:rPr>
        <w:t xml:space="preserve"> </w:t>
      </w:r>
      <m:oMath>
        <m:r>
          <m:t>S</m:t>
        </m:r>
      </m:oMath>
      <w:r>
        <w:rPr>
          <w:i/>
          <w:iCs/>
        </w:rPr>
        <w:t xml:space="preserve">: the flip rate of the answer when a</w:t>
      </w:r>
      <w:r>
        <w:rPr>
          <w:i/>
          <w:iCs/>
        </w:rPr>
        <w:t xml:space="preserve"> </w:t>
      </w:r>
      <m:oMath>
        <m:r>
          <m:t>ρ</m:t>
        </m:r>
      </m:oMath>
      <w:r>
        <w:rPr>
          <w:i/>
          <w:iCs/>
        </w:rPr>
        <w:t xml:space="preserve">-fraction of the CoT canvas positions (</w:t>
      </w:r>
      <m:oMath>
        <m:sSup>
          <m:e>
            <m:r>
              <m:t>X</m:t>
            </m:r>
          </m:e>
          <m:sup>
            <m:r>
              <m:t>t</m:t>
            </m:r>
          </m:sup>
        </m:sSup>
      </m:oMath>
      <w:r>
        <w:rPr>
          <w:i/>
          <w:iCs/>
        </w:rPr>
        <w:t xml:space="preserve">, pinned every step) is replaced with random tokens (averaged over</w:t>
      </w:r>
      <w:r>
        <w:rPr>
          <w:i/>
          <w:iCs/>
        </w:rPr>
        <w:t xml:space="preserve"> </w:t>
      </w:r>
      <m:oMath>
        <m:r>
          <m:t>ρ</m:t>
        </m:r>
      </m:oMath>
      <w:r>
        <w:rPr>
          <w:i/>
          <w:iCs/>
        </w:rPr>
        <w:t xml:space="preserve">, against the</w:t>
      </w:r>
      <w:r>
        <w:rPr>
          <w:i/>
          <w:iCs/>
        </w:rPr>
        <w:t xml:space="preserve"> </w:t>
      </w:r>
      <m:oMath>
        <m:r>
          <m:t>ρ</m:t>
        </m:r>
        <m:r>
          <m:rPr>
            <m:sty m:val="p"/>
          </m:rPr>
          <m:t>=</m:t>
        </m:r>
        <m:r>
          <m:t>0</m:t>
        </m:r>
      </m:oMath>
      <w:r>
        <w:rPr>
          <w:i/>
          <w:iCs/>
        </w:rPr>
        <w:t xml:space="preserve"> </w:t>
      </w:r>
      <w:r>
        <w:rPr>
          <w:i/>
          <w:iCs/>
        </w:rPr>
        <w:t xml:space="preserve">own-CoT-pinned baseline), and commitment time is the denoising step after which the answer’s canvas positions stop changing (median over 5 seeds). We consider</w:t>
      </w:r>
      <w:r>
        <w:rPr>
          <w:i/>
          <w:iCs/>
        </w:rPr>
        <w:t xml:space="preserve"> </w:t>
      </w:r>
      <m:oMath>
        <m:r>
          <m:t>n</m:t>
        </m:r>
        <m:r>
          <m:rPr>
            <m:sty m:val="p"/>
          </m:rPr>
          <m:t>=</m:t>
        </m:r>
        <m:r>
          <m:t>40</m:t>
        </m:r>
      </m:oMath>
      <w:r>
        <w:rPr>
          <w:i/>
          <w:iCs/>
        </w:rPr>
        <w:t xml:space="preserve"> </w:t>
      </w:r>
      <w:r>
        <w:rPr>
          <w:i/>
          <w:iCs/>
        </w:rPr>
        <w:t xml:space="preserve">problems from four task families: CRT-style intuition traps (crt), counting/enumeration (count), hard arithmetic/enumeration (hard), and multi-hop compute-then-transform chains (transform). Spearman</w:t>
      </w:r>
      <w:r>
        <w:rPr>
          <w:i/>
          <w:iCs/>
        </w:rPr>
        <w:t xml:space="preserve"> </w:t>
      </w:r>
      <m:oMath>
        <m:sSub>
          <m:e>
            <m:r>
              <m:t>ρ</m:t>
            </m:r>
          </m:e>
          <m:sub>
            <m:r>
              <m:t>S</m:t>
            </m:r>
          </m:sub>
        </m:sSub>
      </m:oMath>
      <w:r>
        <w:rPr>
          <w:i/>
          <w:iCs/>
        </w:rPr>
        <w:t xml:space="preserve"> </w:t>
      </w:r>
      <w:r>
        <w:rPr>
          <w:i/>
          <w:iCs/>
        </w:rPr>
        <w:t xml:space="preserve">with two-sided permutation</w:t>
      </w:r>
      <w:r>
        <w:rPr>
          <w:i/>
          <w:iCs/>
        </w:rPr>
        <w:t xml:space="preserve"> </w:t>
      </w:r>
      <m:oMath>
        <m:r>
          <m:t>p</m:t>
        </m:r>
      </m:oMath>
      <w:r>
        <w:rPr>
          <w:i/>
          <w:iCs/>
        </w:rPr>
        <w:t xml:space="preserve"> </w:t>
      </w:r>
      <w:r>
        <w:rPr>
          <w:i/>
          <w:iCs/>
        </w:rPr>
        <w:t xml:space="preserve">per panel; × = accuracy &lt; 0.5, dashed = least-squares fit.</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7" name="Picture"/>
            <a:graphic>
              <a:graphicData uri="http://schemas.openxmlformats.org/drawingml/2006/picture">
                <pic:pic>
                  <pic:nvPicPr>
                    <pic:cNvPr descr="figs/figA8b_posthoc_case.png" id="78" name="Picture"/>
                    <pic:cNvPicPr>
                      <a:picLocks noChangeArrowheads="1" noChangeAspect="1"/>
                    </pic:cNvPicPr>
                  </pic:nvPicPr>
                  <pic:blipFill>
                    <a:blip r:embed="rId76"/>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2"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80" name="Picture"/>
            <a:graphic>
              <a:graphicData uri="http://schemas.openxmlformats.org/drawingml/2006/picture">
                <pic:pic>
                  <pic:nvPicPr>
                    <pic:cNvPr descr="figs/figA9_resolution.png" id="81" name="Picture"/>
                    <pic:cNvPicPr>
                      <a:picLocks noChangeArrowheads="1" noChangeAspect="1"/>
                    </pic:cNvPicPr>
                  </pic:nvPicPr>
                  <pic:blipFill>
                    <a:blip r:embed="rId79"/>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2"/>
    <w:bookmarkEnd w:id="83"/>
    <w:bookmarkStart w:id="87"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5" name="Picture"/>
            <a:graphic>
              <a:graphicData uri="http://schemas.openxmlformats.org/drawingml/2006/picture">
                <pic:pic>
                  <pic:nvPicPr>
                    <pic:cNvPr descr="figs/figA11_commit_causality.png" id="86" name="Picture"/>
                    <pic:cNvPicPr>
                      <a:picLocks noChangeArrowheads="1" noChangeAspect="1"/>
                    </pic:cNvPicPr>
                  </pic:nvPicPr>
                  <pic:blipFill>
                    <a:blip r:embed="rId84"/>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47" Target="https://arxiv.org/abs/2310.01405" TargetMode="External" /><Relationship Type="http://schemas.openxmlformats.org/officeDocument/2006/relationships/hyperlink" Id="rId40" Target="https://arxiv.org/abs/2502.16681" TargetMode="External" /><Relationship Type="http://schemas.openxmlformats.org/officeDocument/2006/relationships/hyperlink" Id="rId72"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2"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2026-08-14T05:31:23Z</dcterms:created>
  <dcterms:modified xsi:type="dcterms:W3CDTF">2026-08-14T05:31:23Z</dcterms:modified>
</cp:coreProperties>
</file>

<file path=docProps/custom.xml><?xml version="1.0" encoding="utf-8"?>
<Properties xmlns="http://schemas.openxmlformats.org/officeDocument/2006/custom-properties" xmlns:vt="http://schemas.openxmlformats.org/officeDocument/2006/docPropsVTypes"/>
</file>