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35.png" ContentType="image/png"/>
  <Override PartName="/word/media/rId80.png" ContentType="image/png"/>
  <Override PartName="/word/media/rId84.png" ContentType="image/png"/>
  <Override PartName="/word/media/rId41.png" ContentType="image/png"/>
  <Override PartName="/word/media/rId46.png" ContentType="image/png"/>
  <Override PartName="/word/media/rId52.png" ContentType="image/png"/>
  <Override PartName="/word/media/rId57.png" ContentType="image/png"/>
  <Override PartName="/word/media/rId64.png" ContentType="image/png"/>
  <Override PartName="/word/media/rId60.png" ContentType="image/png"/>
  <Override PartName="/word/media/rId69.png" ContentType="image/png"/>
  <Override PartName="/word/media/rId72.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underlines the paper’s conclusion that DiffusionGemma remains highly monitorable, while nevertheless showing that there are cases where models can learn to use vector-valued information.</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Importantly,</w:t>
      </w:r>
      <w:r>
        <w:t xml:space="preserve"> </w:t>
      </w:r>
      <m:oMath>
        <m:sSup>
          <m:e>
            <m:r>
              <m:t>X</m:t>
            </m:r>
          </m:e>
          <m:sup>
            <m:r>
              <m:t>t</m:t>
            </m:r>
          </m:sup>
        </m:sSup>
      </m:oMath>
      <w:r>
        <w:t xml:space="preserve"> </w:t>
      </w:r>
      <w:r>
        <w:t xml:space="preserve">attends bidirectionally to itself, and causally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of DG significantly dropped. Thus somehow the information in</w:t>
      </w:r>
      <w:r>
        <w:t xml:space="preserve"> </w:t>
      </w:r>
      <m:oMath>
        <m:sSup>
          <m:e>
            <m:r>
              <m:rPr>
                <m:sty m:val="b"/>
              </m:rPr>
              <m:t>s</m:t>
            </m:r>
          </m:e>
          <m:sup>
            <m:r>
              <m:t>t</m:t>
            </m:r>
          </m:sup>
        </m:sSup>
      </m:oMath>
      <w:r>
        <w:t xml:space="preserve"> </w:t>
      </w:r>
      <w:r>
        <w:t xml:space="preserve">seemed to have been essential to DiffusionGemma,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i/>
          <w:iCs/>
        </w:rPr>
        <w:t xml:space="preserve">A gentler sampler prevents the degenerate loop that caused performance degradation on top-k truncating the distributional state</w:t>
      </w:r>
      <w:r>
        <w:rPr>
          <w:i/>
          <w:iCs/>
        </w:rPr>
        <w:t xml:space="preserve"> </w:t>
      </w:r>
      <m:oMath>
        <m:sSup>
          <m:e>
            <m:r>
              <m:rPr>
                <m:sty m:val="b"/>
              </m:rPr>
              <m:t>s</m:t>
            </m:r>
          </m:e>
          <m:sup>
            <m:r>
              <m:t>t</m:t>
            </m:r>
          </m:sup>
        </m:sSup>
      </m:oMath>
      <w:r>
        <w:rPr>
          <w:i/>
          <w:iCs/>
        </w:rPr>
        <w:t xml:space="preserve"> </w:t>
      </w:r>
      <w:r>
        <w:rPr>
          <w:i/>
          <w:iCs/>
        </w:rPr>
        <w:t xml:space="preserve">observed in</w:t>
      </w:r>
      <w:r>
        <w:rPr>
          <w:i/>
          <w:iCs/>
        </w:rPr>
        <w:t xml:space="preserve"> </w:t>
      </w:r>
      <w:hyperlink r:id="rId24">
        <w:r>
          <w:rPr>
            <w:rStyle w:val="Hyperlink"/>
            <w:i/>
            <w:iCs/>
          </w:rPr>
          <w:t xml:space="preserve">Engels et al.</w:t>
        </w:r>
      </w:hyperlink>
      <w:r>
        <w:t xml:space="preserve">.</w:t>
      </w:r>
    </w:p>
    <w:bookmarkEnd w:id="28"/>
    <w:bookmarkStart w:id="39"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Today the weather is _</w:t>
      </w:r>
      <w:r>
        <w:t xml:space="preserve">, with</w:t>
      </w:r>
      <w:r>
        <w:t xml:space="preserve"> </w:t>
      </w:r>
      <w:r>
        <w:rPr>
          <w:rStyle w:val="VerbatimChar"/>
        </w:rPr>
        <w:t xml:space="preserve">rainy</w:t>
      </w:r>
      <w:r>
        <w:t xml:space="preserve">and</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i/>
          <w:iCs/>
        </w:rPr>
        <w:t xml:space="preserve">Perturbing subleading tokens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i/>
          <w:iCs/>
        </w:rPr>
        <w:t xml:space="preserve">Example of one intervention: a subleading injection on</w:t>
      </w:r>
      <w:r>
        <w:rPr>
          <w:i/>
          <w:iCs/>
        </w:rPr>
        <w:t xml:space="preserve"> </w:t>
      </w:r>
      <w:r>
        <w:rPr>
          <w:rStyle w:val="VerbatimChar"/>
          <w:i/>
          <w:iCs/>
        </w:rPr>
        <w:t xml:space="preserve">H</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swings the answer slot from</w:t>
      </w:r>
      <w:r>
        <w:rPr>
          <w:i/>
          <w:iCs/>
        </w:rPr>
        <w:t xml:space="preserve"> </w:t>
      </w:r>
      <w:r>
        <w:rPr>
          <w:rStyle w:val="VerbatimChar"/>
          <w:i/>
          <w:iCs/>
        </w:rPr>
        <w:t xml:space="preserve">J</w:t>
      </w:r>
      <w:r>
        <w:rPr>
          <w:i/>
          <w:iCs/>
        </w:rPr>
        <w:t xml:space="preserve"> </w:t>
      </w:r>
      <w:r>
        <w:rPr>
          <w:i/>
          <w:iCs/>
        </w:rPr>
        <w:t xml:space="preserve">to</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Start w:id="38" w:name="parallelism"/>
    <w:p>
      <w:pPr>
        <w:pStyle w:val="Heading3"/>
      </w:pPr>
      <w:r>
        <w:t xml:space="preserve">Parallelism</w:t>
      </w:r>
    </w:p>
    <w:p>
      <w:pPr>
        <w:pStyle w:val="FirstParagraph"/>
      </w:pPr>
      <w:r>
        <w:t xml:space="preserve">This simple response behavior begs the question whether it is possible to perturb</w:t>
      </w:r>
      <w:r>
        <w:t xml:space="preserve"> </w:t>
      </w:r>
      <m:oMath>
        <m:r>
          <m:t>n</m:t>
        </m:r>
        <m:r>
          <m:rPr>
            <m:sty m:val="p"/>
          </m:rPr>
          <m:t>&gt;</m:t>
        </m:r>
        <m:r>
          <m:t>1</m:t>
        </m:r>
      </m:oMath>
      <w:r>
        <w:t xml:space="preserve"> </w:t>
      </w:r>
      <w:r>
        <w:t xml:space="preserve">source letters</w:t>
      </w:r>
      <w:r>
        <w:t xml:space="preserve"> </w:t>
      </w:r>
      <w:r>
        <w:rPr>
          <w:i/>
          <w:iCs/>
        </w:rPr>
        <w:t xml:space="preserve">simultaneously</w:t>
      </w:r>
      <w:r>
        <w:t xml:space="preserve"> </w:t>
      </w:r>
      <w:r>
        <w:t xml:space="preserve">(again, keeping them subleading) and see whether the corresponding target images respond. To this end, we measure responses</w:t>
      </w:r>
      <w:r>
        <w:t xml:space="preserve"> </w:t>
      </w:r>
      <m:oMath>
        <m:r>
          <m:rPr>
            <m:sty m:val="p"/>
          </m:rPr>
          <m:t>⟨</m:t>
        </m:r>
        <m:r>
          <m:t>R</m:t>
        </m:r>
        <m:sSub>
          <m:e>
            <m:r>
              <m:rPr>
                <m:sty m:val="p"/>
              </m:rPr>
              <m:t>⟩</m:t>
            </m:r>
          </m:e>
          <m:sub>
            <m:r>
              <m:t>T</m:t>
            </m:r>
          </m:sub>
        </m:sSub>
      </m:oMath>
      <w:r>
        <w:t xml:space="preserve"> </w:t>
      </w:r>
      <w:r>
        <w:t xml:space="preserve">and</w:t>
      </w:r>
      <w:r>
        <w:t xml:space="preserve"> </w:t>
      </w:r>
      <m:oMath>
        <m:r>
          <m:rPr>
            <m:sty m:val="p"/>
          </m:rPr>
          <m:t>⟨</m:t>
        </m:r>
        <m:r>
          <m:t>R</m:t>
        </m:r>
        <m:sSub>
          <m:e>
            <m:r>
              <m:rPr>
                <m:sty m:val="p"/>
              </m:rPr>
              <m:t>⟩</m:t>
            </m:r>
          </m:e>
          <m:sub>
            <m:r>
              <m:t>N</m:t>
            </m:r>
          </m:sub>
        </m:sSub>
      </m:oMath>
      <w:r>
        <w:t xml:space="preserve"> </w:t>
      </w:r>
      <w:r>
        <w:t xml:space="preserve">averaged over the target and non-target sets, respectively, and introduce the</w:t>
      </w:r>
      <w:r>
        <w:t xml:space="preserve"> </w:t>
      </w:r>
      <w:r>
        <w:rPr>
          <w:i/>
          <w:iCs/>
        </w:rPr>
        <w:t xml:space="preserve">effect</w:t>
      </w:r>
      <w:r>
        <w:t xml:space="preserve"> </w:t>
      </w:r>
      <m:oMath>
        <m:r>
          <m:t>E</m:t>
        </m:r>
        <m:r>
          <m:rPr>
            <m:sty m:val="p"/>
          </m:rPr>
          <m:t>=</m:t>
        </m:r>
        <m:r>
          <m:rPr>
            <m:sty m:val="p"/>
          </m:rPr>
          <m:t>⟨</m:t>
        </m:r>
        <m:r>
          <m:t>R</m:t>
        </m:r>
        <m:sSub>
          <m:e>
            <m:r>
              <m:rPr>
                <m:sty m:val="p"/>
              </m:rPr>
              <m:t>⟩</m:t>
            </m:r>
          </m:e>
          <m:sub>
            <m:r>
              <m:t>T</m:t>
            </m:r>
          </m:sub>
        </m:sSub>
        <m:r>
          <m:rPr>
            <m:sty m:val="p"/>
          </m:rPr>
          <m:t>−</m:t>
        </m:r>
        <m:r>
          <m:rPr>
            <m:sty m:val="p"/>
          </m:rPr>
          <m:t>⟨</m:t>
        </m:r>
        <m:r>
          <m:t>R</m:t>
        </m:r>
        <m:sSub>
          <m:e>
            <m:r>
              <m:rPr>
                <m:sty m:val="p"/>
              </m:rPr>
              <m:t>⟩</m:t>
            </m:r>
          </m:e>
          <m:sub>
            <m:r>
              <m:t>N</m:t>
            </m:r>
          </m:sub>
        </m:sSub>
      </m:oMath>
      <w:r>
        <w:t xml:space="preserve">. Because we now inject mass at multiple positions and observe proportionally scaled response, we calculate a</w:t>
      </w:r>
      <w:r>
        <w:t xml:space="preserve"> </w:t>
      </w:r>
      <w:r>
        <w:rPr>
          <w:i/>
          <w:iCs/>
        </w:rPr>
        <w:t xml:space="preserve">normalized effect</w:t>
      </w:r>
      <w:r>
        <w:t xml:space="preserve"> </w:t>
      </w:r>
      <m:oMath>
        <m:r>
          <m:t>N</m:t>
        </m:r>
        <m:r>
          <m:t>E</m:t>
        </m:r>
      </m:oMath>
      <w:r>
        <w:t xml:space="preserve">.</w:t>
      </w:r>
    </w:p>
    <w:p>
      <w:pPr>
        <w:pStyle w:val="CaptionedFigure"/>
      </w:pPr>
      <w:r>
        <w:drawing>
          <wp:inline>
            <wp:extent cx="5334000" cy="1700212"/>
            <wp:effectExtent b="0" l="0" r="0" t="0"/>
            <wp:docPr descr="Parallelism triptych" title="" id="36" name="Picture"/>
            <a:graphic>
              <a:graphicData uri="http://schemas.openxmlformats.org/drawingml/2006/picture">
                <pic:pic>
                  <pic:nvPicPr>
                    <pic:cNvPr descr="figs/fig2b_triptych.png" id="37" name="Picture"/>
                    <pic:cNvPicPr>
                      <a:picLocks noChangeArrowheads="1" noChangeAspect="1"/>
                    </pic:cNvPicPr>
                  </pic:nvPicPr>
                  <pic:blipFill>
                    <a:blip r:embed="rId35"/>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Parallelism triptych</w:t>
      </w:r>
    </w:p>
    <w:p>
      <w:pPr>
        <w:pStyle w:val="BodyText"/>
      </w:pPr>
      <w:r>
        <w:rPr>
          <w:i/>
          <w:iCs/>
        </w:rPr>
        <w:t xml:space="preserve">DiffusionGemma does simultaneous letter arithmetic to about a capacity of</w:t>
      </w:r>
      <w:r>
        <w:rPr>
          <w:i/>
          <w:iCs/>
        </w:rPr>
        <w:t xml:space="preserve"> </w:t>
      </w:r>
      <m:oMath>
        <m:r>
          <m:t>n</m:t>
        </m:r>
        <m:r>
          <m:rPr>
            <m:sty m:val="p"/>
          </m:rPr>
          <m:t>=</m:t>
        </m:r>
        <m:r>
          <m:t>4</m:t>
        </m:r>
      </m:oMath>
      <w:r>
        <w:rPr>
          <w:i/>
          <w:iCs/>
        </w:rPr>
        <w:t xml:space="preserve">.</w:t>
      </w:r>
    </w:p>
    <w:p>
      <w:pPr>
        <w:pStyle w:val="BodyText"/>
      </w:pPr>
      <w:r>
        <w:t xml:space="preserve">This behavior is plausible considering the computation in question: a shift is easily implemented by a linear rotation in representation space. Therefore, superpositions of letters will be transported to superpositions of responses. Overall, this leaves an interpretable picture.</w:t>
      </w:r>
    </w:p>
    <w:bookmarkEnd w:id="38"/>
    <w:bookmarkEnd w:id="39"/>
    <w:bookmarkStart w:id="40"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(parallel)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reasearch.</w:t>
      </w:r>
    </w:p>
    <w:bookmarkEnd w:id="40"/>
    <w:bookmarkStart w:id="88"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4" w:name="representation-similarity"/>
    <w:p>
      <w:pPr>
        <w:pStyle w:val="Heading3"/>
      </w:pPr>
      <w:r>
        <w:t xml:space="preserve">Representation similarity</w:t>
      </w:r>
    </w:p>
    <w:p>
      <w:pPr>
        <w:pStyle w:val="FirstParagraph"/>
      </w:pPr>
      <w:r>
        <w:t xml:space="preserve">We first ask about how the representation changes between Gemma and DiffusionGemma. A simple way is to just measure overlap between pairs of inputs, where each element of the pair is fed through Gemma or DiffusionGemma, respectively. We here compare a simple cosine similarity, and centered kernel analysis (CKA).</w:t>
      </w:r>
    </w:p>
    <w:p>
      <w:pPr>
        <w:pStyle w:val="CaptionedFigure"/>
      </w:pPr>
      <w:r>
        <w:drawing>
          <wp:inline>
            <wp:extent cx="5334000" cy="2125265"/>
            <wp:effectExtent b="0" l="0" r="0" t="0"/>
            <wp:docPr descr="RSA cosine and CKA" title="" id="42" name="Picture"/>
            <a:graphic>
              <a:graphicData uri="http://schemas.openxmlformats.org/drawingml/2006/picture">
                <pic:pic>
                  <pic:nvPicPr>
                    <pic:cNvPr descr="figs/figA1_rsa_cosine_cka.png" id="43" name="Picture"/>
                    <pic:cNvPicPr>
                      <a:picLocks noChangeArrowheads="1" noChangeAspect="1"/>
                    </pic:cNvPicPr>
                  </pic:nvPicPr>
                  <pic:blipFill>
                    <a:blip r:embed="rId41"/>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i/>
          <w:iCs/>
        </w:rPr>
        <w:t xml:space="preserve">Representational similarity falls with layers, and is significantly driven by bare model difference and bidirectional attention.</w:t>
      </w:r>
    </w:p>
    <w:p>
      <w:pPr>
        <w:pStyle w:val="BodyText"/>
      </w:pPr>
      <w:r>
        <w:t xml:space="preserve">A priori, this rather large drop suggests a significant change in how the representation is organized, which we then went on to test more specifically.</w:t>
      </w:r>
    </w:p>
    <w:bookmarkEnd w:id="44"/>
    <w:bookmarkStart w:id="50" w:name="probe-retention"/>
    <w:p>
      <w:pPr>
        <w:pStyle w:val="Heading3"/>
      </w:pPr>
      <w:r>
        <w:t xml:space="preserve">Probe retention</w:t>
      </w:r>
    </w:p>
    <w:p>
      <w:pPr>
        <w:pStyle w:val="FirstParagraph"/>
      </w:pPr>
      <w:r>
        <w:t xml:space="preserve">Probing allows to study how well a model separates concepts. We use 56 binary concept datasets from the SAE-Probes benchmark (</w:t>
      </w:r>
      <w:hyperlink r:id="rId45">
        <w:r>
          <w:rPr>
            <w:rStyle w:val="Hyperlink"/>
          </w:rPr>
          <w:t xml:space="preserve">Kantamneni et al., 2025</w:t>
        </w:r>
      </w:hyperlink>
      <w:r>
        <w:t xml:space="preserve">) and train logistic-regression probes on gemma-4’s residual stream (up to 1024 training examples per concept; 43/56 at the full budget, minimum 512), optimizing the layer via heldout AUC. We then test this probe on DG.</w:t>
      </w:r>
    </w:p>
    <w:p>
      <w:pPr>
        <w:pStyle w:val="CaptionedFigure"/>
      </w:pPr>
      <w:r>
        <w:drawing>
          <wp:inline>
            <wp:extent cx="5334000" cy="3810846"/>
            <wp:effectExtent b="0" l="0" r="0" t="0"/>
            <wp:docPr descr="Probe retention" title="" id="47" name="Picture"/>
            <a:graphic>
              <a:graphicData uri="http://schemas.openxmlformats.org/drawingml/2006/picture">
                <pic:pic>
                  <pic:nvPicPr>
                    <pic:cNvPr descr="figs/figA2_probe_retention.png" id="48" name="Picture"/>
                    <pic:cNvPicPr>
                      <a:picLocks noChangeArrowheads="1" noChangeAspect="1"/>
                    </pic:cNvPicPr>
                  </pic:nvPicPr>
                  <pic:blipFill>
                    <a:blip r:embed="rId46"/>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the same gemma-trained probe scores gemma-4 and DG activations near-identically. Ticks: &lt;read model&gt; · &lt;attention mode&gt; · &lt;read position&gt; —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9"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9"/>
    <w:bookmarkEnd w:id="50"/>
    <w:bookmarkStart w:id="55"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51">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must identify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53" name="Picture"/>
            <a:graphic>
              <a:graphicData uri="http://schemas.openxmlformats.org/drawingml/2006/picture">
                <pic:pic>
                  <pic:nvPicPr>
                    <pic:cNvPr descr="figs/figA3_steer_retention.png" id="54" name="Picture"/>
                    <pic:cNvPicPr>
                      <a:picLocks noChangeArrowheads="1" noChangeAspect="1"/>
                    </pic:cNvPicPr>
                  </pic:nvPicPr>
                  <pic:blipFill>
                    <a:blip r:embed="rId52"/>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5"/>
    <w:bookmarkStart w:id="63" w:name="j-lens-retention"/>
    <w:p>
      <w:pPr>
        <w:pStyle w:val="Heading3"/>
      </w:pPr>
      <w:r>
        <w:t xml:space="preserve">J-Lens retention</w:t>
      </w:r>
    </w:p>
    <w:p>
      <w:pPr>
        <w:pStyle w:val="FirstParagraph"/>
      </w:pPr>
      <w:r>
        <w:t xml:space="preserve">The</w:t>
      </w:r>
      <w:r>
        <w:t xml:space="preserve"> </w:t>
      </w:r>
      <w:hyperlink r:id="rId56">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is disposed to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8" name="Picture"/>
            <a:graphic>
              <a:graphicData uri="http://schemas.openxmlformats.org/drawingml/2006/picture">
                <pic:pic>
                  <pic:nvPicPr>
                    <pic:cNvPr descr="figs/figA4_jlens_retention.png" id="59" name="Picture"/>
                    <pic:cNvPicPr>
                      <a:picLocks noChangeArrowheads="1" noChangeAspect="1"/>
                    </pic:cNvPicPr>
                  </pic:nvPicPr>
                  <pic:blipFill>
                    <a:blip r:embed="rId57"/>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6">
        <w:r>
          <w:rPr>
            <w:rStyle w:val="Hyperlink"/>
            <w:i/>
            <w:iCs/>
          </w:rPr>
          <w:t xml:space="preserve">J-Lens paper</w:t>
        </w:r>
      </w:hyperlink>
      <w:r>
        <w:rPr>
          <w:i/>
          <w:iCs/>
        </w:rPr>
        <w:t xml:space="preserve">). Bottom: An example poetry eval task, where the models surface the rhyme already one line in advance. Ticks show the fitted Jacobian estimator:</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and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[stub:] Beyond retention, the bidirectional stream also carries information about</w:t>
      </w:r>
      <w:r>
        <w:t xml:space="preserve"> </w:t>
      </w:r>
      <w:r>
        <w:rPr>
          <w:i/>
          <w:iCs/>
        </w:rPr>
        <w:t xml:space="preserve">future</w:t>
      </w:r>
      <w:r>
        <w:t xml:space="preserve"> </w:t>
      </w:r>
      <w:r>
        <w:t xml:space="preserve">positions: on an arithmetic prompt, the lens read at an earlier canvas position already decodes the operation that only appears two tokens later.</w:t>
      </w:r>
    </w:p>
    <w:p>
      <w:pPr>
        <w:pStyle w:val="CaptionedFigure"/>
      </w:pPr>
      <w:r>
        <w:drawing>
          <wp:inline>
            <wp:extent cx="5334000" cy="1197186"/>
            <wp:effectExtent b="0" l="0" r="0" t="0"/>
            <wp:docPr descr="J-Lens future operation" title="" id="61" name="Picture"/>
            <a:graphic>
              <a:graphicData uri="http://schemas.openxmlformats.org/drawingml/2006/picture">
                <pic:pic>
                  <pic:nvPicPr>
                    <pic:cNvPr descr="figs/figA6_jlens_future.png" id="62" name="Picture"/>
                    <pic:cNvPicPr>
                      <a:picLocks noChangeArrowheads="1" noChangeAspect="1"/>
                    </pic:cNvPicPr>
                  </pic:nvPicPr>
                  <pic:blipFill>
                    <a:blip r:embed="rId60"/>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3"/>
    <w:bookmarkStart w:id="67"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Concretely, at every step</w:t>
      </w:r>
      <w:r>
        <w:t xml:space="preserve"> </w:t>
      </w:r>
      <m:oMath>
        <m:r>
          <m:t>t</m:t>
        </m:r>
        <m:r>
          <m:rPr>
            <m:sty m:val="p"/>
          </m:rPr>
          <m:t>≥</m:t>
        </m:r>
        <m:sSub>
          <m:e>
            <m:r>
              <m:t>t</m:t>
            </m:r>
          </m:e>
          <m:sub>
            <m:r>
              <m:rPr>
                <m:sty m:val="p"/>
              </m:rPr>
              <m:t>a</m:t>
            </m:r>
            <m:r>
              <m:rPr>
                <m:sty m:val="p"/>
              </m:rPr>
              <m:t>b</m:t>
            </m:r>
            <m:r>
              <m:rPr>
                <m:sty m:val="p"/>
              </m:rPr>
              <m:t>l</m:t>
            </m:r>
          </m:sub>
        </m:sSub>
      </m:oMath>
      <w:r>
        <w:t xml:space="preserve"> </w:t>
      </w:r>
      <w:r>
        <w:t xml:space="preserve">we zero the idiom tokens’ entries of</w:t>
      </w:r>
      <w:r>
        <w:t xml:space="preserve"> </w:t>
      </w:r>
      <m:oMath>
        <m:sSubSup>
          <m:e>
            <m:r>
              <m:rPr>
                <m:sty m:val="b"/>
              </m:rPr>
              <m:t>s</m:t>
            </m:r>
          </m:e>
          <m:sub>
            <m:r>
              <m:t>i</m:t>
            </m:r>
          </m:sub>
          <m:sup>
            <m:r>
              <m:t>t</m:t>
            </m:r>
          </m:sup>
        </m:sSubSup>
      </m:oMath>
      <w:r>
        <w:t xml:space="preserve"> </w:t>
      </w:r>
      <w:r>
        <w:t xml:space="preserve">at the contested positions</w:t>
      </w:r>
      <w:r>
        <w:t xml:space="preserve"> </w:t>
      </w:r>
      <m:oMath>
        <m:r>
          <m:t>i</m:t>
        </m:r>
      </m:oMath>
      <w:r>
        <w:t xml:space="preserve"> </w:t>
      </w:r>
      <w:r>
        <w:t xml:space="preserve">(before sampling); the canvas</w:t>
      </w:r>
      <w:r>
        <w:t xml:space="preserve"> </w:t>
      </w:r>
      <m:oMath>
        <m:sSup>
          <m:e>
            <m:r>
              <m:t>X</m:t>
            </m:r>
          </m:e>
          <m:sup>
            <m:r>
              <m:t>t</m:t>
            </m:r>
          </m:sup>
        </m:sSup>
      </m:oMath>
      <w:r>
        <w:t xml:space="preserve"> </w:t>
      </w:r>
      <w:r>
        <w:t xml:space="preserve">is never edited and every other position and token is left untouched. What is</w:t>
      </w:r>
      <w:r>
        <w:t xml:space="preserve"> </w:t>
      </w:r>
      <w:r>
        <w:rPr>
          <w:i/>
          <w:iCs/>
        </w:rPr>
        <w:t xml:space="preserve">preserved</w:t>
      </w:r>
      <w:r>
        <w:t xml:space="preserve"> </w:t>
      </w:r>
      <w:r>
        <w:t xml:space="preserve">is thus the model’s own seasonal completion — nothing is injected in its favor.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5" name="Picture"/>
            <a:graphic>
              <a:graphicData uri="http://schemas.openxmlformats.org/drawingml/2006/picture">
                <pic:pic>
                  <pic:nvPicPr>
                    <pic:cNvPr descr="figs/figA5_seasonal_ember_kill.png" id="66" name="Picture"/>
                    <pic:cNvPicPr>
                      <a:picLocks noChangeArrowheads="1" noChangeAspect="1"/>
                    </pic:cNvPicPr>
                  </pic:nvPicPr>
                  <pic:blipFill>
                    <a:blip r:embed="rId64"/>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p>
      <w:pPr>
        <w:pStyle w:val="BodyText"/>
      </w:pPr>
      <w:r>
        <w:t xml:space="preserve">Note that while it doesn’t require</w:t>
      </w:r>
      <w:r>
        <w:t xml:space="preserve"> </w:t>
      </w:r>
      <m:oMath>
        <m:sSup>
          <m:e>
            <m:r>
              <m:rPr>
                <m:sty m:val="b"/>
              </m:rPr>
              <m:t>s</m:t>
            </m:r>
          </m:e>
          <m:sup>
            <m:r>
              <m:t>t</m:t>
            </m:r>
          </m:sup>
        </m:sSup>
      </m:oMath>
      <w:r>
        <w:t xml:space="preserve">, this is also an instance of</w:t>
      </w:r>
      <w:r>
        <w:t xml:space="preserve"> </w:t>
      </w:r>
      <w:r>
        <w:rPr>
          <w:b/>
          <w:bCs/>
        </w:rPr>
        <w:t xml:space="preserve">self-correction</w:t>
      </w:r>
      <w:r>
        <w:t xml:space="preserve">. This has important consequences for monitorability which may not have been captured in Engels et al.’s analysis: a tool reading only the final diffusion output will miss transient output. A model may for instance choose to hide a specific fact in its chain-of-thought to a monitor, while having used it intermittently, though we did not find any instances of such behavior here.</w:t>
      </w:r>
    </w:p>
    <w:bookmarkEnd w:id="67"/>
    <w:bookmarkStart w:id="79" w:name="post-hoc-rationalization"/>
    <w:p>
      <w:pPr>
        <w:pStyle w:val="Heading3"/>
      </w:pPr>
      <w:r>
        <w:t xml:space="preserve">Post-hoc rationalization</w:t>
      </w:r>
    </w:p>
    <w:p>
      <w:pPr>
        <w:pStyle w:val="FirstParagraph"/>
      </w:pPr>
      <w:r>
        <w:t xml:space="preserve">An important question in monitorability (</w:t>
      </w:r>
      <w:hyperlink r:id="rId68">
        <w:r>
          <w:rPr>
            <w:rStyle w:val="Hyperlink"/>
          </w:rPr>
          <w:t xml:space="preserve">Bogdan et al., 2025</w:t>
        </w:r>
      </w:hyperlink>
      <w:r>
        <w:t xml:space="preserve">) is whether the CoT is actually being used. An approach to measure this is to intervene on a fragment of the CoT, and see whether the answer changes.</w:t>
      </w:r>
    </w:p>
    <w:p>
      <w:pPr>
        <w:pStyle w:val="BodyText"/>
      </w:pPr>
      <w:r>
        <w:t xml:space="preserve">For autoregressive models, the answer appears after the CoT. This limits the ability for the CoT to be irrelevant, since otherwise the model would have needed to compute the answer without using the CoT tokens at all. In contrast, DiffusionGemma may arrive at an answer throughout multiple steps of computation, and then fill in a CoT post-hoc to match the format of the training distribution. An increased presence of such post-hoc rationalization relative to Gemma would be a blackpill for DiffusionGemma’s monitorabiltiy.</w:t>
      </w:r>
    </w:p>
    <w:p>
      <w:pPr>
        <w:pStyle w:val="CaptionedFigure"/>
      </w:pPr>
      <w:r>
        <w:drawing>
          <wp:inline>
            <wp:extent cx="5334000" cy="1619249"/>
            <wp:effectExtent b="0" l="0" r="0" t="0"/>
            <wp:docPr descr="Post-hoc correlations" title="" id="70" name="Picture"/>
            <a:graphic>
              <a:graphicData uri="http://schemas.openxmlformats.org/drawingml/2006/picture">
                <pic:pic>
                  <pic:nvPicPr>
                    <pic:cNvPr descr="figs/figA8_posthoc_correlations.png" id="71" name="Picture"/>
                    <pic:cNvPicPr>
                      <a:picLocks noChangeArrowheads="1" noChangeAspect="1"/>
                    </pic:cNvPicPr>
                  </pic:nvPicPr>
                  <pic:blipFill>
                    <a:blip r:embed="rId69"/>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Commitment time, not nominal difficulty, predicts whether the CoT is load-bearing.</w:t>
      </w:r>
      <w:r>
        <w:rPr>
          <w:i/>
          <w:iCs/>
        </w:rPr>
        <w:t xml:space="preserve"> </w:t>
      </w:r>
      <w:r>
        <w:rPr>
          <w:i/>
          <w:iCs/>
        </w:rPr>
        <w:t xml:space="preserve">Per problem (n=40): blind difficulty vs commitment time, blind difficulty vs susceptibility</w:t>
      </w:r>
      <w:r>
        <w:rPr>
          <w:i/>
          <w:iCs/>
        </w:rPr>
        <w:t xml:space="preserve"> </w:t>
      </w:r>
      <m:oMath>
        <m:r>
          <m:t>S</m:t>
        </m:r>
      </m:oMath>
      <w:r>
        <w:rPr>
          <w:i/>
          <w:iCs/>
        </w:rPr>
        <w:t xml:space="preserve">, and commitment time vs</w:t>
      </w:r>
      <w:r>
        <w:rPr>
          <w:i/>
          <w:iCs/>
        </w:rPr>
        <w:t xml:space="preserve"> </w:t>
      </w:r>
      <m:oMath>
        <m:r>
          <m:t>S</m:t>
        </m:r>
      </m:oMath>
      <w:r>
        <w:rPr>
          <w:i/>
          <w:iCs/>
        </w:rPr>
        <w:t xml:space="preserve"> </w:t>
      </w:r>
      <w:r>
        <w:rPr>
          <w:i/>
          <w:iCs/>
        </w:rPr>
        <w:t xml:space="preserve">(Spearman</w:t>
      </w:r>
      <w:r>
        <w:rPr>
          <w:i/>
          <w:iCs/>
        </w:rPr>
        <w:t xml:space="preserve"> </w:t>
      </w:r>
      <m:oMath>
        <m:sSub>
          <m:e>
            <m:r>
              <m:t>ρ</m:t>
            </m:r>
          </m:e>
          <m:sub>
            <m:r>
              <m:t>S</m:t>
            </m:r>
          </m:sub>
        </m:sSub>
      </m:oMath>
      <w:r>
        <w:rPr>
          <w:i/>
          <w:iCs/>
        </w:rPr>
        <w:t xml:space="preserve"> </w:t>
      </w:r>
      <w:r>
        <w:rPr>
          <w:i/>
          <w:iCs/>
        </w:rPr>
        <w:t xml:space="preserve">per panel; × = accuracy &lt; 0.5, dashed = least-squares fit).</w:t>
      </w:r>
    </w:p>
    <w:p>
      <w:pPr>
        <w:pStyle w:val="BodyText"/>
      </w:pPr>
      <w:r>
        <w:t xml:space="preserve">For illustration, consider the problem</w:t>
      </w:r>
      <w:r>
        <w:t xml:space="preserve"> </w:t>
      </w:r>
      <w:r>
        <w:rPr>
          <w:rStyle w:val="VerbatimChar"/>
        </w:rPr>
        <w:t xml:space="preserve">squares_400_800</w:t>
      </w:r>
      <w:r>
        <w:t xml:space="preserve">, which dissociates the two probes:</w:t>
      </w:r>
    </w:p>
    <w:p>
      <w:pPr>
        <w:pStyle w:val="CaptionedFigure"/>
      </w:pPr>
      <w:r>
        <w:drawing>
          <wp:inline>
            <wp:extent cx="5334000" cy="1570566"/>
            <wp:effectExtent b="0" l="0" r="0" t="0"/>
            <wp:docPr descr="Post-hoc case study" title="" id="73" name="Picture"/>
            <a:graphic>
              <a:graphicData uri="http://schemas.openxmlformats.org/drawingml/2006/picture">
                <pic:pic>
                  <pic:nvPicPr>
                    <pic:cNvPr descr="figs/figA8b_posthoc_case.png" id="74" name="Picture"/>
                    <pic:cNvPicPr>
                      <a:picLocks noChangeArrowheads="1" noChangeAspect="1"/>
                    </pic:cNvPicPr>
                  </pic:nvPicPr>
                  <pic:blipFill>
                    <a:blip r:embed="rId72"/>
                    <a:stretch>
                      <a:fillRect/>
                    </a:stretch>
                  </pic:blipFill>
                  <pic:spPr bwMode="auto">
                    <a:xfrm>
                      <a:off x="0" y="0"/>
                      <a:ext cx="5334000" cy="1570566"/>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DG denoises random corruption away but reads fluent wrong reasoning.</w:t>
      </w:r>
      <w:r>
        <w:rPr>
          <w:i/>
          <w:iCs/>
        </w:rPr>
        <w:t xml:space="preserve"> </w:t>
      </w:r>
      <w:r>
        <w:rPr>
          <w:i/>
          <w:iCs/>
        </w:rPr>
        <w:t xml:space="preserve">Left: clamping all 255 CoT canvas positions (</w:t>
      </w:r>
      <m:oMath>
        <m:sSup>
          <m:e>
            <m:r>
              <m:t>X</m:t>
            </m:r>
          </m:e>
          <m:sup>
            <m:r>
              <m:t>t</m:t>
            </m:r>
          </m:sup>
        </m:sSup>
      </m:oMath>
      <w:r>
        <w:rPr>
          <w:i/>
          <w:iCs/>
        </w:rPr>
        <w:t xml:space="preserve">, not</w:t>
      </w:r>
      <w:r>
        <w:rPr>
          <w:i/>
          <w:iCs/>
        </w:rPr>
        <w:t xml:space="preserve"> </w:t>
      </w:r>
      <m:oMath>
        <m:sSup>
          <m:e>
            <m:r>
              <m:rPr>
                <m:sty m:val="b"/>
              </m:rPr>
              <m:t>S</m:t>
            </m:r>
          </m:e>
          <m:sup>
            <m:r>
              <m:t>t</m:t>
            </m:r>
          </m:sup>
        </m:sSup>
      </m:oMath>
      <w:r>
        <w:rPr>
          <w:i/>
          <w:iCs/>
        </w:rPr>
        <w:t xml:space="preserve">) to random tokens leaves the answer untouched (8,</w:t>
      </w:r>
      <w:r>
        <w:rPr>
          <w:i/>
          <w:iCs/>
        </w:rPr>
        <w:t xml:space="preserve"> </w:t>
      </w:r>
      <m:oMath>
        <m:r>
          <m:t>S</m:t>
        </m:r>
        <m:r>
          <m:rPr>
            <m:sty m:val="p"/>
          </m:rPr>
          <m:t>=</m:t>
        </m:r>
        <m:r>
          <m:t>0.05</m:t>
        </m:r>
      </m:oMath>
      <w:r>
        <w:rPr>
          <w:i/>
          <w:iCs/>
        </w:rPr>
        <w:t xml:space="preserve">). Right: clamping a coherent lure CoT with a single off-by-one error (red) flips the answer to 9 in 5/5 seeds. Caveat: a target sweep shows the lure does not install its specific conclusion — the coherent-but-wrong CoT dislodges the answer into a nearby basin rather than steering it.</w:t>
      </w:r>
    </w:p>
    <w:bookmarkStart w:id="78" w:name="answer-resolution-over-denoising-steps"/>
    <w:p>
      <w:pPr>
        <w:pStyle w:val="Heading4"/>
      </w:pPr>
      <w:r>
        <w:t xml:space="preserve">Answer resolution over denoising steps</w:t>
      </w:r>
    </w:p>
    <w:p>
      <w:pPr>
        <w:pStyle w:val="FirstParagraph"/>
      </w:pPr>
      <w:r>
        <w:t xml:space="preserve">[stub:] The same split is visible in the raw denoising dynamics: for post-hoc problems the answer region is confident (low entropy) at step 0–1 while the CoT region is still hot; for load-bearing problems the answer region stays hot for several steps, flipping repeatedly, and commits only as the CoT resolves.</w:t>
      </w:r>
    </w:p>
    <w:p>
      <w:pPr>
        <w:pStyle w:val="CaptionedFigure"/>
      </w:pPr>
      <w:r>
        <w:drawing>
          <wp:inline>
            <wp:extent cx="5334000" cy="2125265"/>
            <wp:effectExtent b="0" l="0" r="0" t="0"/>
            <wp:docPr descr="Answer resolution" title="" id="76" name="Picture"/>
            <a:graphic>
              <a:graphicData uri="http://schemas.openxmlformats.org/drawingml/2006/picture">
                <pic:pic>
                  <pic:nvPicPr>
                    <pic:cNvPr descr="figs/figA9_resolution.png" id="77" name="Picture"/>
                    <pic:cNvPicPr>
                      <a:picLocks noChangeArrowheads="1" noChangeAspect="1"/>
                    </pic:cNvPicPr>
                  </pic:nvPicPr>
                  <pic:blipFill>
                    <a:blip r:embed="rId75"/>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on it.</w:t>
      </w:r>
      <w:r>
        <w:rPr>
          <w:i/>
          <w:iCs/>
        </w:rPr>
        <w:t xml:space="preserve"> </w:t>
      </w:r>
      <w:r>
        <w:rPr>
          <w:i/>
          <w:iCs/>
        </w:rPr>
        <w:t xml:space="preserve">Mean token entropy of the answer positions (solid) and CoT positions (dashed) per denoising step, one rollout per battery problem, grouped by the measured susceptibility (</w:t>
      </w:r>
      <m:oMath>
        <m:r>
          <m:t>S</m:t>
        </m:r>
        <m:r>
          <m:rPr>
            <m:sty m:val="p"/>
          </m:rPr>
          <m:t>≤</m:t>
        </m:r>
        <m:r>
          <m:t>0.1</m:t>
        </m:r>
      </m:oMath>
      <w:r>
        <w:rPr>
          <w:i/>
          <w:iCs/>
        </w:rPr>
        <w:t xml:space="preserve"> </w:t>
      </w:r>
      <w:r>
        <w:rPr>
          <w:i/>
          <w:iCs/>
        </w:rPr>
        <w:t xml:space="preserve">vs</w:t>
      </w:r>
      <w:r>
        <w:rPr>
          <w:i/>
          <w:iCs/>
        </w:rPr>
        <w:t xml:space="preserve"> </w:t>
      </w:r>
      <m:oMath>
        <m:r>
          <m:t>S</m:t>
        </m:r>
        <m:r>
          <m:rPr>
            <m:sty m:val="p"/>
          </m:rPr>
          <m:t>≥</m:t>
        </m:r>
        <m:r>
          <m:t>0.3</m:t>
        </m:r>
      </m:oMath>
      <w:r>
        <w:rPr>
          <w:i/>
          <w:iCs/>
        </w:rPr>
        <w:t xml:space="preserve">; three problems at</w:t>
      </w:r>
      <w:r>
        <w:rPr>
          <w:i/>
          <w:iCs/>
        </w:rPr>
        <w:t xml:space="preserve"> </w:t>
      </w:r>
      <m:oMath>
        <m:r>
          <m:t>S</m:t>
        </m:r>
        <m:r>
          <m:rPr>
            <m:sty m:val="p"/>
          </m:rPr>
          <m:t>=</m:t>
        </m:r>
        <m:r>
          <m:t>0.2</m:t>
        </m:r>
      </m:oMath>
      <w:r>
        <w:rPr>
          <w:i/>
          <w:iCs/>
        </w:rPr>
        <w:t xml:space="preserve"> </w:t>
      </w:r>
      <w:r>
        <w:rPr>
          <w:i/>
          <w:iCs/>
        </w:rPr>
        <w:t xml:space="preserve">excluded; faint = single problems, bold = group mean). The post-hoc group’s answer is near-committed already at step 1 (~0.1 nats) while its CoT is still at ~3 nats; the load-bearing group’s answer decays slowly and from step ~4 stays hotter than its own already-cooled CoT.</w:t>
      </w:r>
    </w:p>
    <w:bookmarkEnd w:id="78"/>
    <w:bookmarkEnd w:id="79"/>
    <w:bookmarkStart w:id="83" w:name="Xc88983d67b72bd3bbe7b5ed4c6ce8c17fda4537"/>
    <w:p>
      <w:pPr>
        <w:pStyle w:val="Heading3"/>
      </w:pPr>
      <w:r>
        <w:t xml:space="preserve">Self-repair: escaping a confident-wrong answer</w:t>
      </w:r>
    </w:p>
    <w:p>
      <w:pPr>
        <w:pStyle w:val="FirstParagraph"/>
      </w:pPr>
      <w:r>
        <w:t xml:space="preserve">[stub, related to the idiom example] Finally, we probed how sticky a wrong answer is, on a clock-strike fencepost problem (</w:t>
      </w:r>
      <w:r>
        <w:rPr>
          <w:rStyle w:val="VerbatimChar"/>
        </w:rPr>
        <w:t xml:space="preserve">A clock takes 6 seconds to strike 4 o'clock (it chimes 4 times). How many seconds does it take to strike 9 o'clock?</w:t>
      </w:r>
      <w:r>
        <w:t xml:space="preserve">, the correct answer is 16, but on first glance the answer is 18).</w:t>
      </w:r>
    </w:p>
    <w:p>
      <w:pPr>
        <w:pStyle w:val="BodyText"/>
      </w:pPr>
      <w:r>
        <w:t xml:space="preserve">In natural runs the canvas transiently visits the wrong answers and corrects them within a few steps. But a</w:t>
      </w:r>
      <w:r>
        <w:t xml:space="preserve"> </w:t>
      </w:r>
      <w:r>
        <w:rPr>
          <w:i/>
          <w:iCs/>
        </w:rPr>
        <w:t xml:space="preserve">harvested</w:t>
      </w:r>
      <w:r>
        <w:t xml:space="preserve"> </w:t>
      </w:r>
      <w:r>
        <w:t xml:space="preserve">confident-wrong state (a cold run that converged to 18) is a genuine attractor. Concretely, we</w:t>
      </w:r>
      <w:r>
        <w:t xml:space="preserve"> </w:t>
      </w:r>
      <w:r>
        <w:rPr>
          <w:i/>
          <w:iCs/>
        </w:rPr>
        <w:t xml:space="preserve">plant</w:t>
      </w:r>
      <w:r>
        <w:t xml:space="preserve"> </w:t>
      </w:r>
      <w:r>
        <w:t xml:space="preserve">the donor run’s full final state — its canvas</w:t>
      </w:r>
      <w:r>
        <w:t xml:space="preserve"> </w:t>
      </w:r>
      <m:oMath>
        <m:r>
          <m:t>X</m:t>
        </m:r>
      </m:oMath>
      <w:r>
        <w:t xml:space="preserve"> </w:t>
      </w:r>
      <w:r>
        <w:rPr>
          <w:i/>
          <w:iCs/>
        </w:rPr>
        <w:t xml:space="preserve">and</w:t>
      </w:r>
      <w:r>
        <w:t xml:space="preserve"> </w:t>
      </w:r>
      <w:r>
        <w:t xml:space="preserve">its sheet</w:t>
      </w:r>
      <w:r>
        <w:t xml:space="preserve"> </w:t>
      </w:r>
      <m:oMath>
        <m:r>
          <m:rPr>
            <m:sty m:val="b"/>
          </m:rPr>
          <m:t>S</m:t>
        </m:r>
      </m:oMath>
      <w:r>
        <w:t xml:space="preserve"> </w:t>
      </w:r>
      <w:r>
        <w:t xml:space="preserve">— into a fresh rollout at plant step</w:t>
      </w:r>
      <w:r>
        <w:t xml:space="preserve"> </w:t>
      </w:r>
      <m:oMath>
        <m:r>
          <m:t>k</m:t>
        </m:r>
      </m:oMath>
      <w:r>
        <w:t xml:space="preserve">, and denoising continues freely from there: nothing is clamped afterwards, so a small</w:t>
      </w:r>
      <w:r>
        <w:t xml:space="preserve"> </w:t>
      </w:r>
      <m:oMath>
        <m:r>
          <m:t>k</m:t>
        </m:r>
      </m:oMath>
      <w:r>
        <w:t xml:space="preserve"> </w:t>
      </w:r>
      <w:r>
        <w:t xml:space="preserve">leaves many re-noising steps to escape while a large</w:t>
      </w:r>
      <w:r>
        <w:t xml:space="preserve"> </w:t>
      </w:r>
      <m:oMath>
        <m:r>
          <m:t>k</m:t>
        </m:r>
      </m:oMath>
      <w:r>
        <w:t xml:space="preserve"> </w:t>
      </w:r>
      <w:r>
        <w:t xml:space="preserve">means the planted state is nearly frozen. Escape to 16 happens only with a hot sampler</w:t>
      </w:r>
      <w:r>
        <w:t xml:space="preserve"> </w:t>
      </w:r>
      <w:r>
        <w:rPr>
          <w:i/>
          <w:iCs/>
        </w:rPr>
        <w:t xml:space="preserve">and</w:t>
      </w:r>
      <w:r>
        <w:t xml:space="preserve"> </w:t>
      </w:r>
      <w:r>
        <w:t xml:space="preserve">enough re-noising — plant past</w:t>
      </w:r>
      <w:r>
        <w:t xml:space="preserve"> </w:t>
      </w:r>
      <m:oMath>
        <m:r>
          <m:t>k</m:t>
        </m:r>
        <m:r>
          <m:rPr>
            <m:sty m:val="p"/>
          </m:rPr>
          <m:t>≈</m:t>
        </m:r>
        <m:r>
          <m:t>48</m:t>
        </m:r>
      </m:oMath>
      <w:r>
        <w:t xml:space="preserve"> </w:t>
      </w:r>
      <w:r>
        <w:t xml:space="preserve">of</w:t>
      </w:r>
      <w:r>
        <w:t xml:space="preserve"> </w:t>
      </w:r>
      <m:oMath>
        <m:r>
          <m:t>128</m:t>
        </m:r>
      </m:oMath>
      <w:r>
        <w:t xml:space="preserve"> </w:t>
      </w:r>
      <w:r>
        <w:t xml:space="preserve">and even the hot sampler stays stuck at 18.</w:t>
      </w:r>
    </w:p>
    <w:p>
      <w:pPr>
        <w:pStyle w:val="CaptionedFigure"/>
      </w:pPr>
      <w:r>
        <w:drawing>
          <wp:inline>
            <wp:extent cx="5334000" cy="2117911"/>
            <wp:effectExtent b="0" l="0" r="0" t="0"/>
            <wp:docPr descr="Self-repair clock" title="" id="81" name="Picture"/>
            <a:graphic>
              <a:graphicData uri="http://schemas.openxmlformats.org/drawingml/2006/picture">
                <pic:pic>
                  <pic:nvPicPr>
                    <pic:cNvPr descr="figs/figA10_selfrepair_clock.png" id="82" name="Picture"/>
                    <pic:cNvPicPr>
                      <a:picLocks noChangeArrowheads="1" noChangeAspect="1"/>
                    </pic:cNvPicPr>
                  </pic:nvPicPr>
                  <pic:blipFill>
                    <a:blip r:embed="rId80"/>
                    <a:stretch>
                      <a:fillRect/>
                    </a:stretch>
                  </pic:blipFill>
                  <pic:spPr bwMode="auto">
                    <a:xfrm>
                      <a:off x="0" y="0"/>
                      <a:ext cx="5334000" cy="2117911"/>
                    </a:xfrm>
                    <a:prstGeom prst="rect">
                      <a:avLst/>
                    </a:prstGeom>
                    <a:noFill/>
                    <a:ln w="9525">
                      <a:noFill/>
                      <a:headEnd/>
                      <a:tailEnd/>
                    </a:ln>
                  </pic:spPr>
                </pic:pic>
              </a:graphicData>
            </a:graphic>
          </wp:inline>
        </w:drawing>
      </w:r>
    </w:p>
    <w:p>
      <w:pPr>
        <w:pStyle w:val="ImageCaption"/>
      </w:pPr>
      <w:r>
        <w:t xml:space="preserve">Self-repair clock</w:t>
      </w:r>
    </w:p>
    <w:p>
      <w:pPr>
        <w:pStyle w:val="BodyText"/>
      </w:pPr>
      <w:r>
        <w:rPr>
          <w:b/>
          <w:bCs/>
          <w:i/>
          <w:iCs/>
        </w:rPr>
        <w:t xml:space="preserve">Transient wrong answers self-repair; a committed wrong state needs heat and noise to escape.</w:t>
      </w:r>
      <w:r>
        <w:rPr>
          <w:i/>
          <w:iCs/>
        </w:rPr>
        <w:t xml:space="preserve"> </w:t>
      </w:r>
      <w:r>
        <w:rPr>
          <w:i/>
          <w:iCs/>
        </w:rPr>
        <w:t xml:space="preserve">Left: the first-line answer over denoising steps in natural cold runs (three seeds) — 12/18 appear transiently, all settle at 16. Right: a harvested wrong-18 state planted at varying steps and re-denoised: cold recipients stay stuck at every depth; very-hot recipients escape to 16 only when planted before ~step 48 of 128.</w:t>
      </w:r>
    </w:p>
    <w:bookmarkEnd w:id="83"/>
    <w:bookmarkStart w:id="87" w:name="Xd7c7dfb66314a32b0174c0001aa6561f67f2b90"/>
    <w:p>
      <w:pPr>
        <w:pStyle w:val="Heading3"/>
      </w:pPr>
      <w:r>
        <w:t xml:space="preserve">How much does DiffusionGemma use bidirectional attention?</w:t>
      </w:r>
    </w:p>
    <w:p>
      <w:pPr>
        <w:pStyle w:val="FirstParagraph"/>
      </w:pPr>
      <w:r>
        <w:t xml:space="preserve">One of the differences in DiffusionGemma is that it has bidirectional attention. While some tasks relying on some form of logical induction require causal left-to-right generation, other task do not obviously require it. However, being a finetune of Gemma, it is unclear how much it will just inherit a bias towards causal generation vs actually using bidirectional generation.</w:t>
      </w:r>
      <w:r>
        <w:t xml:space="preserve"> </w:t>
      </w:r>
      <w:r>
        <w:drawing>
          <wp:inline>
            <wp:extent cx="5334000" cy="1889125"/>
            <wp:effectExtent b="0" l="0" r="0" t="0"/>
            <wp:docPr descr="Commitment causality" title="" id="85" name="Picture"/>
            <a:graphic>
              <a:graphicData uri="http://schemas.openxmlformats.org/drawingml/2006/picture">
                <pic:pic>
                  <pic:nvPicPr>
                    <pic:cNvPr descr="figs/figA11_commit_causality.png" id="86" name="Picture"/>
                    <pic:cNvPicPr>
                      <a:picLocks noChangeArrowheads="1" noChangeAspect="1"/>
                    </pic:cNvPicPr>
                  </pic:nvPicPr>
                  <pic:blipFill>
                    <a:blip r:embed="rId84"/>
                    <a:stretch>
                      <a:fillRect/>
                    </a:stretch>
                  </pic:blipFill>
                  <pic:spPr bwMode="auto">
                    <a:xfrm>
                      <a:off x="0" y="0"/>
                      <a:ext cx="5334000" cy="1889125"/>
                    </a:xfrm>
                    <a:prstGeom prst="rect">
                      <a:avLst/>
                    </a:prstGeom>
                    <a:noFill/>
                    <a:ln w="9525">
                      <a:noFill/>
                      <a:headEnd/>
                      <a:tailEnd/>
                    </a:ln>
                  </pic:spPr>
                </pic:pic>
              </a:graphicData>
            </a:graphic>
          </wp:inline>
        </w:drawing>
      </w:r>
    </w:p>
    <w:p>
      <w:pPr>
        <w:pStyle w:val="BodyText"/>
      </w:pPr>
      <w:r>
        <w:rPr>
          <w:b/>
          <w:bCs/>
          <w:i/>
          <w:iCs/>
        </w:rPr>
        <w:t xml:space="preserve">Commitment order follows the task’s logical direction, but defaults to causality when ambiguous.</w:t>
      </w:r>
      <w:r>
        <w:rPr>
          <w:i/>
          <w:iCs/>
        </w:rPr>
        <w:t xml:space="preserve"> </w:t>
      </w:r>
      <w:r>
        <w:rPr>
          <w:i/>
          <w:iCs/>
        </w:rPr>
        <w:t xml:space="preserve">Center of mass of the canvas positions committed by step</w:t>
      </w:r>
      <w:r>
        <w:rPr>
          <w:i/>
          <w:iCs/>
        </w:rPr>
        <w:t xml:space="preserve"> </w:t>
      </w:r>
      <m:oMath>
        <m:r>
          <m:t>t</m:t>
        </m:r>
      </m:oMath>
      <w:r>
        <w:rPr>
          <w:i/>
          <w:iCs/>
        </w:rPr>
        <w:t xml:space="preserve"> </w:t>
      </w:r>
      <w:r>
        <w:rPr>
          <w:i/>
          <w:iCs/>
        </w:rPr>
        <w:t xml:space="preserve">(0 = left, 1 = right of the content span) over diffusion progress</w:t>
      </w:r>
      <w:r>
        <w:rPr>
          <w:i/>
          <w:iCs/>
        </w:rPr>
        <w:t xml:space="preserve"> </w:t>
      </w:r>
      <m:oMath>
        <m:r>
          <m:t>t</m:t>
        </m:r>
        <m:r>
          <m:rPr>
            <m:sty m:val="p"/>
          </m:rPr>
          <m:t>/</m:t>
        </m:r>
        <m:r>
          <m:t>T</m:t>
        </m:r>
      </m:oMath>
      <w:r>
        <w:rPr>
          <w:i/>
          <w:iCs/>
        </w:rPr>
        <w:t xml:space="preserve"> </w:t>
      </w:r>
      <w:r>
        <w:rPr>
          <w:i/>
          <w:iCs/>
        </w:rPr>
        <w:t xml:space="preserve">(faint = single rollouts, bold = mean).</w:t>
      </w:r>
      <w:r>
        <w:rPr>
          <w:i/>
          <w:iCs/>
        </w:rPr>
        <w:t xml:space="preserve"> </w:t>
      </w:r>
      <m:oMath>
        <m:sSub>
          <m:e>
            <m:r>
              <m:t>ρ</m:t>
            </m:r>
          </m:e>
          <m:sub>
            <m:r>
              <m:rPr>
                <m:sty m:val="p"/>
              </m:rPr>
              <m:t>l</m:t>
            </m:r>
            <m:r>
              <m:rPr>
                <m:sty m:val="p"/>
              </m:rPr>
              <m:t>o</m:t>
            </m:r>
            <m:r>
              <m:rPr>
                <m:sty m:val="p"/>
              </m:rPr>
              <m:t>g</m:t>
            </m:r>
            <m:r>
              <m:rPr>
                <m:sty m:val="p"/>
              </m:rPr>
              <m:t>i</m:t>
            </m:r>
            <m:r>
              <m:rPr>
                <m:sty m:val="p"/>
              </m:rPr>
              <m:t>c</m:t>
            </m:r>
          </m:sub>
        </m:sSub>
      </m:oMath>
      <w:r>
        <w:rPr>
          <w:i/>
          <w:iCs/>
        </w:rPr>
        <w:t xml:space="preserve"> </w:t>
      </w:r>
      <w:r>
        <w:rPr>
          <w:i/>
          <w:iCs/>
        </w:rPr>
        <w:t xml:space="preserve">= Spearman between the judge’s logical ordering of its own atom decomposition and the atoms’ positions in the text.</w:t>
      </w:r>
    </w:p>
    <w:p>
      <w:pPr>
        <w:pStyle w:val="BodyText"/>
      </w:pPr>
      <w:r>
        <w:t xml:space="preserve">We considered three tasks. GPQA, which involves logic-style problems and therefore shoudl require left-to-right generation,</w:t>
      </w:r>
      <w:r>
        <w:t xml:space="preserve"> </w:t>
      </w:r>
      <w:r>
        <w:rPr>
          <w:i/>
          <w:iCs/>
        </w:rPr>
        <w:t xml:space="preserve">poem writing</w:t>
      </w:r>
      <w:r>
        <w:t xml:space="preserve">, which has no clear left-to-rigth bias but only needs to satisfy a global structure, and</w:t>
      </w:r>
      <w:r>
        <w:t xml:space="preserve"> </w:t>
      </w:r>
      <w:r>
        <w:rPr>
          <w:i/>
          <w:iCs/>
        </w:rPr>
        <w:t xml:space="preserve">reverse_chain</w:t>
      </w:r>
      <w:r>
        <w:t xml:space="preserve">, which requires the model to reverse its reasoning order.</w:t>
      </w:r>
    </w:p>
    <w:bookmarkEnd w:id="87"/>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68"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68"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2026-08-08T20:18:40Z</dcterms:created>
  <dcterms:modified xsi:type="dcterms:W3CDTF">2026-08-08T20:18:40Z</dcterms:modified>
</cp:coreProperties>
</file>

<file path=docProps/custom.xml><?xml version="1.0" encoding="utf-8"?>
<Properties xmlns="http://schemas.openxmlformats.org/officeDocument/2006/custom-properties" xmlns:vt="http://schemas.openxmlformats.org/officeDocument/2006/docPropsVTypes"/>
</file>