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86.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90"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correct 16, fencepost attractor 18). In natural runs the canvas transiently visits the wrong answers and patches them within a few steps. But a</w:t>
      </w:r>
      <w:r>
        <w:t xml:space="preserve"> </w:t>
      </w:r>
      <w:r>
        <w:rPr>
          <w:i/>
          <w:iCs/>
        </w:rPr>
        <w:t xml:space="preserve">harvested</w:t>
      </w:r>
      <w:r>
        <w:t xml:space="preserve"> </w:t>
      </w:r>
      <w:r>
        <w:t xml:space="preserve">confident-wrong state (a cold run that converged to 18) is a genuine attractor: re-denoising it escapes to 16 only with a hot sampler</w:t>
      </w:r>
      <w:r>
        <w:t xml:space="preserve"> </w:t>
      </w:r>
      <w:r>
        <w:rPr>
          <w:i/>
          <w:iCs/>
        </w:rPr>
        <w:t xml:space="preserve">and</w:t>
      </w:r>
      <w:r>
        <w:t xml:space="preserve"> </w:t>
      </w:r>
      <w:r>
        <w:t xml:space="preserve">enough re-noising — plant it past step ~48 of 128 and even the hot sampler stays stuck.</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9" w:name="how-causal-is-dgs-generation"/>
    <w:p>
      <w:pPr>
        <w:pStyle w:val="Heading3"/>
      </w:pPr>
      <w:r>
        <w:t xml:space="preserve">How causal is DG’s generation?</w:t>
      </w:r>
    </w:p>
    <w:p>
      <w:pPr>
        <w:pStyle w:val="FirstParagraph"/>
      </w:pPr>
      <w:r>
        <w:t xml:space="preserve">[stub:] Although attention is bidirectional, DG could still</w:t>
      </w:r>
      <w:r>
        <w:t xml:space="preserve"> </w:t>
      </w:r>
      <w:r>
        <w:rPr>
          <w:i/>
          <w:iCs/>
        </w:rPr>
        <w:t xml:space="preserve">commit</w:t>
      </w:r>
      <w:r>
        <w:t xml:space="preserve"> </w:t>
      </w:r>
      <w:r>
        <w:t xml:space="preserve">its canvas in reading order, like an autoregressive model. We order each run’s content positions by the step at which they finally commit, and plot canvas position against commit rank — a strictly left-to-right (AR-like) order is the diagonal. Commitment is largely causal (median</w:t>
      </w:r>
      <w:r>
        <w:t xml:space="preserve"> </w:t>
      </w:r>
      <m:oMath>
        <m:sSub>
          <m:e>
            <m:r>
              <m:t>ρ</m:t>
            </m:r>
          </m:e>
          <m:sub>
            <m:r>
              <m:rPr>
                <m:sty m:val="p"/>
              </m:rPr>
              <m:t>c</m:t>
            </m:r>
            <m:r>
              <m:rPr>
                <m:sty m:val="p"/>
              </m:rPr>
              <m:t>h</m:t>
            </m:r>
            <m:r>
              <m:rPr>
                <m:sty m:val="p"/>
              </m:rPr>
              <m:t>a</m:t>
            </m:r>
            <m:r>
              <m:rPr>
                <m:sty m:val="p"/>
              </m:rPr>
              <m:t>i</m:t>
            </m:r>
            <m:r>
              <m:rPr>
                <m:sty m:val="p"/>
              </m:rPr>
              <m:t>n</m:t>
            </m:r>
          </m:sub>
        </m:sSub>
      </m:oMath>
      <w:r>
        <w:t xml:space="preserve"> </w:t>
      </w:r>
      <w:r>
        <w:t xml:space="preserve">between</w:t>
      </w:r>
      <w:r>
        <w:t xml:space="preserve"> </w:t>
      </w:r>
      <m:oMath>
        <m:r>
          <m:rPr>
            <m:sty m:val="p"/>
          </m:rPr>
          <m:t>+</m:t>
        </m:r>
        <m:r>
          <m:t>0.57</m:t>
        </m:r>
      </m:oMath>
      <w:r>
        <w:t xml:space="preserve"> </w:t>
      </w:r>
      <w:r>
        <w:t xml:space="preserve">and</w:t>
      </w:r>
      <w:r>
        <w:t xml:space="preserve"> </w:t>
      </w:r>
      <m:oMath>
        <m:r>
          <m:rPr>
            <m:sty m:val="p"/>
          </m:rPr>
          <m:t>+</m:t>
        </m:r>
        <m:r>
          <m:t>0.86</m:t>
        </m:r>
      </m:oMath>
      <w:r>
        <w:t xml:space="preserve"> </w:t>
      </w:r>
      <w:r>
        <w:t xml:space="preserve">across tasks), but with reproducible</w:t>
      </w:r>
      <w:r>
        <w:t xml:space="preserve"> </w:t>
      </w:r>
      <w:r>
        <w:rPr>
          <w:i/>
          <w:iCs/>
        </w:rPr>
        <w:t xml:space="preserve">anticausal stages</w:t>
      </w:r>
      <w:r>
        <w:t xml:space="preserve">: on</w:t>
      </w:r>
      <w:r>
        <w:t xml:space="preserve"> </w:t>
      </w:r>
      <w:r>
        <w:rPr>
          <w:rStyle w:val="VerbatimChar"/>
        </w:rPr>
        <w:t xml:space="preserve">ends_with</w:t>
      </w:r>
      <w:r>
        <w:t xml:space="preserve"> </w:t>
      </w:r>
      <w:r>
        <w:t xml:space="preserve">the anchored final word commits early and the middle of the sentence is filled in last (the terminal plunge of the mean curve), and on every task the left edge of the canvas is back-filled only after the first words have committed.</w:t>
      </w:r>
    </w:p>
    <w:p>
      <w:pPr>
        <w:pStyle w:val="CaptionedFigure"/>
      </w:pPr>
      <w:r>
        <w:drawing>
          <wp:inline>
            <wp:extent cx="5334000" cy="220027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Commitment causality</w:t>
      </w:r>
    </w:p>
    <w:p>
      <w:pPr>
        <w:pStyle w:val="BodyText"/>
      </w:pPr>
      <w:r>
        <w:rPr>
          <w:b/>
          <w:bCs/>
          <w:i/>
          <w:iCs/>
        </w:rPr>
        <w:t xml:space="preserve">Commitment order is mostly, but not strictly, left-to-right.</w:t>
      </w:r>
      <w:r>
        <w:rPr>
          <w:i/>
          <w:iCs/>
        </w:rPr>
        <w:t xml:space="preserve"> </w:t>
      </w:r>
      <w:r>
        <w:rPr>
          <w:i/>
          <w:iCs/>
        </w:rPr>
        <w:t xml:space="preserve">Per task: normalized canvas position of the</w:t>
      </w:r>
      <w:r>
        <w:rPr>
          <w:i/>
          <w:iCs/>
        </w:rPr>
        <w:t xml:space="preserve"> </w:t>
      </w:r>
      <m:oMath>
        <m:r>
          <m:t>k</m:t>
        </m:r>
      </m:oMath>
      <w:r>
        <w:rPr>
          <w:i/>
          <w:iCs/>
        </w:rPr>
        <w:t xml:space="preserve">-th finally-committed content position vs commit rank (faint = single rollouts, bold = mean; dashed diagonal = strictly left-to-right;</w:t>
      </w:r>
      <w:r>
        <w:rPr>
          <w:i/>
          <w:iCs/>
        </w:rPr>
        <w:t xml:space="preserve"> </w:t>
      </w:r>
      <m:oMath>
        <m:sSub>
          <m:e>
            <m:r>
              <m:t>ρ</m:t>
            </m:r>
          </m:e>
          <m:sub>
            <m:r>
              <m:rPr>
                <m:sty m:val="p"/>
              </m:rPr>
              <m:t>c</m:t>
            </m:r>
            <m:r>
              <m:rPr>
                <m:sty m:val="p"/>
              </m:rPr>
              <m:t>h</m:t>
            </m:r>
            <m:r>
              <m:rPr>
                <m:sty m:val="p"/>
              </m:rPr>
              <m:t>a</m:t>
            </m:r>
            <m:r>
              <m:rPr>
                <m:sty m:val="p"/>
              </m:rPr>
              <m:t>i</m:t>
            </m:r>
            <m:r>
              <m:rPr>
                <m:sty m:val="p"/>
              </m:rPr>
              <m:t>n</m:t>
            </m:r>
          </m:sub>
        </m:sSub>
      </m:oMath>
      <w:r>
        <w:rPr>
          <w:i/>
          <w:iCs/>
        </w:rPr>
        <w:t xml:space="preserve"> </w:t>
      </w:r>
      <w:r>
        <w:rPr>
          <w:i/>
          <w:iCs/>
        </w:rPr>
        <w:t xml:space="preserve">= median Spearman correlation between commit step and position). Anticausal stages show as descending segments:</w:t>
      </w:r>
      <w:r>
        <w:rPr>
          <w:i/>
          <w:iCs/>
        </w:rPr>
        <w:t xml:space="preserve"> </w:t>
      </w:r>
      <w:r>
        <w:rPr>
          <w:rStyle w:val="VerbatimChar"/>
          <w:i/>
          <w:iCs/>
        </w:rPr>
        <w:t xml:space="preserve">ends_with</w:t>
      </w:r>
      <w:r>
        <w:rPr>
          <w:i/>
          <w:iCs/>
        </w:rPr>
        <w:t xml:space="preserve"> </w:t>
      </w:r>
      <w:r>
        <w:rPr>
          <w:i/>
          <w:iCs/>
        </w:rPr>
        <w:t xml:space="preserve">commits its anchored final word before back-filling the middle, and all tasks back-fill the left edge at rank ~0.2. Hot sampler; the default colder sampler commits the whole canvas by step ~3, leaving no order to read.</w:t>
      </w:r>
    </w:p>
    <w:p>
      <w:pPr>
        <w:pStyle w:val="BodyText"/>
      </w:pPr>
      <w:r>
        <w:t xml:space="preserve">[stub:] The constrained-writing tasks give the model little</w:t>
      </w:r>
      <w:r>
        <w:t xml:space="preserve"> </w:t>
      </w:r>
      <w:r>
        <w:rPr>
          <w:i/>
          <w:iCs/>
        </w:rPr>
        <w:t xml:space="preserve">reason</w:t>
      </w:r>
      <w:r>
        <w:t xml:space="preserve"> </w:t>
      </w:r>
      <w:r>
        <w:t xml:space="preserve">to commit anticausally. The</w:t>
      </w:r>
      <w:r>
        <w:t xml:space="preserve"> </w:t>
      </w:r>
      <w:r>
        <w:rPr>
          <w:rStyle w:val="VerbatimChar"/>
        </w:rPr>
        <w:t xml:space="preserve">reverse_chain</w:t>
      </w:r>
      <w:r>
        <w:t xml:space="preserve"> </w:t>
      </w:r>
      <w:r>
        <w:t xml:space="preserve">probe task (from our replication battery around</w:t>
      </w:r>
      <w:r>
        <w:t xml:space="preserve"> </w:t>
      </w:r>
      <w:hyperlink r:id="rId24">
        <w:r>
          <w:rPr>
            <w:rStyle w:val="Hyperlink"/>
          </w:rPr>
          <w:t xml:space="preserve">Engels et al.</w:t>
        </w:r>
      </w:hyperlink>
      <w:r>
        <w:t xml:space="preserve">) does: a digit chain obeys</w:t>
      </w:r>
      <w:r>
        <w:t xml:space="preserve"> </w:t>
      </w:r>
      <m:oMath>
        <m:sSup>
          <m:e>
            <m:r>
              <m:t>x</m:t>
            </m:r>
          </m:e>
          <m:sup>
            <m:d>
              <m:dPr>
                <m:begChr m:val="("/>
                <m:sepChr m:val=""/>
                <m:endChr m:val=")"/>
                <m:grow/>
              </m:dPr>
              <m:e>
                <m:r>
                  <m:t>k</m:t>
                </m:r>
                <m:r>
                  <m:rPr>
                    <m:sty m:val="p"/>
                  </m:rPr>
                  <m:t>+</m:t>
                </m:r>
                <m:r>
                  <m:t>1</m:t>
                </m:r>
              </m:e>
            </m:d>
          </m:sup>
        </m:sSup>
        <m:r>
          <m:rPr>
            <m:sty m:val="p"/>
          </m:rPr>
          <m:t>=</m:t>
        </m:r>
        <m:r>
          <m:t>f</m:t>
        </m:r>
        <m:d>
          <m:dPr>
            <m:begChr m:val="("/>
            <m:sepChr m:val=""/>
            <m:endChr m:val=")"/>
            <m:grow/>
          </m:dPr>
          <m:e>
            <m:sSup>
              <m:e>
                <m:r>
                  <m:t>x</m:t>
                </m:r>
              </m:e>
              <m:sup>
                <m:d>
                  <m:dPr>
                    <m:begChr m:val="("/>
                    <m:sepChr m:val=""/>
                    <m:endChr m:val=")"/>
                    <m:grow/>
                  </m:dPr>
                  <m:e>
                    <m:r>
                      <m:t>k</m:t>
                    </m:r>
                  </m:e>
                </m:d>
              </m:sup>
            </m:sSup>
          </m:e>
        </m:d>
      </m:oMath>
      <w:r>
        <w:t xml:space="preserve"> </w:t>
      </w:r>
      <w:r>
        <w:t xml:space="preserve">under a given lookup table, the</w:t>
      </w:r>
      <w:r>
        <w:t xml:space="preserve"> </w:t>
      </w:r>
      <w:r>
        <w:rPr>
          <w:i/>
          <w:iCs/>
        </w:rPr>
        <w:t xml:space="preserve">last</w:t>
      </w:r>
      <w:r>
        <w:t xml:space="preserve"> </w:t>
      </w:r>
      <w:r>
        <w:t xml:space="preserve">element is given, and the answer must be written in forward order — the dependency runs right-to-left, so a causal single-pass generator must emit the deepest-dependency value first (budget-matched autoregressive Gemma stays below 0.25 at depth 3). When DG solves the task beyond trivial depth, its commitment literally runs backward: all correct depth-4/5 runs lock the digits back-to-front (</w:t>
      </w:r>
      <m:oMath>
        <m:sSub>
          <m:e>
            <m:r>
              <m:t>ρ</m:t>
            </m:r>
          </m:e>
          <m:sub>
            <m:r>
              <m:rPr>
                <m:sty m:val="p"/>
              </m:rPr>
              <m:t>c</m:t>
            </m:r>
            <m:r>
              <m:rPr>
                <m:sty m:val="p"/>
              </m:rPr>
              <m:t>h</m:t>
            </m:r>
            <m:r>
              <m:rPr>
                <m:sty m:val="p"/>
              </m:rPr>
              <m:t>a</m:t>
            </m:r>
            <m:r>
              <m:rPr>
                <m:sty m:val="p"/>
              </m:rPr>
              <m:t>i</m:t>
            </m:r>
            <m:r>
              <m:rPr>
                <m:sty m:val="p"/>
              </m:rPr>
              <m:t>n</m:t>
            </m:r>
          </m:sub>
        </m:sSub>
        <m:r>
          <m:rPr>
            <m:sty m:val="p"/>
          </m:rPr>
          <m:t>∈</m:t>
        </m:r>
        <m:d>
          <m:dPr>
            <m:begChr m:val="["/>
            <m:sepChr m:val=""/>
            <m:endChr m:val="]"/>
            <m:grow/>
          </m:dPr>
          <m:e>
            <m:r>
              <m:rPr>
                <m:sty m:val="p"/>
              </m:rPr>
              <m:t>−</m:t>
            </m:r>
            <m:r>
              <m:t>0.97</m:t>
            </m:r>
            <m:r>
              <m:rPr>
                <m:sty m:val="p"/>
              </m:rPr>
              <m:t>,</m:t>
            </m:r>
            <m:r>
              <m:rPr>
                <m:sty m:val="p"/>
              </m:rPr>
              <m:t>−</m:t>
            </m:r>
            <m:r>
              <m:t>0.89</m:t>
            </m:r>
          </m:e>
        </m:d>
      </m:oMath>
      <w:r>
        <w:t xml:space="preserve">), while failing runs fill forward.</w:t>
      </w:r>
    </w:p>
    <w:p>
      <w:pPr>
        <w:pStyle w:val="CaptionedFigure"/>
      </w:pPr>
      <w:r>
        <w:drawing>
          <wp:inline>
            <wp:extent cx="5334000" cy="2117911"/>
            <wp:effectExtent b="0" l="0" r="0" t="0"/>
            <wp:docPr descr="Reverse chain anticausality" title="" id="87" name="Picture"/>
            <a:graphic>
              <a:graphicData uri="http://schemas.openxmlformats.org/drawingml/2006/picture">
                <pic:pic>
                  <pic:nvPicPr>
                    <pic:cNvPr descr="figs/figA12_reverse_chain.png" id="88" name="Picture"/>
                    <pic:cNvPicPr>
                      <a:picLocks noChangeArrowheads="1" noChangeAspect="1"/>
                    </pic:cNvPicPr>
                  </pic:nvPicPr>
                  <pic:blipFill>
                    <a:blip r:embed="rId86"/>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Reverse chain anticausality</w:t>
      </w:r>
    </w:p>
    <w:p>
      <w:pPr>
        <w:pStyle w:val="BodyText"/>
      </w:pPr>
      <w:r>
        <w:rPr>
          <w:b/>
          <w:bCs/>
          <w:i/>
          <w:iCs/>
        </w:rPr>
        <w:t xml:space="preserve">On an end-anchored chain, solving runs commit backward.</w:t>
      </w:r>
      <w:r>
        <w:rPr>
          <w:i/>
          <w:iCs/>
        </w:rPr>
        <w:t xml:space="preserve"> </w:t>
      </w:r>
      <w:r>
        <w:rPr>
          <w:i/>
          <w:iCs/>
        </w:rPr>
        <w:t xml:space="preserve">Left: lock-in time of each chain element (depths 4–5; bold = class mean) — correct runs (green) lock the anchored end first and</w:t>
      </w:r>
      <w:r>
        <w:rPr>
          <w:i/>
          <w:iCs/>
        </w:rPr>
        <w:t xml:space="preserve"> </w:t>
      </w:r>
      <m:oMath>
        <m:sSub>
          <m:e>
            <m:r>
              <m:t>x</m:t>
            </m:r>
          </m:e>
          <m:sub>
            <m:r>
              <m:t>1</m:t>
            </m:r>
          </m:sub>
        </m:sSub>
      </m:oMath>
      <w:r>
        <w:rPr>
          <w:i/>
          <w:iCs/>
        </w:rPr>
        <w:t xml:space="preserve"> </w:t>
      </w:r>
      <w:r>
        <w:rPr>
          <w:i/>
          <w:iCs/>
        </w:rPr>
        <w:t xml:space="preserve">last; failing runs (grey) fill forward. Right:</w:t>
      </w:r>
      <w:r>
        <w:rPr>
          <w:i/>
          <w:iCs/>
        </w:rPr>
        <w:t xml:space="preserve"> </w:t>
      </w:r>
      <m:oMath>
        <m:sSub>
          <m:e>
            <m:r>
              <m:t>ρ</m:t>
            </m:r>
          </m:e>
          <m:sub>
            <m:r>
              <m:rPr>
                <m:sty m:val="p"/>
              </m:rPr>
              <m:t>c</m:t>
            </m:r>
            <m:r>
              <m:rPr>
                <m:sty m:val="p"/>
              </m:rPr>
              <m:t>h</m:t>
            </m:r>
            <m:r>
              <m:rPr>
                <m:sty m:val="p"/>
              </m:rPr>
              <m:t>a</m:t>
            </m:r>
            <m:r>
              <m:rPr>
                <m:sty m:val="p"/>
              </m:rPr>
              <m:t>i</m:t>
            </m:r>
            <m:r>
              <m:rPr>
                <m:sty m:val="p"/>
              </m:rPr>
              <m:t>n</m:t>
            </m:r>
          </m:sub>
        </m:sSub>
      </m:oMath>
      <w:r>
        <w:rPr>
          <w:i/>
          <w:iCs/>
        </w:rPr>
        <w:t xml:space="preserve"> </w:t>
      </w:r>
      <w:r>
        <w:rPr>
          <w:i/>
          <w:iCs/>
        </w:rPr>
        <w:t xml:space="preserve">per depth, split by correctness — trivial depth 3 is solved forward, depths 4–5 only backward, and beyond depth ~6 the backward strategy stops producing correct answers. Commitment here is proxied by argmax lock-in (the films carry no accept-mask).</w:t>
      </w:r>
    </w:p>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2026-08-07T07:11:21Z</dcterms:created>
  <dcterms:modified xsi:type="dcterms:W3CDTF">2026-08-07T07:11:21Z</dcterms:modified>
</cp:coreProperties>
</file>

<file path=docProps/custom.xml><?xml version="1.0" encoding="utf-8"?>
<Properties xmlns="http://schemas.openxmlformats.org/officeDocument/2006/custom-properties" xmlns:vt="http://schemas.openxmlformats.org/officeDocument/2006/docPropsVTypes"/>
</file>