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correct 16, fencepost attractor 18). In natural runs the canvas transiently visits the wrong answers and patches them within a few steps. But a</w:t>
      </w:r>
      <w:r>
        <w:t xml:space="preserve"> </w:t>
      </w:r>
      <w:r>
        <w:rPr>
          <w:i/>
          <w:iCs/>
        </w:rPr>
        <w:t xml:space="preserve">harvested</w:t>
      </w:r>
      <w:r>
        <w:t xml:space="preserve"> </w:t>
      </w:r>
      <w:r>
        <w:t xml:space="preserve">confident-wrong state (a cold run that converged to 18) is a genuine attractor: re-denoising it escapes to 16 only with a hot sampler</w:t>
      </w:r>
      <w:r>
        <w:t xml:space="preserve"> </w:t>
      </w:r>
      <w:r>
        <w:rPr>
          <w:i/>
          <w:iCs/>
        </w:rPr>
        <w:t xml:space="preserve">and</w:t>
      </w:r>
      <w:r>
        <w:t xml:space="preserve"> </w:t>
      </w:r>
      <w:r>
        <w:t xml:space="preserve">enough re-noising — plant it past step ~48 of 128 and even the hot sampler stays stuck.</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how-causal-is-dgs-generation"/>
    <w:p>
      <w:pPr>
        <w:pStyle w:val="Heading3"/>
      </w:pPr>
      <w:r>
        <w:t xml:space="preserve">How causal is DG’s generation?</w:t>
      </w:r>
    </w:p>
    <w:p>
      <w:pPr>
        <w:pStyle w:val="FirstParagraph"/>
      </w:pPr>
      <w:r>
        <w:t xml:space="preserve">[stub:] Although attention is bidirectional, DG could still</w:t>
      </w:r>
      <w:r>
        <w:t xml:space="preserve"> </w:t>
      </w:r>
      <w:r>
        <w:rPr>
          <w:i/>
          <w:iCs/>
        </w:rPr>
        <w:t xml:space="preserve">commit</w:t>
      </w:r>
      <w:r>
        <w:t xml:space="preserve"> </w:t>
      </w:r>
      <w:r>
        <w:t xml:space="preserve">its canvas in reading order, like an autoregressive model. We order each generation’s canvas positions by the step at which they finally commit, and plot canvas position against commit rank — a strictly left-to-right (AR-like) order is the diagonal. On classic benchmarks (GPQA, MATH, HumanEval, and WildChat user prompts; default sampler) commitment is strongly causal (median</w:t>
      </w:r>
      <w:r>
        <w:t xml:space="preserve"> </w:t>
      </w:r>
      <m:oMath>
        <m:sSub>
          <m:e>
            <m:r>
              <m:t>ρ</m:t>
            </m:r>
          </m:e>
          <m:sub>
            <m:r>
              <m:rPr>
                <m:sty m:val="p"/>
              </m:rPr>
              <m:t>c</m:t>
            </m:r>
            <m:r>
              <m:rPr>
                <m:sty m:val="p"/>
              </m:rPr>
              <m:t>h</m:t>
            </m:r>
            <m:r>
              <m:rPr>
                <m:sty m:val="p"/>
              </m:rPr>
              <m:t>a</m:t>
            </m:r>
            <m:r>
              <m:rPr>
                <m:sty m:val="p"/>
              </m:rPr>
              <m:t>i</m:t>
            </m:r>
            <m:r>
              <m:rPr>
                <m:sty m:val="p"/>
              </m:rPr>
              <m:t>n</m:t>
            </m:r>
          </m:sub>
        </m:sSub>
        <m:r>
          <m:rPr>
            <m:sty m:val="p"/>
          </m:rPr>
          <m:t>=</m:t>
        </m:r>
        <m:r>
          <m:rPr>
            <m:sty m:val="p"/>
          </m:rPr>
          <m:t>+</m:t>
        </m:r>
        <m:r>
          <m:t>0.75</m:t>
        </m:r>
        <m:r>
          <m:rPr>
            <m:sty m:val="p"/>
          </m:rPr>
          <m:t>.</m:t>
        </m:r>
        <m:r>
          <m:rPr>
            <m:sty m:val="p"/>
          </m:rPr>
          <m:t>.</m:t>
        </m:r>
        <m:r>
          <m:rPr>
            <m:sty m:val="p"/>
          </m:rPr>
          <m:t>+</m:t>
        </m:r>
        <m:r>
          <m:t>0.89</m:t>
        </m:r>
      </m:oMath>
      <w:r>
        <w:t xml:space="preserve">) — DG writes essentially in reading order. The idiosyncratic constrained-writing tasks show reproducible</w:t>
      </w:r>
      <w:r>
        <w:t xml:space="preserve"> </w:t>
      </w:r>
      <w:r>
        <w:rPr>
          <w:i/>
          <w:iCs/>
        </w:rPr>
        <w:t xml:space="preserve">anticausal stages</w:t>
      </w:r>
      <w:r>
        <w:t xml:space="preserve">: on</w:t>
      </w:r>
      <w:r>
        <w:t xml:space="preserve"> </w:t>
      </w:r>
      <w:r>
        <w:rPr>
          <w:rStyle w:val="VerbatimChar"/>
        </w:rPr>
        <w:t xml:space="preserve">ends_with</w:t>
      </w:r>
      <w:r>
        <w:t xml:space="preserve"> </w:t>
      </w:r>
      <w:r>
        <w:t xml:space="preserve">the anchored final word commits early and the middle of the sentence is filled in last (the terminal plunge of the mean curve), and the left edge of the canvas is back-filled only after the first words have committed.</w:t>
      </w:r>
    </w:p>
    <w:p>
      <w:pPr>
        <w:pStyle w:val="BodyText"/>
      </w:pPr>
      <w:r>
        <w:t xml:space="preserve">[stub:] The constrained-writing tasks give the model little</w:t>
      </w:r>
      <w:r>
        <w:t xml:space="preserve"> </w:t>
      </w:r>
      <w:r>
        <w:rPr>
          <w:i/>
          <w:iCs/>
        </w:rPr>
        <w:t xml:space="preserve">reason</w:t>
      </w:r>
      <w:r>
        <w:t xml:space="preserve"> </w:t>
      </w:r>
      <w:r>
        <w:t xml:space="preserve">to commit anticausally. The</w:t>
      </w:r>
      <w:r>
        <w:t xml:space="preserve"> </w:t>
      </w:r>
      <w:r>
        <w:rPr>
          <w:rStyle w:val="VerbatimChar"/>
        </w:rPr>
        <w:t xml:space="preserve">reverse_chain</w:t>
      </w:r>
      <w:r>
        <w:t xml:space="preserve"> </w:t>
      </w:r>
      <w:r>
        <w:t xml:space="preserve">probe task (from our replication battery around</w:t>
      </w:r>
      <w:r>
        <w:t xml:space="preserve"> </w:t>
      </w:r>
      <w:hyperlink r:id="rId24">
        <w:r>
          <w:rPr>
            <w:rStyle w:val="Hyperlink"/>
          </w:rPr>
          <w:t xml:space="preserve">Engels et al.</w:t>
        </w:r>
      </w:hyperlink>
      <w:r>
        <w:t xml:space="preserve">) does: a digit chain obeys</w:t>
      </w:r>
      <w:r>
        <w:t xml:space="preserve"> </w:t>
      </w:r>
      <m:oMath>
        <m:sSup>
          <m:e>
            <m:r>
              <m:t>x</m:t>
            </m:r>
          </m:e>
          <m:sup>
            <m:d>
              <m:dPr>
                <m:begChr m:val="("/>
                <m:sepChr m:val=""/>
                <m:endChr m:val=")"/>
                <m:grow/>
              </m:dPr>
              <m:e>
                <m:r>
                  <m:t>k</m:t>
                </m:r>
                <m:r>
                  <m:rPr>
                    <m:sty m:val="p"/>
                  </m:rPr>
                  <m:t>+</m:t>
                </m:r>
                <m:r>
                  <m:t>1</m:t>
                </m:r>
              </m:e>
            </m:d>
          </m:sup>
        </m:sSup>
        <m:r>
          <m:rPr>
            <m:sty m:val="p"/>
          </m:rPr>
          <m:t>=</m:t>
        </m:r>
        <m:r>
          <m:t>f</m:t>
        </m:r>
        <m:d>
          <m:dPr>
            <m:begChr m:val="("/>
            <m:sepChr m:val=""/>
            <m:endChr m:val=")"/>
            <m:grow/>
          </m:dPr>
          <m:e>
            <m:sSup>
              <m:e>
                <m:r>
                  <m:t>x</m:t>
                </m:r>
              </m:e>
              <m:sup>
                <m:d>
                  <m:dPr>
                    <m:begChr m:val="("/>
                    <m:sepChr m:val=""/>
                    <m:endChr m:val=")"/>
                    <m:grow/>
                  </m:dPr>
                  <m:e>
                    <m:r>
                      <m:t>k</m:t>
                    </m:r>
                  </m:e>
                </m:d>
              </m:sup>
            </m:sSup>
          </m:e>
        </m:d>
      </m:oMath>
      <w:r>
        <w:t xml:space="preserve"> </w:t>
      </w:r>
      <w:r>
        <w:t xml:space="preserve">under a given lookup table, the</w:t>
      </w:r>
      <w:r>
        <w:t xml:space="preserve"> </w:t>
      </w:r>
      <w:r>
        <w:rPr>
          <w:i/>
          <w:iCs/>
        </w:rPr>
        <w:t xml:space="preserve">last</w:t>
      </w:r>
      <w:r>
        <w:t xml:space="preserve"> </w:t>
      </w:r>
      <w:r>
        <w:t xml:space="preserve">element is given, and the answer must be written in forward order — the dependency runs right-to-left, so a causal single-pass generator must emit the deepest-dependency value first (budget-matched autoregressive Gemma stays below 0.25 at depth 3). When DG solves the task beyond trivial depth, its commitment literally runs backward: all correct depth-4/5 runs lock the digits back-to-front (</w:t>
      </w:r>
      <m:oMath>
        <m:sSub>
          <m:e>
            <m:r>
              <m:t>ρ</m:t>
            </m:r>
          </m:e>
          <m:sub>
            <m:r>
              <m:rPr>
                <m:sty m:val="p"/>
              </m:rPr>
              <m:t>c</m:t>
            </m:r>
            <m:r>
              <m:rPr>
                <m:sty m:val="p"/>
              </m:rPr>
              <m:t>h</m:t>
            </m:r>
            <m:r>
              <m:rPr>
                <m:sty m:val="p"/>
              </m:rPr>
              <m:t>a</m:t>
            </m:r>
            <m:r>
              <m:rPr>
                <m:sty m:val="p"/>
              </m:rPr>
              <m:t>i</m:t>
            </m:r>
            <m:r>
              <m:rPr>
                <m:sty m:val="p"/>
              </m:rPr>
              <m:t>n</m:t>
            </m:r>
          </m:sub>
        </m:sSub>
        <m:r>
          <m:rPr>
            <m:sty m:val="p"/>
          </m:rPr>
          <m:t>∈</m:t>
        </m:r>
        <m:d>
          <m:dPr>
            <m:begChr m:val="["/>
            <m:sepChr m:val=""/>
            <m:endChr m:val="]"/>
            <m:grow/>
          </m:dPr>
          <m:e>
            <m:r>
              <m:rPr>
                <m:sty m:val="p"/>
              </m:rPr>
              <m:t>−</m:t>
            </m:r>
            <m:r>
              <m:t>0.97</m:t>
            </m:r>
            <m:r>
              <m:rPr>
                <m:sty m:val="p"/>
              </m:rPr>
              <m:t>,</m:t>
            </m:r>
            <m:r>
              <m:rPr>
                <m:sty m:val="p"/>
              </m:rPr>
              <m:t>−</m:t>
            </m:r>
            <m:r>
              <m:t>0.89</m:t>
            </m:r>
          </m:e>
        </m:d>
      </m:oMath>
      <w:r>
        <w:t xml:space="preserve">), while failing runs fill forward (bottom-right panel above; trivial depth 3 is solved forward, and beyond depth ~6 the backward strategy stops producing correct answers).</w:t>
      </w:r>
    </w:p>
    <w:p>
      <w:pPr>
        <w:pStyle w:val="CaptionedFigure"/>
      </w:pPr>
      <w:r>
        <w:drawing>
          <wp:inline>
            <wp:extent cx="5334000" cy="2200275"/>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Commitment causality</w:t>
      </w:r>
    </w:p>
    <w:p>
      <w:pPr>
        <w:pStyle w:val="BodyText"/>
      </w:pPr>
      <w:r>
        <w:rPr>
          <w:b/>
          <w:bCs/>
          <w:i/>
          <w:iCs/>
        </w:rPr>
        <w:t xml:space="preserve">Commitment order is mostly, but not strictly, left-to-right.</w:t>
      </w:r>
      <w:r>
        <w:rPr>
          <w:i/>
          <w:iCs/>
        </w:rPr>
        <w:t xml:space="preserve"> </w:t>
      </w:r>
      <w:r>
        <w:rPr>
          <w:i/>
          <w:iCs/>
        </w:rPr>
        <w:t xml:space="preserve">Canvas position of the</w:t>
      </w:r>
      <w:r>
        <w:rPr>
          <w:i/>
          <w:iCs/>
        </w:rPr>
        <w:t xml:space="preserve"> </w:t>
      </w:r>
      <m:oMath>
        <m:r>
          <m:t>k</m:t>
        </m:r>
      </m:oMath>
      <w:r>
        <w:rPr>
          <w:i/>
          <w:iCs/>
        </w:rPr>
        <w:t xml:space="preserve">-th finalized content position vs commit rank (faint = single rollouts, bold = mean; dashed diagonal = strictly left-to-right;</w:t>
      </w:r>
      <w:r>
        <w:rPr>
          <w:i/>
          <w:iCs/>
        </w:rPr>
        <w:t xml:space="preserve"> </w:t>
      </w:r>
      <m:oMath>
        <m:sSub>
          <m:e>
            <m:r>
              <m:t>ρ</m:t>
            </m:r>
          </m:e>
          <m:sub>
            <m:r>
              <m:rPr>
                <m:sty m:val="p"/>
              </m:rPr>
              <m:t>c</m:t>
            </m:r>
            <m:r>
              <m:rPr>
                <m:sty m:val="p"/>
              </m:rPr>
              <m:t>h</m:t>
            </m:r>
            <m:r>
              <m:rPr>
                <m:sty m:val="p"/>
              </m:rPr>
              <m:t>a</m:t>
            </m:r>
            <m:r>
              <m:rPr>
                <m:sty m:val="p"/>
              </m:rPr>
              <m:t>i</m:t>
            </m:r>
            <m:r>
              <m:rPr>
                <m:sty m:val="p"/>
              </m:rPr>
              <m:t>n</m:t>
            </m:r>
          </m:sub>
        </m:sSub>
      </m:oMath>
      <w:r>
        <w:rPr>
          <w:i/>
          <w:iCs/>
        </w:rPr>
        <w:t xml:space="preserve"> </w:t>
      </w:r>
      <w:r>
        <w:rPr>
          <w:i/>
          <w:iCs/>
        </w:rPr>
        <w:t xml:space="preserve">= median Spearman correlation of finalize step vs position). Top row: classic benchmarks — GPQA, MATH, HumanEval, and WildChat user prompts (12 rollouts each, default sampler,</w:t>
      </w:r>
      <w:r>
        <w:rPr>
          <w:i/>
          <w:iCs/>
        </w:rPr>
        <w:t xml:space="preserve"> </w:t>
      </w:r>
      <m:oMath>
        <m:r>
          <m:t>C</m:t>
        </m:r>
        <m:r>
          <m:rPr>
            <m:sty m:val="p"/>
          </m:rPr>
          <m:t>=</m:t>
        </m:r>
        <m:r>
          <m:t>256</m:t>
        </m:r>
      </m:oMath>
      <w:r>
        <w:rPr>
          <w:i/>
          <w:iCs/>
        </w:rPr>
        <w:t xml:space="preserve">; argmax lock-in as commitment proxy) — commit order tracks reading order. Bottom row: idiosyncratic tasks — the constrained-writing tasks (accept-mask commitment, hot sampler) back-fill the left edge at rank ~0.2 and</w:t>
      </w:r>
      <w:r>
        <w:rPr>
          <w:i/>
          <w:iCs/>
        </w:rPr>
        <w:t xml:space="preserve"> </w:t>
      </w:r>
      <w:r>
        <w:rPr>
          <w:rStyle w:val="VerbatimChar"/>
          <w:i/>
          <w:iCs/>
        </w:rPr>
        <w:t xml:space="preserve">ends_with</w:t>
      </w:r>
      <w:r>
        <w:rPr>
          <w:i/>
          <w:iCs/>
        </w:rPr>
        <w:t xml:space="preserve"> </w:t>
      </w:r>
      <w:r>
        <w:rPr>
          <w:i/>
          <w:iCs/>
        </w:rPr>
        <w:t xml:space="preserve">plunges at the end; on</w:t>
      </w:r>
      <w:r>
        <w:rPr>
          <w:i/>
          <w:iCs/>
        </w:rPr>
        <w:t xml:space="preserve"> </w:t>
      </w:r>
      <w:r>
        <w:rPr>
          <w:rStyle w:val="VerbatimChar"/>
          <w:i/>
          <w:iCs/>
        </w:rPr>
        <w:t xml:space="preserve">reverse_chain</w:t>
      </w:r>
      <w:r>
        <w:rPr>
          <w:i/>
          <w:iCs/>
        </w:rPr>
        <w:t xml:space="preserve"> </w:t>
      </w:r>
      <w:r>
        <w:rPr>
          <w:i/>
          <w:iCs/>
        </w:rPr>
        <w:t xml:space="preserve">(depths 4–5) the runs that solve the task (green) commit the anchored tail first and descend backward, while failing runs fill forward. Panel</w:t>
      </w:r>
      <w:r>
        <w:rPr>
          <w:i/>
          <w:iCs/>
        </w:rPr>
        <w:t xml:space="preserve"> </w:t>
      </w:r>
      <m:oMath>
        <m:r>
          <m:t>ρ</m:t>
        </m:r>
      </m:oMath>
      <w:r>
        <w:rPr>
          <w:i/>
          <w:iCs/>
        </w:rPr>
        <w:t xml:space="preserve"> </w:t>
      </w:r>
      <w:r>
        <w:rPr>
          <w:i/>
          <w:iCs/>
        </w:rPr>
        <w:t xml:space="preserve">for reverse_chain is canvas-level (including separators); digits-only, the correct runs reach</w:t>
      </w:r>
      <w:r>
        <w:rPr>
          <w:i/>
          <w:iCs/>
        </w:rPr>
        <w:t xml:space="preserve"> </w:t>
      </w:r>
      <m:oMath>
        <m:r>
          <m:rPr>
            <m:sty m:val="p"/>
          </m:rPr>
          <m:t>−</m:t>
        </m:r>
        <m:r>
          <m:t>0.89</m:t>
        </m:r>
        <m:r>
          <m:rPr>
            <m:sty m:val="p"/>
          </m:rPr>
          <m:t>.</m:t>
        </m:r>
        <m:r>
          <m:rPr>
            <m:sty m:val="p"/>
          </m:rPr>
          <m:t>.</m:t>
        </m:r>
        <m:r>
          <m:rPr>
            <m:sty m:val="p"/>
          </m:rPr>
          <m:t>−</m:t>
        </m:r>
        <m:r>
          <m:t>0.97</m:t>
        </m:r>
      </m:oMath>
      <w:r>
        <w:rPr>
          <w:i/>
          <w:iCs/>
        </w:rPr>
        <w:t xml:space="preserve">.</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2026-08-07T17:55:55Z</dcterms:created>
  <dcterms:modified xsi:type="dcterms:W3CDTF">2026-08-07T17:55:55Z</dcterms:modified>
</cp:coreProperties>
</file>

<file path=docProps/custom.xml><?xml version="1.0" encoding="utf-8"?>
<Properties xmlns="http://schemas.openxmlformats.org/officeDocument/2006/custom-properties" xmlns:vt="http://schemas.openxmlformats.org/officeDocument/2006/docPropsVTypes"/>
</file>