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678BE211">
      <w:r w:rsidR="330D0FA3">
        <w:rPr/>
        <w:t>Jacob Appling</w:t>
      </w:r>
    </w:p>
    <w:p w:rsidR="330D0FA3" w:rsidP="162A5BD1" w:rsidRDefault="330D0FA3" w14:paraId="4B002780" w14:textId="78F4422C">
      <w:pPr>
        <w:shd w:val="clear" w:color="auto" w:fill="FFFFFF" w:themeFill="background1"/>
        <w:spacing w:before="0" w:beforeAutospacing="off" w:after="225" w:afterAutospacing="off"/>
      </w:pPr>
      <w:r w:rsidR="330D0FA3">
        <w:rPr/>
        <w:t>Title:</w:t>
      </w:r>
      <w:r w:rsidRPr="162A5BD1" w:rsidR="330D0FA3">
        <w:rPr>
          <w:rFonts w:ascii="Aptos" w:hAnsi="Aptos" w:eastAsia="Aptos" w:cs="Aptos"/>
          <w:b w:val="0"/>
          <w:bCs w:val="0"/>
          <w:i w:val="0"/>
          <w:iCs w:val="0"/>
          <w:caps w:val="0"/>
          <w:smallCaps w:val="0"/>
          <w:noProof w:val="0"/>
          <w:color w:val="231F20"/>
          <w:sz w:val="24"/>
          <w:szCs w:val="24"/>
          <w:lang w:val="en-US"/>
        </w:rPr>
        <w:t xml:space="preserve"> Could Artificial General Intelligence Become </w:t>
      </w:r>
      <w:r w:rsidRPr="162A5BD1" w:rsidR="330D0FA3">
        <w:rPr>
          <w:rFonts w:ascii="Aptos" w:hAnsi="Aptos" w:eastAsia="Aptos" w:cs="Aptos"/>
          <w:b w:val="0"/>
          <w:bCs w:val="0"/>
          <w:i w:val="0"/>
          <w:iCs w:val="0"/>
          <w:caps w:val="0"/>
          <w:smallCaps w:val="0"/>
          <w:noProof w:val="0"/>
          <w:color w:val="231F20"/>
          <w:sz w:val="24"/>
          <w:szCs w:val="24"/>
          <w:lang w:val="en-US"/>
        </w:rPr>
        <w:t>a Reality</w:t>
      </w:r>
      <w:r w:rsidRPr="162A5BD1" w:rsidR="330D0FA3">
        <w:rPr>
          <w:rFonts w:ascii="Aptos" w:hAnsi="Aptos" w:eastAsia="Aptos" w:cs="Aptos"/>
          <w:b w:val="0"/>
          <w:bCs w:val="0"/>
          <w:i w:val="0"/>
          <w:iCs w:val="0"/>
          <w:caps w:val="0"/>
          <w:smallCaps w:val="0"/>
          <w:noProof w:val="0"/>
          <w:color w:val="231F20"/>
          <w:sz w:val="24"/>
          <w:szCs w:val="24"/>
          <w:lang w:val="en-US"/>
        </w:rPr>
        <w:t>?</w:t>
      </w:r>
    </w:p>
    <w:p w:rsidR="330D0FA3" w:rsidP="162A5BD1" w:rsidRDefault="330D0FA3" w14:paraId="118E6D2D" w14:textId="218DB44B">
      <w:pPr>
        <w:pStyle w:val="Heading3"/>
        <w:shd w:val="clear" w:color="auto" w:fill="FFFFFF" w:themeFill="background1"/>
        <w:spacing w:before="281" w:beforeAutospacing="off" w:after="281" w:afterAutospacing="off"/>
      </w:pPr>
      <w:r w:rsidRPr="162A5BD1" w:rsidR="330D0FA3">
        <w:rPr>
          <w:rFonts w:ascii="Segoe UI" w:hAnsi="Segoe UI" w:eastAsia="Segoe UI" w:cs="Segoe UI"/>
          <w:b w:val="1"/>
          <w:bCs w:val="1"/>
          <w:i w:val="0"/>
          <w:iCs w:val="0"/>
          <w:caps w:val="0"/>
          <w:smallCaps w:val="0"/>
          <w:noProof w:val="0"/>
          <w:color w:val="242424"/>
          <w:sz w:val="28"/>
          <w:szCs w:val="28"/>
          <w:lang w:val="en-US"/>
        </w:rPr>
        <w:t>1. Main Findings and Arguments</w:t>
      </w:r>
    </w:p>
    <w:p w:rsidR="330D0FA3" w:rsidP="162A5BD1" w:rsidRDefault="330D0FA3" w14:paraId="5F3AC92D" w14:textId="72EE080A">
      <w:pPr>
        <w:pStyle w:val="ListParagraph"/>
        <w:numPr>
          <w:ilvl w:val="0"/>
          <w:numId w:val="1"/>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242424"/>
          <w:sz w:val="22"/>
          <w:szCs w:val="22"/>
          <w:lang w:val="en-US"/>
        </w:rPr>
      </w:pPr>
      <w:r w:rsidRPr="162A5BD1" w:rsidR="330D0FA3">
        <w:rPr>
          <w:rFonts w:ascii="Segoe UI" w:hAnsi="Segoe UI" w:eastAsia="Segoe UI" w:cs="Segoe UI"/>
          <w:b w:val="0"/>
          <w:bCs w:val="0"/>
          <w:i w:val="0"/>
          <w:iCs w:val="0"/>
          <w:caps w:val="0"/>
          <w:smallCaps w:val="0"/>
          <w:noProof w:val="0"/>
          <w:color w:val="242424"/>
          <w:sz w:val="22"/>
          <w:szCs w:val="22"/>
          <w:lang w:val="en-US"/>
        </w:rPr>
        <w:t xml:space="preserve">Definition and Current State: The article explains Artificial General Intelligence (AGI) as AI systems capable of broad human-level problem-solving—not just narrow tasks like current generative AI. AGI remains undefined by consensus, but generally implies reasoning, planning, sensing, and acting across varied domains. </w:t>
      </w:r>
    </w:p>
    <w:p w:rsidR="330D0FA3" w:rsidP="162A5BD1" w:rsidRDefault="330D0FA3" w14:paraId="67C76549" w14:textId="30512680">
      <w:pPr>
        <w:pStyle w:val="ListParagraph"/>
        <w:numPr>
          <w:ilvl w:val="0"/>
          <w:numId w:val="1"/>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242424"/>
          <w:sz w:val="22"/>
          <w:szCs w:val="22"/>
          <w:lang w:val="en-US"/>
        </w:rPr>
      </w:pPr>
      <w:r w:rsidRPr="162A5BD1" w:rsidR="330D0FA3">
        <w:rPr>
          <w:rFonts w:ascii="Segoe UI" w:hAnsi="Segoe UI" w:eastAsia="Segoe UI" w:cs="Segoe UI"/>
          <w:b w:val="0"/>
          <w:bCs w:val="0"/>
          <w:i w:val="0"/>
          <w:iCs w:val="0"/>
          <w:caps w:val="0"/>
          <w:smallCaps w:val="0"/>
          <w:noProof w:val="0"/>
          <w:color w:val="242424"/>
          <w:sz w:val="22"/>
          <w:szCs w:val="22"/>
          <w:lang w:val="en-US"/>
        </w:rPr>
        <w:t xml:space="preserve">Progress and Debate: Some recent AI models (e.g., GPT-4.5) show impressive abilities—passing the Turing Test in limited settings—yet researchers agree this does not prove true human-level intelligence. Current systems still struggle with deep reasoning, long-term planning, and alignment with human values. </w:t>
      </w:r>
    </w:p>
    <w:p w:rsidR="330D0FA3" w:rsidP="162A5BD1" w:rsidRDefault="330D0FA3" w14:paraId="614429C9" w14:textId="2CEFE329">
      <w:pPr>
        <w:pStyle w:val="ListParagraph"/>
        <w:numPr>
          <w:ilvl w:val="0"/>
          <w:numId w:val="1"/>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242424"/>
          <w:sz w:val="22"/>
          <w:szCs w:val="22"/>
          <w:lang w:val="en-US"/>
        </w:rPr>
      </w:pPr>
      <w:r w:rsidRPr="162A5BD1" w:rsidR="330D0FA3">
        <w:rPr>
          <w:rFonts w:ascii="Segoe UI" w:hAnsi="Segoe UI" w:eastAsia="Segoe UI" w:cs="Segoe UI"/>
          <w:b w:val="0"/>
          <w:bCs w:val="0"/>
          <w:i w:val="0"/>
          <w:iCs w:val="0"/>
          <w:caps w:val="0"/>
          <w:smallCaps w:val="0"/>
          <w:noProof w:val="0"/>
          <w:color w:val="242424"/>
          <w:sz w:val="22"/>
          <w:szCs w:val="22"/>
          <w:lang w:val="en-US"/>
        </w:rPr>
        <w:t xml:space="preserve">Requirements for AGI: Achieving AGI will require significant breakthroughs: new algorithms, improved memory/context handling, real-world awareness, and possibly new computing paradigms. </w:t>
      </w:r>
    </w:p>
    <w:p w:rsidR="330D0FA3" w:rsidP="162A5BD1" w:rsidRDefault="330D0FA3" w14:paraId="3EC4D4AA" w14:textId="2AAC49C2">
      <w:pPr>
        <w:pStyle w:val="ListParagraph"/>
        <w:numPr>
          <w:ilvl w:val="0"/>
          <w:numId w:val="1"/>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242424"/>
          <w:sz w:val="22"/>
          <w:szCs w:val="22"/>
          <w:lang w:val="en-US"/>
        </w:rPr>
      </w:pPr>
      <w:r w:rsidRPr="162A5BD1" w:rsidR="330D0FA3">
        <w:rPr>
          <w:rFonts w:ascii="Segoe UI" w:hAnsi="Segoe UI" w:eastAsia="Segoe UI" w:cs="Segoe UI"/>
          <w:b w:val="0"/>
          <w:bCs w:val="0"/>
          <w:i w:val="0"/>
          <w:iCs w:val="0"/>
          <w:caps w:val="0"/>
          <w:smallCaps w:val="0"/>
          <w:noProof w:val="0"/>
          <w:color w:val="242424"/>
          <w:sz w:val="22"/>
          <w:szCs w:val="22"/>
          <w:lang w:val="en-US"/>
        </w:rPr>
        <w:t xml:space="preserve">Potential in Education: If realized, AGI could transform teaching and learning—acting as adaptive tutors and learning partners, reshaping personalized instruction, custom assessments, and emphasizing higher-order skills like critical thinking and human-AI collaboration. </w:t>
      </w:r>
    </w:p>
    <w:p w:rsidR="162A5BD1" w:rsidRDefault="162A5BD1" w14:paraId="7117CD8F" w14:textId="74677524"/>
    <w:p w:rsidR="330D0FA3" w:rsidP="162A5BD1" w:rsidRDefault="330D0FA3" w14:paraId="637E8173" w14:textId="07562C5C">
      <w:pPr>
        <w:pStyle w:val="Heading3"/>
        <w:shd w:val="clear" w:color="auto" w:fill="FFFFFF" w:themeFill="background1"/>
        <w:spacing w:before="281" w:beforeAutospacing="off" w:after="281" w:afterAutospacing="off"/>
      </w:pPr>
      <w:r w:rsidRPr="162A5BD1" w:rsidR="330D0FA3">
        <w:rPr>
          <w:rFonts w:ascii="Segoe UI" w:hAnsi="Segoe UI" w:eastAsia="Segoe UI" w:cs="Segoe UI"/>
          <w:b w:val="1"/>
          <w:bCs w:val="1"/>
          <w:i w:val="0"/>
          <w:iCs w:val="0"/>
          <w:caps w:val="0"/>
          <w:smallCaps w:val="0"/>
          <w:noProof w:val="0"/>
          <w:color w:val="242424"/>
          <w:sz w:val="28"/>
          <w:szCs w:val="28"/>
          <w:lang w:val="en-US"/>
        </w:rPr>
        <w:t>2. Broader Implications for Society</w:t>
      </w:r>
    </w:p>
    <w:p w:rsidR="330D0FA3" w:rsidP="162A5BD1" w:rsidRDefault="330D0FA3" w14:paraId="13208418" w14:textId="60DCB6E1">
      <w:pPr>
        <w:pStyle w:val="ListParagraph"/>
        <w:numPr>
          <w:ilvl w:val="0"/>
          <w:numId w:val="2"/>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242424"/>
          <w:sz w:val="22"/>
          <w:szCs w:val="22"/>
          <w:lang w:val="en-US"/>
        </w:rPr>
      </w:pPr>
      <w:r w:rsidRPr="162A5BD1" w:rsidR="330D0FA3">
        <w:rPr>
          <w:rFonts w:ascii="Segoe UI" w:hAnsi="Segoe UI" w:eastAsia="Segoe UI" w:cs="Segoe UI"/>
          <w:b w:val="0"/>
          <w:bCs w:val="0"/>
          <w:i w:val="0"/>
          <w:iCs w:val="0"/>
          <w:caps w:val="0"/>
          <w:smallCaps w:val="0"/>
          <w:noProof w:val="0"/>
          <w:color w:val="242424"/>
          <w:sz w:val="22"/>
          <w:szCs w:val="22"/>
          <w:lang w:val="en-US"/>
        </w:rPr>
        <w:t xml:space="preserve">Transformative Impact: AGI promises to fundamentally change fields such as education by enabling deeply personalized learning and potentially redefining the roles of educators and learners alike. </w:t>
      </w:r>
    </w:p>
    <w:p w:rsidR="330D0FA3" w:rsidP="162A5BD1" w:rsidRDefault="330D0FA3" w14:paraId="0260F657" w14:textId="163F3E53">
      <w:pPr>
        <w:pStyle w:val="ListParagraph"/>
        <w:numPr>
          <w:ilvl w:val="0"/>
          <w:numId w:val="2"/>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242424"/>
          <w:sz w:val="22"/>
          <w:szCs w:val="22"/>
          <w:lang w:val="en-US"/>
        </w:rPr>
      </w:pPr>
      <w:r w:rsidRPr="162A5BD1" w:rsidR="330D0FA3">
        <w:rPr>
          <w:rFonts w:ascii="Segoe UI" w:hAnsi="Segoe UI" w:eastAsia="Segoe UI" w:cs="Segoe UI"/>
          <w:b w:val="0"/>
          <w:bCs w:val="0"/>
          <w:i w:val="0"/>
          <w:iCs w:val="0"/>
          <w:caps w:val="0"/>
          <w:smallCaps w:val="0"/>
          <w:noProof w:val="0"/>
          <w:color w:val="242424"/>
          <w:sz w:val="22"/>
          <w:szCs w:val="22"/>
          <w:lang w:val="en-US"/>
        </w:rPr>
        <w:t xml:space="preserve">Governance and Ethics: The article highlights that safety standards, ethical guidelines, and governance systems must be developed in tandem with AGI to mitigate risks—especially around fairness, accountability, and alignment with human values. </w:t>
      </w:r>
    </w:p>
    <w:p w:rsidR="330D0FA3" w:rsidP="162A5BD1" w:rsidRDefault="330D0FA3" w14:paraId="756018B4" w14:textId="473D7943">
      <w:pPr>
        <w:pStyle w:val="ListParagraph"/>
        <w:numPr>
          <w:ilvl w:val="0"/>
          <w:numId w:val="2"/>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242424"/>
          <w:sz w:val="22"/>
          <w:szCs w:val="22"/>
          <w:lang w:val="en-US"/>
        </w:rPr>
      </w:pPr>
      <w:r w:rsidRPr="162A5BD1" w:rsidR="330D0FA3">
        <w:rPr>
          <w:rFonts w:ascii="Segoe UI" w:hAnsi="Segoe UI" w:eastAsia="Segoe UI" w:cs="Segoe UI"/>
          <w:b w:val="0"/>
          <w:bCs w:val="0"/>
          <w:i w:val="0"/>
          <w:iCs w:val="0"/>
          <w:caps w:val="0"/>
          <w:smallCaps w:val="0"/>
          <w:noProof w:val="0"/>
          <w:color w:val="242424"/>
          <w:sz w:val="22"/>
          <w:szCs w:val="22"/>
          <w:lang w:val="en-US"/>
        </w:rPr>
        <w:t xml:space="preserve">Uncertain Timeline: Experts emphasize timing is unclear—AGI might eventually emerge, but not necessarily soon or predictably without major scientific and technological advances. </w:t>
      </w:r>
    </w:p>
    <w:p w:rsidR="330D0FA3" w:rsidP="162A5BD1" w:rsidRDefault="330D0FA3" w14:paraId="7E8918F2" w14:textId="2163E182">
      <w:pPr>
        <w:pStyle w:val="ListParagraph"/>
        <w:numPr>
          <w:ilvl w:val="0"/>
          <w:numId w:val="2"/>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242424"/>
          <w:sz w:val="22"/>
          <w:szCs w:val="22"/>
          <w:lang w:val="en-US"/>
        </w:rPr>
      </w:pPr>
      <w:r w:rsidRPr="162A5BD1" w:rsidR="330D0FA3">
        <w:rPr>
          <w:rFonts w:ascii="Segoe UI" w:hAnsi="Segoe UI" w:eastAsia="Segoe UI" w:cs="Segoe UI"/>
          <w:b w:val="0"/>
          <w:bCs w:val="0"/>
          <w:i w:val="0"/>
          <w:iCs w:val="0"/>
          <w:caps w:val="0"/>
          <w:smallCaps w:val="0"/>
          <w:noProof w:val="0"/>
          <w:color w:val="242424"/>
          <w:sz w:val="22"/>
          <w:szCs w:val="22"/>
          <w:lang w:val="en-US"/>
        </w:rPr>
        <w:t xml:space="preserve">Contrasting Views (Wider Context): Separate discourse in tech circles (e.g., DeepMind and others) shows tension between optimism about AGI’s potential for societal benefit and concerns about existential or misuse risks. (e.g., experts warn of infrastructure threats and call for careful regulation.) </w:t>
      </w:r>
    </w:p>
    <w:p w:rsidR="162A5BD1" w:rsidRDefault="162A5BD1" w14:paraId="261AD210" w14:textId="1233DD5D"/>
    <w:p w:rsidR="330D0FA3" w:rsidP="162A5BD1" w:rsidRDefault="330D0FA3" w14:paraId="2DF751AF" w14:textId="0C28D657">
      <w:pPr>
        <w:pStyle w:val="Heading3"/>
        <w:shd w:val="clear" w:color="auto" w:fill="FFFFFF" w:themeFill="background1"/>
        <w:spacing w:before="281" w:beforeAutospacing="off" w:after="281" w:afterAutospacing="off"/>
      </w:pPr>
      <w:r w:rsidRPr="162A5BD1" w:rsidR="330D0FA3">
        <w:rPr>
          <w:rFonts w:ascii="Segoe UI" w:hAnsi="Segoe UI" w:eastAsia="Segoe UI" w:cs="Segoe UI"/>
          <w:b w:val="1"/>
          <w:bCs w:val="1"/>
          <w:i w:val="0"/>
          <w:iCs w:val="0"/>
          <w:caps w:val="0"/>
          <w:smallCaps w:val="0"/>
          <w:noProof w:val="0"/>
          <w:color w:val="242424"/>
          <w:sz w:val="28"/>
          <w:szCs w:val="28"/>
          <w:lang w:val="en-US"/>
        </w:rPr>
        <w:t>3. Relevance to the Construction Industry</w:t>
      </w:r>
    </w:p>
    <w:p w:rsidR="162A5BD1" w:rsidP="162A5BD1" w:rsidRDefault="162A5BD1" w14:paraId="22F33CD0" w14:textId="73D4D4B9">
      <w:pPr>
        <w:shd w:val="clear" w:color="auto" w:fill="FFFFFF" w:themeFill="background1"/>
        <w:spacing w:before="225" w:beforeAutospacing="off" w:after="225" w:afterAutospacing="off"/>
      </w:pPr>
    </w:p>
    <w:p w:rsidR="330D0FA3" w:rsidP="162A5BD1" w:rsidRDefault="330D0FA3" w14:paraId="6060FB4C" w14:textId="238C3480">
      <w:pPr>
        <w:shd w:val="clear" w:color="auto" w:fill="FFFFFF" w:themeFill="background1"/>
        <w:spacing w:before="225" w:beforeAutospacing="off" w:after="225" w:afterAutospacing="off"/>
      </w:pPr>
      <w:r w:rsidRPr="162A5BD1" w:rsidR="330D0FA3">
        <w:rPr>
          <w:rFonts w:ascii="Segoe UI" w:hAnsi="Segoe UI" w:eastAsia="Segoe UI" w:cs="Segoe UI"/>
          <w:b w:val="0"/>
          <w:bCs w:val="0"/>
          <w:i w:val="0"/>
          <w:iCs w:val="0"/>
          <w:caps w:val="0"/>
          <w:smallCaps w:val="0"/>
          <w:noProof w:val="0"/>
          <w:color w:val="242424"/>
          <w:sz w:val="22"/>
          <w:szCs w:val="22"/>
          <w:lang w:val="en-US"/>
        </w:rPr>
        <w:t>While the article itself focuses on education, its core insights about AGI have clear relevance to construction:</w:t>
      </w:r>
    </w:p>
    <w:p w:rsidR="330D0FA3" w:rsidP="162A5BD1" w:rsidRDefault="330D0FA3" w14:paraId="038D22E3" w14:textId="296A861B">
      <w:pPr>
        <w:pStyle w:val="ListParagraph"/>
        <w:numPr>
          <w:ilvl w:val="0"/>
          <w:numId w:val="3"/>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242424"/>
          <w:sz w:val="22"/>
          <w:szCs w:val="22"/>
          <w:lang w:val="en-US"/>
        </w:rPr>
      </w:pPr>
      <w:r w:rsidRPr="162A5BD1" w:rsidR="330D0FA3">
        <w:rPr>
          <w:rFonts w:ascii="Segoe UI" w:hAnsi="Segoe UI" w:eastAsia="Segoe UI" w:cs="Segoe UI"/>
          <w:b w:val="0"/>
          <w:bCs w:val="0"/>
          <w:i w:val="0"/>
          <w:iCs w:val="0"/>
          <w:caps w:val="0"/>
          <w:smallCaps w:val="0"/>
          <w:noProof w:val="0"/>
          <w:color w:val="242424"/>
          <w:sz w:val="22"/>
          <w:szCs w:val="22"/>
          <w:lang w:val="en-US"/>
        </w:rPr>
        <w:t>Future of Design &amp; Planning: AGI could revolutionize building design, construction planning, and simulation by reasoning across complex datasets—optimizing structural layouts, sustainability, and schedule coordination in ways far beyond current tools.</w:t>
      </w:r>
    </w:p>
    <w:p w:rsidR="330D0FA3" w:rsidP="162A5BD1" w:rsidRDefault="330D0FA3" w14:paraId="5C1CAD5D" w14:textId="13D4601E">
      <w:pPr>
        <w:pStyle w:val="ListParagraph"/>
        <w:numPr>
          <w:ilvl w:val="0"/>
          <w:numId w:val="3"/>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242424"/>
          <w:sz w:val="22"/>
          <w:szCs w:val="22"/>
          <w:lang w:val="en-US"/>
        </w:rPr>
      </w:pPr>
      <w:r w:rsidRPr="162A5BD1" w:rsidR="330D0FA3">
        <w:rPr>
          <w:rFonts w:ascii="Segoe UI" w:hAnsi="Segoe UI" w:eastAsia="Segoe UI" w:cs="Segoe UI"/>
          <w:b w:val="0"/>
          <w:bCs w:val="0"/>
          <w:i w:val="0"/>
          <w:iCs w:val="0"/>
          <w:caps w:val="0"/>
          <w:smallCaps w:val="0"/>
          <w:noProof w:val="0"/>
          <w:color w:val="242424"/>
          <w:sz w:val="22"/>
          <w:szCs w:val="22"/>
          <w:lang w:val="en-US"/>
        </w:rPr>
        <w:t>Automation &amp; Robotics Integration: With true AGI, construction could see smarter autonomous robots capable of adapting in real-time to physical environments, improving safety, efficiency, and on-site decision-making.</w:t>
      </w:r>
    </w:p>
    <w:p w:rsidR="330D0FA3" w:rsidP="162A5BD1" w:rsidRDefault="330D0FA3" w14:paraId="54C1D1A8" w14:textId="3787679A">
      <w:pPr>
        <w:pStyle w:val="ListParagraph"/>
        <w:numPr>
          <w:ilvl w:val="0"/>
          <w:numId w:val="3"/>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242424"/>
          <w:sz w:val="22"/>
          <w:szCs w:val="22"/>
          <w:lang w:val="en-US"/>
        </w:rPr>
      </w:pPr>
      <w:r w:rsidRPr="162A5BD1" w:rsidR="330D0FA3">
        <w:rPr>
          <w:rFonts w:ascii="Segoe UI" w:hAnsi="Segoe UI" w:eastAsia="Segoe UI" w:cs="Segoe UI"/>
          <w:b w:val="0"/>
          <w:bCs w:val="0"/>
          <w:i w:val="0"/>
          <w:iCs w:val="0"/>
          <w:caps w:val="0"/>
          <w:smallCaps w:val="0"/>
          <w:noProof w:val="0"/>
          <w:color w:val="242424"/>
          <w:sz w:val="22"/>
          <w:szCs w:val="22"/>
          <w:lang w:val="en-US"/>
        </w:rPr>
        <w:t>Skills &amp; Workforce: As in education, AGI would heighten the importance of human-AI collaboration skills—construction professionals might focus more on oversight, problem framing, and creative problem solving rather than routine tasks.</w:t>
      </w:r>
    </w:p>
    <w:p w:rsidR="330D0FA3" w:rsidP="162A5BD1" w:rsidRDefault="330D0FA3" w14:paraId="1671DD80" w14:textId="6C55D983">
      <w:pPr>
        <w:pStyle w:val="ListParagraph"/>
        <w:numPr>
          <w:ilvl w:val="0"/>
          <w:numId w:val="3"/>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242424"/>
          <w:sz w:val="22"/>
          <w:szCs w:val="22"/>
          <w:lang w:val="en-US"/>
        </w:rPr>
      </w:pPr>
      <w:r w:rsidRPr="162A5BD1" w:rsidR="330D0FA3">
        <w:rPr>
          <w:rFonts w:ascii="Segoe UI" w:hAnsi="Segoe UI" w:eastAsia="Segoe UI" w:cs="Segoe UI"/>
          <w:b w:val="0"/>
          <w:bCs w:val="0"/>
          <w:i w:val="0"/>
          <w:iCs w:val="0"/>
          <w:caps w:val="0"/>
          <w:smallCaps w:val="0"/>
          <w:noProof w:val="0"/>
          <w:color w:val="242424"/>
          <w:sz w:val="22"/>
          <w:szCs w:val="22"/>
          <w:lang w:val="en-US"/>
        </w:rPr>
        <w:t>Governance &amp; Ethics: Construction’s heavy reliance on safety standards, compliance, and risk mitigation would make ethical and governance frameworks for AGI especially crucial to prevent misuse, bias, and unintended consequences on job roles and workplace safety.</w:t>
      </w:r>
    </w:p>
    <w:p w:rsidR="162A5BD1" w:rsidRDefault="162A5BD1" w14:paraId="3CD194B6" w14:textId="15F3431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1a9b2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51260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c926d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5E4358B"/>
    <w:rsid w:val="162A5BD1"/>
    <w:rsid w:val="330D0FA3"/>
    <w:rsid w:val="45E435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6BFE"/>
  <w15:chartTrackingRefBased/>
  <w15:docId w15:val="{8E50F902-25FB-46E6-ACE8-C7CB3B252E0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162A5BD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62A5BD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9f7fcf6bac6481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2026-01-29T14:01:03.9583006Z</dcterms:created>
  <dcterms:modified xsi:type="dcterms:W3CDTF">2026-01-29T14:02:44.5370841Z</dcterms:modified>
  <dc:creator>Jacob Appling</dc:creator>
  <lastModifiedBy>Jacob Appling</lastModifiedBy>
</coreProperties>
</file>