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AD38E4" w14:textId="04DF7B5B" w:rsidR="00E871D4" w:rsidRPr="000E0D1B" w:rsidRDefault="00FA78A7" w:rsidP="00237C20">
      <w:pPr>
        <w:rPr>
          <w:b/>
          <w:bCs/>
        </w:rPr>
      </w:pPr>
      <w:r>
        <w:rPr>
          <w:b/>
          <w:bCs/>
        </w:rPr>
        <w:fldChar w:fldCharType="begin"/>
      </w:r>
      <w:r>
        <w:rPr>
          <w:b/>
          <w:bCs/>
        </w:rPr>
        <w:instrText xml:space="preserve"> MACROBUTTON MTEditEquationSection2 </w:instrText>
      </w:r>
      <w:r w:rsidRPr="00FA78A7">
        <w:rPr>
          <w:rStyle w:val="MTEquationSection"/>
        </w:rPr>
        <w:instrText>Equation Chapter 1 Section 1</w:instrText>
      </w:r>
      <w:r>
        <w:rPr>
          <w:b/>
          <w:bCs/>
        </w:rPr>
        <w:fldChar w:fldCharType="begin"/>
      </w:r>
      <w:r>
        <w:rPr>
          <w:b/>
          <w:bCs/>
        </w:rPr>
        <w:instrText xml:space="preserve"> SEQ MTEqn \r \h \* MERGEFORMAT </w:instrText>
      </w:r>
      <w:r>
        <w:rPr>
          <w:b/>
          <w:bCs/>
        </w:rPr>
        <w:fldChar w:fldCharType="end"/>
      </w:r>
      <w:r>
        <w:rPr>
          <w:b/>
          <w:bCs/>
        </w:rPr>
        <w:fldChar w:fldCharType="begin"/>
      </w:r>
      <w:r>
        <w:rPr>
          <w:b/>
          <w:bCs/>
        </w:rPr>
        <w:instrText xml:space="preserve"> SEQ MTSec \r 1 \h \* MERGEFORMAT </w:instrText>
      </w:r>
      <w:r>
        <w:rPr>
          <w:b/>
          <w:bCs/>
        </w:rPr>
        <w:fldChar w:fldCharType="end"/>
      </w:r>
      <w:r>
        <w:rPr>
          <w:b/>
          <w:bCs/>
        </w:rPr>
        <w:fldChar w:fldCharType="begin"/>
      </w:r>
      <w:r>
        <w:rPr>
          <w:b/>
          <w:bCs/>
        </w:rPr>
        <w:instrText xml:space="preserve"> SEQ MTChap \r 1 \h \* MERGEFORMAT </w:instrText>
      </w:r>
      <w:r>
        <w:rPr>
          <w:b/>
          <w:bCs/>
        </w:rPr>
        <w:fldChar w:fldCharType="end"/>
      </w:r>
      <w:r>
        <w:rPr>
          <w:b/>
          <w:bCs/>
        </w:rPr>
        <w:fldChar w:fldCharType="end"/>
      </w:r>
      <w:r w:rsidR="000E0D1B" w:rsidRPr="000E0D1B">
        <w:rPr>
          <w:b/>
          <w:bCs/>
        </w:rPr>
        <w:t xml:space="preserve">The Decomposition of Gender </w:t>
      </w:r>
      <w:r w:rsidR="00AE4AD4">
        <w:rPr>
          <w:b/>
          <w:bCs/>
        </w:rPr>
        <w:t>Inequality</w:t>
      </w:r>
      <w:r w:rsidR="000E0D1B" w:rsidRPr="000E0D1B">
        <w:rPr>
          <w:b/>
          <w:bCs/>
        </w:rPr>
        <w:t xml:space="preserve"> in </w:t>
      </w:r>
      <w:r w:rsidR="00237C20">
        <w:rPr>
          <w:b/>
          <w:bCs/>
        </w:rPr>
        <w:t xml:space="preserve">Measurement Error and </w:t>
      </w:r>
      <w:r w:rsidR="000E0D1B" w:rsidRPr="000E0D1B">
        <w:rPr>
          <w:b/>
          <w:bCs/>
        </w:rPr>
        <w:t xml:space="preserve">Agricultural Technology Adoption </w:t>
      </w:r>
      <w:r w:rsidR="00237C20">
        <w:rPr>
          <w:b/>
          <w:bCs/>
        </w:rPr>
        <w:t xml:space="preserve"> </w:t>
      </w:r>
    </w:p>
    <w:p w14:paraId="0C7EB914" w14:textId="729B026C" w:rsidR="008143D6" w:rsidRDefault="005142EE" w:rsidP="001A44CA">
      <w:pPr>
        <w:pStyle w:val="Heading1"/>
      </w:pPr>
      <w:r>
        <w:t>Abstract</w:t>
      </w:r>
    </w:p>
    <w:p w14:paraId="23AA8187" w14:textId="3BEF1363" w:rsidR="00903486" w:rsidRDefault="00903486" w:rsidP="00237C20">
      <w:r w:rsidRPr="00903486">
        <w:t xml:space="preserve">Understanding the nuances of gender disparities in technology adoption is pivotal for the formulation of effective agricultural policies. This study leverages a comprehensive intra-household dataset to conduct a pioneering analysis of the systematic relationship between measurement error and gender in the agricultural sector. A theoretical model was developed to </w:t>
      </w:r>
      <w:r>
        <w:t>illustrate</w:t>
      </w:r>
      <w:r w:rsidRPr="00903486">
        <w:t xml:space="preserve"> the impact of systematic measurement error on gender analysis, and empirical analysis was utilized to reveal the presence of non-classical measurement error related to gender. Additionally, the study employs a decomposition analysis of plot-level data concerning the adoption of improved cassava varieties, thereby providing an in-depth examination of gender inequality in technology adoption. Significantly, the research identifies statistically substantial false negatives predominantly linked to women farmers not in the role of household heads. These findings underscore that such women farmers often have reduced decision-making power and limited access to production-related information, underscoring vital areas for targeted policy intervention and support.</w:t>
      </w:r>
    </w:p>
    <w:p w14:paraId="230701EB" w14:textId="24AFCB77" w:rsidR="005E38EA" w:rsidRDefault="00E871D4" w:rsidP="007729EE">
      <w:pPr>
        <w:pStyle w:val="Heading1"/>
        <w:numPr>
          <w:ilvl w:val="0"/>
          <w:numId w:val="3"/>
        </w:numPr>
      </w:pPr>
      <w:r>
        <w:t>Introduction</w:t>
      </w:r>
    </w:p>
    <w:p w14:paraId="3485520F" w14:textId="3E1B6D82" w:rsidR="00574E40" w:rsidRDefault="00574E40" w:rsidP="001A44CA">
      <w:r w:rsidRPr="00574E40">
        <w:t>The adoption of technology is a critical prerequisite for enhancing agricultural productivity, which in turn contributes to achieving goals related to food security, inclusive economic growth, and poverty alleviation.</w:t>
      </w:r>
      <w:r>
        <w:t xml:space="preserve"> One of the key challenges in developing countries is the unequal technology adoption concern between men and women farmers in the field. Thus, tackling gender inequality in developing countries holds substantial potential for development efforts aimed at combating hunger</w:t>
      </w:r>
      <w:r w:rsidR="00B64BB9">
        <w:t xml:space="preserve">, poverty, and gender equality. </w:t>
      </w:r>
    </w:p>
    <w:p w14:paraId="6558B454" w14:textId="35DDC707" w:rsidR="00E871D4" w:rsidRDefault="00E871D4" w:rsidP="001A44CA">
      <w:r>
        <w:t>Women have long played a pivotal role in agricultural activities, contributing significantly to family food security and home production (Meinzen et al., 2010). However, literature found that women may face limited access to production resources, information, education, markets, and extension services, compounded by various forms of social and cultural inequality (Quisumbing, 1995; Doss, 2001), and women may have different technology adoption preferences (Wossen et al 2017). The consequences of such gender inequalities are far-reaching, affecting productivity, income, poverty levels, and even undernutrition (Amber, Julia, and Anges, 2010).</w:t>
      </w:r>
    </w:p>
    <w:p w14:paraId="7C228708" w14:textId="00790362" w:rsidR="007E7520" w:rsidRDefault="007E7520" w:rsidP="001A44CA">
      <w:r>
        <w:lastRenderedPageBreak/>
        <w:t>In recognition of the pressing need to address gender disparities within the agricultural sector, the World Bank, FAO, and IFAD collaborated to produce the "Gender and Agriculture" sourcebook in 2009. This seminal publication underscored the critical significance of acknowledging and remedying gender-related roles and inequalities in the realm of agricultural development (World Bank et al., 2009). This heightened awareness, cultivated over recent decades, has prompted policymakers and development practitioners to increasingly incorporate gender considerations when devising and evaluating programs across diverse social and economic domains (Amber, Julia, and Anges, 2010).</w:t>
      </w:r>
    </w:p>
    <w:p w14:paraId="0A6A6220" w14:textId="5D65F314" w:rsidR="007E7520" w:rsidRDefault="007E7520" w:rsidP="001A44CA">
      <w:r>
        <w:t>Despite the substantial body of literature dedicated to exploring the gender inequality on technology adoption within agriculture, two fundamental issues persist. First, emerging studies have shed light on the presence of measurement errors and misclassifications in self-reported data</w:t>
      </w:r>
      <w:r w:rsidR="00C615DA">
        <w:t xml:space="preserve"> (Wossen et al.</w:t>
      </w:r>
      <w:r w:rsidR="00AE5CC2">
        <w:t xml:space="preserve">, </w:t>
      </w:r>
      <w:r w:rsidR="00C615DA">
        <w:t>2019</w:t>
      </w:r>
      <w:r w:rsidR="00AE5CC2">
        <w:t xml:space="preserve">; </w:t>
      </w:r>
      <w:r w:rsidR="00E731CD">
        <w:t>Aba et al., 2019 &amp; 2023</w:t>
      </w:r>
      <w:r w:rsidR="00C615DA">
        <w:t>)</w:t>
      </w:r>
      <w:r>
        <w:t xml:space="preserve">. This raises a pivotal question: if gender inequality in technology adoption is driven by </w:t>
      </w:r>
      <w:r w:rsidR="00B1406D">
        <w:t>inequality</w:t>
      </w:r>
      <w:r>
        <w:t xml:space="preserve"> in resources, information, and preferences, could systematic measurement errors linked to gender</w:t>
      </w:r>
      <w:r w:rsidR="00B1406D">
        <w:t xml:space="preserve"> and further biased </w:t>
      </w:r>
      <w:r>
        <w:t>our understanding of this phenomenon? If so, to what extent might these measurement errors have biased previous gender inequality studies?</w:t>
      </w:r>
      <w:r w:rsidR="00B1406D">
        <w:t xml:space="preserve"> </w:t>
      </w:r>
      <w:r>
        <w:t xml:space="preserve">Second, the gender inequality observed in technology adoption may be a complex interplay of multiple factors. Male and female farmers </w:t>
      </w:r>
      <w:r w:rsidR="00B1406D">
        <w:t xml:space="preserve">may have different characteristics, like age and education, and </w:t>
      </w:r>
      <w:r>
        <w:t xml:space="preserve">might encounter differential access to resources and information, </w:t>
      </w:r>
      <w:r w:rsidR="00B1406D">
        <w:t>referred to as</w:t>
      </w:r>
      <w:r>
        <w:t xml:space="preserve"> the endowment effect. Additionally, they may exhibit distinct preferences even when provided with identical resources, referred to as the different coefficient effect. Furthermore, these </w:t>
      </w:r>
      <w:r w:rsidR="00B1406D">
        <w:t xml:space="preserve">endowment and coefficient </w:t>
      </w:r>
      <w:r>
        <w:t xml:space="preserve">effects might concurrently shape the gender technology adoption gap. </w:t>
      </w:r>
      <w:r w:rsidR="00B1406D">
        <w:t xml:space="preserve">For example, men and women farmers may have different education background, and their education background also have different impact on technology adoption decisions. </w:t>
      </w:r>
      <w:r>
        <w:t xml:space="preserve">Given that many gender gap analyses have employed a binary </w:t>
      </w:r>
      <w:r w:rsidR="004C16EF">
        <w:t>response</w:t>
      </w:r>
      <w:r w:rsidR="00B1406D">
        <w:t xml:space="preserve"> model and used a gender dummy variable</w:t>
      </w:r>
      <w:r>
        <w:t xml:space="preserve"> to capture differences in coefficients, is there potential for methodological enhancements that could decompose gender inequality to disentangle the endowment, coefficient, and interaction effects?</w:t>
      </w:r>
    </w:p>
    <w:p w14:paraId="7DDCC7E5" w14:textId="42B3F520" w:rsidR="00C8390C" w:rsidRDefault="007E7520" w:rsidP="001A44CA">
      <w:r>
        <w:t xml:space="preserve">Addressing these questions is pivotal not only for advancing our comprehension of gender disparities in technology adoption within agriculture but also for refining the methodologies employed in gender gap analyses, thus facilitating more nuanced and accurate policy formulation </w:t>
      </w:r>
      <w:r>
        <w:lastRenderedPageBreak/>
        <w:t>in this critical domain.</w:t>
      </w:r>
      <w:r w:rsidR="00F7330B">
        <w:t xml:space="preserve"> </w:t>
      </w:r>
      <w:r w:rsidR="00C8390C">
        <w:t>To our knowledge, this is the first study to tackle the issue of gender endogenous measurement error and its impact on regression analysis to contribute to gender inequality analysis.</w:t>
      </w:r>
      <w:r w:rsidR="00F36DBD">
        <w:t xml:space="preserve"> This is also the first study analyzing the endowment, coefficient, and interaction effects in gender inequality in </w:t>
      </w:r>
      <w:r w:rsidR="00F7330B">
        <w:t>technology</w:t>
      </w:r>
      <w:r w:rsidR="00F36DBD">
        <w:t xml:space="preserve"> adoption</w:t>
      </w:r>
      <w:r w:rsidR="00F7330B">
        <w:t xml:space="preserve"> in agriculture</w:t>
      </w:r>
      <w:r w:rsidR="00F36DBD">
        <w:t>.</w:t>
      </w:r>
      <w:r w:rsidR="00D602B8">
        <w:t xml:space="preserve"> </w:t>
      </w:r>
      <w:r w:rsidR="00F7330B" w:rsidRPr="00F7330B">
        <w:t>Moreover, this study employed an innovative approach by harnessing pre-existing datasets from the IITA data repository, originally collected through the Cassava Monitoring Survey in Nigeria. These datasets were seamlessly integrated using a custom-developed data synthesizing algorithm.</w:t>
      </w:r>
      <w:r w:rsidR="00F7330B">
        <w:t xml:space="preserve"> </w:t>
      </w:r>
      <w:r w:rsidR="00F7330B" w:rsidRPr="00F7330B">
        <w:t>This novel methodology facilitated the creation of a distinctive intrahousehold dataset, encompassing self-reported adoption of improved cassava varieties (ICV) and DNA fingerprinting test results, without the need for costly field experiments and surveys.</w:t>
      </w:r>
    </w:p>
    <w:p w14:paraId="191A4C17" w14:textId="6088FE0C" w:rsidR="00B64BB9" w:rsidRDefault="009D0606" w:rsidP="001A44CA">
      <w:r>
        <w:t xml:space="preserve"> </w:t>
      </w:r>
    </w:p>
    <w:p w14:paraId="46B09835" w14:textId="648743BB" w:rsidR="00DD34EA" w:rsidRDefault="00DD34EA" w:rsidP="007729EE">
      <w:pPr>
        <w:pStyle w:val="Heading1"/>
        <w:numPr>
          <w:ilvl w:val="0"/>
          <w:numId w:val="3"/>
        </w:numPr>
      </w:pPr>
      <w:r>
        <w:t>Data</w:t>
      </w:r>
    </w:p>
    <w:p w14:paraId="2B2062E3" w14:textId="13EA43A6" w:rsidR="00FF4934" w:rsidRDefault="008C18BC" w:rsidP="001A44CA">
      <w:r>
        <w:t>This study is based on the</w:t>
      </w:r>
      <w:r w:rsidR="002E7BAE">
        <w:t xml:space="preserve"> intrahousehold</w:t>
      </w:r>
      <w:r>
        <w:t xml:space="preserve"> cassava monitoring survey (CMS) in Nigeria. </w:t>
      </w:r>
      <w:r w:rsidR="00FF4934" w:rsidRPr="00FF4934">
        <w:t>Cassava (Manihot esculenta) stands as a vital staple crop, serving as the primary source of calories for approximately 500 million individuals worldwide. Its capacity to thrive with minimal external inputs, particularly in the face of environmental stressors such as drought (EL-Sharkawy, 2003), makes it an essential component of food security and resilience strategies (Montagnac, Davis, and Tanumihardjo, 2009).</w:t>
      </w:r>
      <w:r w:rsidR="00FF4934">
        <w:t xml:space="preserve"> In Nigeria, cassava cultivation is predominantly carried out by smallholder farmers, both men and women, typically managing land parcels ranging from 1 to 5 hectares (Joyce Ahmadu and P. O. Idisi, 2014). It occupies a pivotal role in the country's food economy, ranking as the primary source of carbohydrates after maize and rice (Udensi E Udensi et al., 2011). Given its paramount significance, extensive efforts have been devoted to enhancing cassava production through global, regional, and national crop improvement initiatives, leading to the development and adoption of new cassava varieties (Tahirou Abdoulaye et al., 2014).</w:t>
      </w:r>
    </w:p>
    <w:p w14:paraId="1F806286" w14:textId="77777777" w:rsidR="00E16309" w:rsidRDefault="00FF4934" w:rsidP="001A44CA">
      <w:r>
        <w:t>The analysis conducted herein is based on a subset of data collected through the Cassava Monitoring Survey in Nigeria. This survey underwent rigorous ethical review concerning human subject participation (IRB) and was subsequently published by the International Institute of Tropical Agriculture (IITA) (Wossen et al., 2017). The dataset encompasses 16 states, each contributing at least 80% of the total cassava production. These states constitute the enumeration areas (EAs) distributed across four regions: Southwest, Southeast, South-South, and North.</w:t>
      </w:r>
      <w:r w:rsidR="00CC2DA5" w:rsidRPr="00CC2DA5">
        <w:t xml:space="preserve"> </w:t>
      </w:r>
    </w:p>
    <w:p w14:paraId="518ACE45" w14:textId="1D31F3C6" w:rsidR="00CC2DA5" w:rsidRDefault="00CC2DA5" w:rsidP="001A44CA">
      <w:r>
        <w:lastRenderedPageBreak/>
        <w:t>To create a representative sample, sample frames were established for all households engaged in cassava cultivation in the targeted states. Subsequently, a minimum of 50 cassava-growing households were selected per state, resulting in a sample size of 125 EAs. Within each enumeration area, interviews were conducted with five household heads and two spouses, amounting to 625 households in each region. Consequently, a total of 2,500 randomly selected cassava-growing households were interviewed across the major cassava-growing states in Nigeria's four geopolitical regions. These states collectively account for over 80% of the annual total cassava production.</w:t>
      </w:r>
    </w:p>
    <w:p w14:paraId="1699DAC6" w14:textId="4C0A1FA2" w:rsidR="00CC2DA5" w:rsidRDefault="00CC2DA5" w:rsidP="001A44CA">
      <w:r>
        <w:t>From the overall survey dataset, interviews were conducted with both the designated household head and an additional household member. This process yielded a subset of 758 households. However, for inclusion in this analysis, households had to meet specific criteria: the recorded relationship to the household head had to be self or spouse, marital status had to be married, and both members needed to report living with their spouse. As a result of these criteria, 29 households were excluded, leaving a final sample of 729 households, consisting of 1,458 men and women.</w:t>
      </w:r>
    </w:p>
    <w:p w14:paraId="493406C8" w14:textId="276A9F45" w:rsidR="008C18BC" w:rsidRPr="008C18BC" w:rsidRDefault="00CC2DA5" w:rsidP="001A44CA">
      <w:r>
        <w:t>It is important to note that the terminology used intentionally employs "husband" and "wife" rather than "household head" and "spouse." Within this analysis, there are 13 instances of women serving as household heads and three cases where men are identified as spouses. Among these responses, one household's wife responded as the household head, and the husband responded as the spouse. In the remaining 12 households, both respondents identified themselves as the household head, while two households featured both participants identifying as spouses.</w:t>
      </w:r>
    </w:p>
    <w:p w14:paraId="461600D9" w14:textId="699B3F26" w:rsidR="00D83D4D" w:rsidRDefault="00D83D4D" w:rsidP="001A44CA">
      <w:r>
        <w:rPr>
          <w:noProof/>
        </w:rPr>
        <w:lastRenderedPageBreak/>
        <w:drawing>
          <wp:inline distT="0" distB="0" distL="0" distR="0" wp14:anchorId="03D28341" wp14:editId="0C9FFA6D">
            <wp:extent cx="3295934" cy="2471951"/>
            <wp:effectExtent l="0" t="0" r="0" b="5080"/>
            <wp:docPr id="1967090244" name="Picture 10" descr="A graph of a number of peop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090244" name="Picture 10" descr="A graph of a number of people&#10;&#10;Description automatically generated with medium confidenc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298204" cy="2473653"/>
                    </a:xfrm>
                    <a:prstGeom prst="rect">
                      <a:avLst/>
                    </a:prstGeom>
                  </pic:spPr>
                </pic:pic>
              </a:graphicData>
            </a:graphic>
          </wp:inline>
        </w:drawing>
      </w:r>
    </w:p>
    <w:p w14:paraId="467F3046" w14:textId="123D5FD8" w:rsidR="00311FF2" w:rsidRDefault="00311FF2" w:rsidP="001A44CA">
      <w:r w:rsidRPr="00311FF2">
        <w:rPr>
          <w:noProof/>
        </w:rPr>
        <w:drawing>
          <wp:inline distT="0" distB="0" distL="0" distR="0" wp14:anchorId="7F90C9AB" wp14:editId="750D5423">
            <wp:extent cx="2135875" cy="1560376"/>
            <wp:effectExtent l="0" t="0" r="0" b="1905"/>
            <wp:docPr id="1472261180" name="Picture 1" descr="A graph of a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261180" name="Picture 1" descr="A graph of a diagram&#10;&#10;Description automatically generated with medium confidence"/>
                    <pic:cNvPicPr/>
                  </pic:nvPicPr>
                  <pic:blipFill>
                    <a:blip r:embed="rId12"/>
                    <a:stretch>
                      <a:fillRect/>
                    </a:stretch>
                  </pic:blipFill>
                  <pic:spPr>
                    <a:xfrm>
                      <a:off x="0" y="0"/>
                      <a:ext cx="2143924" cy="1566257"/>
                    </a:xfrm>
                    <a:prstGeom prst="rect">
                      <a:avLst/>
                    </a:prstGeom>
                  </pic:spPr>
                </pic:pic>
              </a:graphicData>
            </a:graphic>
          </wp:inline>
        </w:drawing>
      </w:r>
      <w:r w:rsidRPr="00311FF2">
        <w:rPr>
          <w:noProof/>
        </w:rPr>
        <w:drawing>
          <wp:inline distT="0" distB="0" distL="0" distR="0" wp14:anchorId="5792AD72" wp14:editId="0DD2CC3B">
            <wp:extent cx="2108241" cy="1568118"/>
            <wp:effectExtent l="0" t="0" r="6350" b="0"/>
            <wp:docPr id="1507377786" name="Picture 1" descr="A graph on a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377786" name="Picture 1" descr="A graph on a screen&#10;&#10;Description automatically generated"/>
                    <pic:cNvPicPr/>
                  </pic:nvPicPr>
                  <pic:blipFill>
                    <a:blip r:embed="rId13"/>
                    <a:stretch>
                      <a:fillRect/>
                    </a:stretch>
                  </pic:blipFill>
                  <pic:spPr>
                    <a:xfrm>
                      <a:off x="0" y="0"/>
                      <a:ext cx="2124637" cy="1580313"/>
                    </a:xfrm>
                    <a:prstGeom prst="rect">
                      <a:avLst/>
                    </a:prstGeom>
                  </pic:spPr>
                </pic:pic>
              </a:graphicData>
            </a:graphic>
          </wp:inline>
        </w:drawing>
      </w:r>
    </w:p>
    <w:p w14:paraId="540A4567" w14:textId="70D8D4A2" w:rsidR="00311FF2" w:rsidRDefault="00311FF2" w:rsidP="001A44CA">
      <w:r w:rsidRPr="00311FF2">
        <w:rPr>
          <w:noProof/>
        </w:rPr>
        <w:t xml:space="preserve"> </w:t>
      </w:r>
    </w:p>
    <w:p w14:paraId="4ADA4FB8" w14:textId="30FCC8EC" w:rsidR="00175EA3" w:rsidRDefault="00175EA3" w:rsidP="007729EE">
      <w:pPr>
        <w:pStyle w:val="Heading1"/>
        <w:numPr>
          <w:ilvl w:val="0"/>
          <w:numId w:val="3"/>
        </w:numPr>
      </w:pPr>
      <w:r>
        <w:t>Methodology</w:t>
      </w:r>
    </w:p>
    <w:p w14:paraId="7FE9B0F9" w14:textId="09B748ED" w:rsidR="00F7330B" w:rsidRDefault="00F7330B" w:rsidP="001A44CA">
      <w:r>
        <w:t>In t</w:t>
      </w:r>
      <w:r w:rsidRPr="00F7330B">
        <w:t>his section</w:t>
      </w:r>
      <w:r>
        <w:t xml:space="preserve">, we </w:t>
      </w:r>
      <w:r w:rsidR="00054DEF">
        <w:t>initially</w:t>
      </w:r>
      <w:r>
        <w:t xml:space="preserve"> discuss</w:t>
      </w:r>
      <w:r w:rsidR="00054DEF">
        <w:t xml:space="preserve"> the impact of</w:t>
      </w:r>
      <w:r w:rsidRPr="00F7330B">
        <w:t xml:space="preserve"> measurement errors </w:t>
      </w:r>
      <w:r w:rsidR="00054DEF">
        <w:t>in binary response models, followed by the</w:t>
      </w:r>
      <w:r>
        <w:t xml:space="preserve"> </w:t>
      </w:r>
      <w:r w:rsidRPr="00F7330B">
        <w:t>introduc</w:t>
      </w:r>
      <w:r w:rsidR="00054DEF">
        <w:t xml:space="preserve">tion of </w:t>
      </w:r>
      <w:r>
        <w:t xml:space="preserve">the </w:t>
      </w:r>
      <w:r w:rsidRPr="00F7330B">
        <w:t xml:space="preserve">Oaxaca decomposition method to </w:t>
      </w:r>
      <w:r>
        <w:t>breakdown the</w:t>
      </w:r>
      <w:r w:rsidRPr="00F7330B">
        <w:t xml:space="preserve"> compound </w:t>
      </w:r>
      <w:r>
        <w:t xml:space="preserve">gender </w:t>
      </w:r>
      <w:r w:rsidRPr="00F7330B">
        <w:t xml:space="preserve">effects. </w:t>
      </w:r>
    </w:p>
    <w:p w14:paraId="1130386B" w14:textId="676EDBFD" w:rsidR="007729EE" w:rsidRDefault="007729EE" w:rsidP="007729EE">
      <w:pPr>
        <w:pStyle w:val="Heading2"/>
      </w:pPr>
      <w:r>
        <w:t>1. The impact of measurement error in binary response model</w:t>
      </w:r>
    </w:p>
    <w:p w14:paraId="31C308F9" w14:textId="597E8B40" w:rsidR="0052051B" w:rsidRDefault="00FF105F" w:rsidP="001A44CA">
      <w:r>
        <w:t xml:space="preserve">Let </w:t>
      </w:r>
      <m:oMath>
        <m:sSub>
          <m:sSubPr>
            <m:ctrlPr>
              <w:rPr>
                <w:rFonts w:ascii="Cambria Math" w:hAnsi="Cambria Math"/>
                <w:i/>
              </w:rPr>
            </m:ctrlPr>
          </m:sSubPr>
          <m:e>
            <m:r>
              <w:rPr>
                <w:rFonts w:ascii="Cambria Math" w:hAnsi="Cambria Math"/>
              </w:rPr>
              <m:t>Y</m:t>
            </m:r>
          </m:e>
          <m:sub>
            <m:r>
              <w:rPr>
                <w:rFonts w:ascii="Cambria Math" w:hAnsi="Cambria Math"/>
              </w:rPr>
              <m:t>i</m:t>
            </m:r>
          </m:sub>
        </m:sSub>
      </m:oMath>
      <w:r>
        <w:t xml:space="preserve"> </w:t>
      </w:r>
      <w:r w:rsidR="00F7330B">
        <w:t>represents</w:t>
      </w:r>
      <w:r>
        <w:t xml:space="preserve"> the outcome variable of interest, </w:t>
      </w:r>
      <w:r w:rsidR="00F7330B">
        <w:t xml:space="preserve">which is </w:t>
      </w:r>
      <w:r>
        <w:t xml:space="preserve">adoption of improved cassava varieties (ICV). </w:t>
      </w:r>
      <w:r w:rsidR="00F7330B" w:rsidRPr="00F7330B">
        <w:t>Assuming that the probability of adopting ICV is contingent on resources and socio-economic variables, we can express this relationship as follows:</w:t>
      </w:r>
      <w:r w:rsidR="00FA78A7" w:rsidRPr="00FA78A7">
        <w:rPr>
          <w:position w:val="-4"/>
        </w:rPr>
        <w:object w:dxaOrig="180" w:dyaOrig="279" w14:anchorId="423C3C7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65pt;height:13.65pt" o:ole="">
            <v:imagedata r:id="rId14" o:title=""/>
          </v:shape>
          <o:OLEObject Type="Embed" ProgID="Equation.DSMT4" ShapeID="_x0000_i1025" DrawAspect="Content" ObjectID="_1763890281" r:id="rId15"/>
        </w:object>
      </w:r>
    </w:p>
    <w:p w14:paraId="675B1F2C" w14:textId="30D3EBC0" w:rsidR="00FA78A7" w:rsidRDefault="00FA78A7" w:rsidP="001A44CA">
      <w:pPr>
        <w:pStyle w:val="MTDisplayEquation"/>
      </w:pPr>
      <w:r>
        <w:tab/>
      </w:r>
      <w:r w:rsidR="009B5B55" w:rsidRPr="00FA78A7">
        <w:rPr>
          <w:position w:val="-12"/>
        </w:rPr>
        <w:object w:dxaOrig="1240" w:dyaOrig="380" w14:anchorId="01A59D14">
          <v:shape id="_x0000_i1026" type="#_x0000_t75" style="width:61.95pt;height:18.7pt" o:ole="">
            <v:imagedata r:id="rId16" o:title=""/>
          </v:shape>
          <o:OLEObject Type="Embed" ProgID="Equation.DSMT4" ShapeID="_x0000_i1026" DrawAspect="Content" ObjectID="_1763890282" r:id="rId17"/>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1A4AB7">
          <w:rPr>
            <w:noProof/>
          </w:rPr>
          <w:instrText>1</w:instrText>
        </w:r>
      </w:fldSimple>
      <w:r>
        <w:instrText>)</w:instrText>
      </w:r>
      <w:r>
        <w:fldChar w:fldCharType="end"/>
      </w:r>
    </w:p>
    <w:p w14:paraId="1A4386B8" w14:textId="02749FA2" w:rsidR="008B37FB" w:rsidRDefault="006C5681" w:rsidP="001A44CA">
      <w:r>
        <w:lastRenderedPageBreak/>
        <w:t xml:space="preserve">Where </w:t>
      </w:r>
      <w:bookmarkStart w:id="0" w:name="MTBlankEqn"/>
      <w:r w:rsidRPr="006C5681">
        <w:rPr>
          <w:position w:val="-12"/>
        </w:rPr>
        <w:object w:dxaOrig="240" w:dyaOrig="360" w14:anchorId="6ABD839C">
          <v:shape id="_x0000_i1027" type="#_x0000_t75" style="width:12.3pt;height:18.25pt" o:ole="">
            <v:imagedata r:id="rId18" o:title=""/>
          </v:shape>
          <o:OLEObject Type="Embed" ProgID="Equation.DSMT4" ShapeID="_x0000_i1027" DrawAspect="Content" ObjectID="_1763890283" r:id="rId19"/>
        </w:object>
      </w:r>
      <w:bookmarkEnd w:id="0"/>
      <w:r>
        <w:t xml:space="preserve"> is independently from a standard normal distribution</w:t>
      </w:r>
      <w:r w:rsidR="00560CD5">
        <w:t>,</w:t>
      </w:r>
      <w:r>
        <w:t xml:space="preserve"> and </w:t>
      </w:r>
      <w:r w:rsidRPr="006C5681">
        <w:rPr>
          <w:position w:val="-10"/>
        </w:rPr>
        <w:object w:dxaOrig="240" w:dyaOrig="320" w14:anchorId="7DB31277">
          <v:shape id="_x0000_i1028" type="#_x0000_t75" style="width:12.3pt;height:15.95pt" o:ole="">
            <v:imagedata r:id="rId20" o:title=""/>
          </v:shape>
          <o:OLEObject Type="Embed" ProgID="Equation.DSMT4" ShapeID="_x0000_i1028" DrawAspect="Content" ObjectID="_1763890284" r:id="rId21"/>
        </w:object>
      </w:r>
      <w:r>
        <w:t xml:space="preserve"> is the K-by-1 coefficient vector of interest.</w:t>
      </w:r>
      <w:r w:rsidR="0032591F">
        <w:t xml:space="preserve"> </w:t>
      </w:r>
      <w:r w:rsidR="008B37FB">
        <w:t>The observable outcomes of the binary choice are represented by binary indicator variable</w:t>
      </w:r>
      <w:r w:rsidR="00373C14">
        <w:t>:</w:t>
      </w:r>
    </w:p>
    <w:p w14:paraId="627951EE" w14:textId="0B60E8F9" w:rsidR="008B37FB" w:rsidRDefault="00FA78A7" w:rsidP="001A44CA">
      <w:pPr>
        <w:pStyle w:val="MTDisplayEquation"/>
      </w:pPr>
      <w:r>
        <w:tab/>
      </w:r>
      <w:r w:rsidR="00BE7A7E" w:rsidRPr="00FA78A7">
        <w:rPr>
          <w:position w:val="-32"/>
        </w:rPr>
        <w:object w:dxaOrig="2820" w:dyaOrig="760" w14:anchorId="1632AC83">
          <v:shape id="_x0000_i1332" type="#_x0000_t75" style="width:141.25pt;height:38.3pt" o:ole="">
            <v:imagedata r:id="rId22" o:title=""/>
          </v:shape>
          <o:OLEObject Type="Embed" ProgID="Equation.DSMT4" ShapeID="_x0000_i1332" DrawAspect="Content" ObjectID="_1763890285" r:id="rId23"/>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1A4AB7">
          <w:rPr>
            <w:noProof/>
          </w:rPr>
          <w:instrText>2</w:instrText>
        </w:r>
      </w:fldSimple>
      <w:r>
        <w:instrText>)</w:instrText>
      </w:r>
      <w:r>
        <w:fldChar w:fldCharType="end"/>
      </w:r>
    </w:p>
    <w:p w14:paraId="76ADAD74" w14:textId="1F690E78" w:rsidR="00C64BBD" w:rsidRPr="00C64BBD" w:rsidRDefault="00213D88" w:rsidP="001A44CA">
      <w:r>
        <w:t xml:space="preserve">Where </w:t>
      </w:r>
      <w:r w:rsidRPr="00906CE6">
        <w:rPr>
          <w:i/>
          <w:iCs/>
        </w:rPr>
        <w:t>F</w:t>
      </w:r>
      <w:r>
        <w:rPr>
          <w:i/>
          <w:iCs/>
        </w:rPr>
        <w:t xml:space="preserve"> </w:t>
      </w:r>
      <w:r>
        <w:t xml:space="preserve">denotes the c.d.f function. </w:t>
      </w:r>
      <w:r w:rsidR="00C64BBD">
        <w:t>Then the probabilities of false positives and false negatives are:</w:t>
      </w:r>
    </w:p>
    <w:p w14:paraId="4969307D" w14:textId="66929A60" w:rsidR="0052051B" w:rsidRDefault="009D3E80" w:rsidP="001A44CA">
      <w:pPr>
        <w:pStyle w:val="MTDisplayEquation"/>
      </w:pPr>
      <w:r>
        <w:tab/>
      </w:r>
      <w:r w:rsidR="0035039B" w:rsidRPr="009D3E80">
        <w:rPr>
          <w:position w:val="-32"/>
        </w:rPr>
        <w:object w:dxaOrig="2680" w:dyaOrig="760" w14:anchorId="323396E5">
          <v:shape id="_x0000_i1030" type="#_x0000_t75" style="width:133.95pt;height:38.3pt" o:ole="">
            <v:imagedata r:id="rId24" o:title=""/>
          </v:shape>
          <o:OLEObject Type="Embed" ProgID="Equation.DSMT4" ShapeID="_x0000_i1030" DrawAspect="Content" ObjectID="_1763890286" r:id="rId25"/>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1A4AB7">
          <w:rPr>
            <w:noProof/>
          </w:rPr>
          <w:instrText>3</w:instrText>
        </w:r>
      </w:fldSimple>
      <w:r>
        <w:instrText>)</w:instrText>
      </w:r>
      <w:r>
        <w:fldChar w:fldCharType="end"/>
      </w:r>
    </w:p>
    <w:p w14:paraId="30578C19" w14:textId="5884A379" w:rsidR="009B5B55" w:rsidRDefault="00906CE6" w:rsidP="001A44CA">
      <w:bookmarkStart w:id="1" w:name="_Hlk153171706"/>
      <w:r>
        <w:t xml:space="preserve">As </w:t>
      </w:r>
      <w:r w:rsidR="009B5B55">
        <w:t>Hausma</w:t>
      </w:r>
      <w:r w:rsidR="004A7496">
        <w:t>n, Abrevaya, and Scott-Morton</w:t>
      </w:r>
      <w:r w:rsidR="009B5B55">
        <w:t xml:space="preserve"> (1998) demonstrated</w:t>
      </w:r>
      <w:r w:rsidR="004A7496">
        <w:t>,</w:t>
      </w:r>
      <w:r w:rsidR="009B5B55">
        <w:t xml:space="preserve"> the estimated marginal effects </w:t>
      </w:r>
      <w:r w:rsidR="00567338">
        <w:t>based on</w:t>
      </w:r>
      <w:r w:rsidR="009B5B55">
        <w:t xml:space="preserve"> the observed data</w:t>
      </w:r>
      <w:r w:rsidR="00567338">
        <w:t xml:space="preserve"> are</w:t>
      </w:r>
      <w:r w:rsidR="009B5B55">
        <w:t>:</w:t>
      </w:r>
    </w:p>
    <w:bookmarkEnd w:id="1"/>
    <w:p w14:paraId="6B79BAF9" w14:textId="56BC1FEB" w:rsidR="009B5B55" w:rsidRDefault="009B5B55" w:rsidP="001A44CA">
      <w:pPr>
        <w:pStyle w:val="MTDisplayEquation"/>
      </w:pPr>
      <w:r>
        <w:tab/>
      </w:r>
      <w:r w:rsidR="00906CE6" w:rsidRPr="009B5B55">
        <w:rPr>
          <w:position w:val="-24"/>
        </w:rPr>
        <w:object w:dxaOrig="4000" w:dyaOrig="620" w14:anchorId="3C68B176">
          <v:shape id="_x0000_i1031" type="#_x0000_t75" style="width:200.05pt;height:31pt" o:ole="">
            <v:imagedata r:id="rId26" o:title=""/>
          </v:shape>
          <o:OLEObject Type="Embed" ProgID="Equation.DSMT4" ShapeID="_x0000_i1031" DrawAspect="Content" ObjectID="_1763890287" r:id="rId27"/>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1A4AB7">
          <w:rPr>
            <w:noProof/>
          </w:rPr>
          <w:instrText>4</w:instrText>
        </w:r>
      </w:fldSimple>
      <w:r>
        <w:instrText>)</w:instrText>
      </w:r>
      <w:r>
        <w:fldChar w:fldCharType="end"/>
      </w:r>
    </w:p>
    <w:p w14:paraId="13FAD383" w14:textId="36AE3DC8" w:rsidR="00906CE6" w:rsidRDefault="00906CE6" w:rsidP="001A44CA">
      <w:r>
        <w:t xml:space="preserve">When there is no misclassification, </w:t>
      </w:r>
      <w:r w:rsidRPr="00906CE6">
        <w:rPr>
          <w:position w:val="-12"/>
        </w:rPr>
        <w:object w:dxaOrig="1080" w:dyaOrig="360" w14:anchorId="5C615BEF">
          <v:shape id="_x0000_i1032" type="#_x0000_t75" style="width:53.75pt;height:18.25pt" o:ole="">
            <v:imagedata r:id="rId28" o:title=""/>
          </v:shape>
          <o:OLEObject Type="Embed" ProgID="Equation.DSMT4" ShapeID="_x0000_i1032" DrawAspect="Content" ObjectID="_1763890288" r:id="rId29"/>
        </w:object>
      </w:r>
      <w:r>
        <w:t>, and eq. (4) is</w:t>
      </w:r>
      <w:r w:rsidR="001F5986">
        <w:t xml:space="preserve"> unbiased</w:t>
      </w:r>
      <w:r>
        <w:t>:</w:t>
      </w:r>
    </w:p>
    <w:p w14:paraId="1950E335" w14:textId="0BFDAD55" w:rsidR="00906CE6" w:rsidRPr="00906CE6" w:rsidRDefault="00906CE6" w:rsidP="001A44CA">
      <w:pPr>
        <w:pStyle w:val="MTDisplayEquation"/>
      </w:pPr>
      <w:r>
        <w:tab/>
      </w:r>
      <w:r w:rsidRPr="00906CE6">
        <w:rPr>
          <w:position w:val="-24"/>
        </w:rPr>
        <w:object w:dxaOrig="2500" w:dyaOrig="620" w14:anchorId="0447AD13">
          <v:shape id="_x0000_i1033" type="#_x0000_t75" style="width:125.3pt;height:31pt" o:ole="">
            <v:imagedata r:id="rId30" o:title=""/>
          </v:shape>
          <o:OLEObject Type="Embed" ProgID="Equation.DSMT4" ShapeID="_x0000_i1033" DrawAspect="Content" ObjectID="_1763890289" r:id="rId31"/>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1A4AB7">
          <w:rPr>
            <w:noProof/>
          </w:rPr>
          <w:instrText>5</w:instrText>
        </w:r>
      </w:fldSimple>
      <w:r>
        <w:instrText>)</w:instrText>
      </w:r>
      <w:r>
        <w:fldChar w:fldCharType="end"/>
      </w:r>
    </w:p>
    <w:p w14:paraId="6A1EE778" w14:textId="77777777" w:rsidR="004E0509" w:rsidRDefault="00D514AF" w:rsidP="001A44CA">
      <w:pPr>
        <w:rPr>
          <w:i/>
          <w:iCs/>
        </w:rPr>
      </w:pPr>
      <w:r>
        <w:t>On the other hand</w:t>
      </w:r>
      <w:r w:rsidR="00EC0779">
        <w:t xml:space="preserve">, </w:t>
      </w:r>
      <w:r w:rsidR="00567338">
        <w:t>when the data contains false negatives (</w:t>
      </w:r>
      <w:r w:rsidR="00A6239B" w:rsidRPr="00567338">
        <w:rPr>
          <w:position w:val="-12"/>
        </w:rPr>
        <w:object w:dxaOrig="1640" w:dyaOrig="360" w14:anchorId="726E662D">
          <v:shape id="_x0000_i1034" type="#_x0000_t75" style="width:82.05pt;height:18.25pt" o:ole="">
            <v:imagedata r:id="rId32" o:title=""/>
          </v:shape>
          <o:OLEObject Type="Embed" ProgID="Equation.DSMT4" ShapeID="_x0000_i1034" DrawAspect="Content" ObjectID="_1763890290" r:id="rId33"/>
        </w:object>
      </w:r>
      <w:r w:rsidR="00567338">
        <w:t>)</w:t>
      </w:r>
      <w:r w:rsidR="001F5986">
        <w:t xml:space="preserve">, </w:t>
      </w:r>
      <w:r w:rsidR="000E5CD1" w:rsidRPr="000E5CD1">
        <w:t xml:space="preserve">given the assumption that the self-reported adoption data is independent of the covariates </w:t>
      </w:r>
      <w:r w:rsidR="000E5CD1" w:rsidRPr="000E5CD1">
        <w:rPr>
          <w:i/>
          <w:iCs/>
        </w:rPr>
        <w:t>X</w:t>
      </w:r>
      <w:r w:rsidR="004E0509">
        <w:rPr>
          <w:i/>
          <w:iCs/>
        </w:rPr>
        <w:t>:</w:t>
      </w:r>
    </w:p>
    <w:p w14:paraId="3B53D36B" w14:textId="41F1BE5E" w:rsidR="004E0509" w:rsidRDefault="004E0509" w:rsidP="001A44CA">
      <w:pPr>
        <w:pStyle w:val="MTDisplayEquation"/>
      </w:pPr>
      <w:r>
        <w:tab/>
      </w:r>
      <w:r w:rsidRPr="004E0509">
        <w:rPr>
          <w:position w:val="-12"/>
        </w:rPr>
        <w:object w:dxaOrig="1880" w:dyaOrig="360" w14:anchorId="0A9E0930">
          <v:shape id="_x0000_i1035" type="#_x0000_t75" style="width:94.35pt;height:18.25pt" o:ole="">
            <v:imagedata r:id="rId34" o:title=""/>
          </v:shape>
          <o:OLEObject Type="Embed" ProgID="Equation.DSMT4" ShapeID="_x0000_i1035" DrawAspect="Content" ObjectID="_1763890291" r:id="rId35"/>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1A4AB7">
          <w:rPr>
            <w:noProof/>
          </w:rPr>
          <w:instrText>6</w:instrText>
        </w:r>
      </w:fldSimple>
      <w:r>
        <w:instrText>)</w:instrText>
      </w:r>
      <w:r>
        <w:fldChar w:fldCharType="end"/>
      </w:r>
    </w:p>
    <w:p w14:paraId="445013B9" w14:textId="6325DD28" w:rsidR="001F5986" w:rsidRDefault="004E0509" w:rsidP="001A44CA">
      <w:r>
        <w:t>T</w:t>
      </w:r>
      <w:r w:rsidR="00FA69A4">
        <w:t>he</w:t>
      </w:r>
      <w:r>
        <w:t>n the</w:t>
      </w:r>
      <w:r w:rsidR="00FA69A4">
        <w:t xml:space="preserve"> estimated marginal effects are </w:t>
      </w:r>
      <w:r w:rsidR="001F5986" w:rsidRPr="001F5986">
        <w:t>proportional to the true marginal effects:</w:t>
      </w:r>
    </w:p>
    <w:p w14:paraId="6B44DE62" w14:textId="33B2A5D4" w:rsidR="001F5986" w:rsidRDefault="001F5986" w:rsidP="001A44CA">
      <w:pPr>
        <w:pStyle w:val="MTDisplayEquation"/>
      </w:pPr>
      <w:r>
        <w:tab/>
      </w:r>
      <w:r w:rsidRPr="001F5986">
        <w:rPr>
          <w:position w:val="-24"/>
        </w:rPr>
        <w:object w:dxaOrig="3140" w:dyaOrig="620" w14:anchorId="7AC9278F">
          <v:shape id="_x0000_i1036" type="#_x0000_t75" style="width:157.2pt;height:31pt" o:ole="">
            <v:imagedata r:id="rId36" o:title=""/>
          </v:shape>
          <o:OLEObject Type="Embed" ProgID="Equation.DSMT4" ShapeID="_x0000_i1036" DrawAspect="Content" ObjectID="_1763890292" r:id="rId37"/>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1A4AB7">
          <w:rPr>
            <w:noProof/>
          </w:rPr>
          <w:instrText>7</w:instrText>
        </w:r>
      </w:fldSimple>
      <w:r>
        <w:instrText>)</w:instrText>
      </w:r>
      <w:r>
        <w:fldChar w:fldCharType="end"/>
      </w:r>
    </w:p>
    <w:p w14:paraId="72B19664" w14:textId="1D38D590" w:rsidR="004E0509" w:rsidRDefault="00CB1FB5" w:rsidP="001A44CA">
      <w:r>
        <w:lastRenderedPageBreak/>
        <w:t xml:space="preserve">where </w:t>
      </w:r>
      <w:r w:rsidRPr="00567338">
        <w:rPr>
          <w:position w:val="-12"/>
        </w:rPr>
        <w:object w:dxaOrig="620" w:dyaOrig="360" w14:anchorId="4CAFF641">
          <v:shape id="_x0000_i1037" type="#_x0000_t75" style="width:31pt;height:18.25pt" o:ole="">
            <v:imagedata r:id="rId38" o:title=""/>
          </v:shape>
          <o:OLEObject Type="Embed" ProgID="Equation.DSMT4" ShapeID="_x0000_i1037" DrawAspect="Content" ObjectID="_1763890293" r:id="rId39"/>
        </w:object>
      </w:r>
      <w:r w:rsidR="00A6239B">
        <w:t xml:space="preserve"> when there is false negatives</w:t>
      </w:r>
      <w:r>
        <w:t>. Thus, e</w:t>
      </w:r>
      <w:r w:rsidR="001F5986">
        <w:t xml:space="preserve">q. (6) reveals that the estimates </w:t>
      </w:r>
      <w:r w:rsidR="000E5CD1">
        <w:t>are attenuated</w:t>
      </w:r>
      <w:r>
        <w:t xml:space="preserve"> when the self-reported technology adoption data contains false negatives. </w:t>
      </w:r>
      <w:r w:rsidR="006757D7">
        <w:t xml:space="preserve">The estimates are </w:t>
      </w:r>
      <w:r w:rsidR="00FA69A4">
        <w:t>smaller in absolute value, but retain the correct signs</w:t>
      </w:r>
      <w:r w:rsidR="004E0509">
        <w:rPr>
          <w:rStyle w:val="FootnoteReference"/>
        </w:rPr>
        <w:footnoteReference w:id="1"/>
      </w:r>
      <w:r w:rsidR="00FA69A4">
        <w:t xml:space="preserve">. </w:t>
      </w:r>
    </w:p>
    <w:p w14:paraId="20B56855" w14:textId="503E27EB" w:rsidR="009F1BBB" w:rsidRDefault="007729EE" w:rsidP="001A44CA">
      <w:pPr>
        <w:pStyle w:val="Heading2"/>
      </w:pPr>
      <w:r>
        <w:t>2. The Blinder-</w:t>
      </w:r>
      <w:r w:rsidR="009F1BBB">
        <w:t>Oaxaca decomposition method</w:t>
      </w:r>
    </w:p>
    <w:p w14:paraId="49437D55" w14:textId="49DB9878" w:rsidR="00AA1027" w:rsidRDefault="005E38EA" w:rsidP="001A44CA">
      <w:r>
        <w:t xml:space="preserve">In this section, we discuss </w:t>
      </w:r>
      <w:r w:rsidR="00EE4A0B">
        <w:t>another</w:t>
      </w:r>
      <w:r w:rsidR="007124A9">
        <w:t xml:space="preserve"> methodological contribution of this study. </w:t>
      </w:r>
      <w:r w:rsidR="00EE4A0B">
        <w:t xml:space="preserve">As summarized in </w:t>
      </w:r>
      <w:r w:rsidR="007729EE">
        <w:t>Peterman et al. (2014)</w:t>
      </w:r>
      <w:r w:rsidR="00EE4A0B">
        <w:t xml:space="preserve">, </w:t>
      </w:r>
      <w:r w:rsidR="00852392" w:rsidRPr="00852392">
        <w:t>most technology adoption analyses have relied on bivariate response models.</w:t>
      </w:r>
      <w:r w:rsidR="00852392">
        <w:t xml:space="preserve"> </w:t>
      </w:r>
      <w:r w:rsidR="00AA1027" w:rsidRPr="00AA1027">
        <w:t>However, such models, often employing a gender dummy variable to test gender differences, do not provide a nuanced breakdown of gender inequality into its constituent components. For instance, men and women may exhibit disparities in access to cooperative resources and extension services, and these differences may have varying impacts on each gender group (e.g., Jagger and Pender, 2006; Katungi, Edmeades, and Smale, 2008). A simple binary variable fails to dissect these variations between groups.</w:t>
      </w:r>
    </w:p>
    <w:p w14:paraId="431F528F" w14:textId="0912A733" w:rsidR="00AF6D5F" w:rsidRDefault="00FD4468" w:rsidP="00AF6D5F">
      <w:r w:rsidRPr="00FD4468">
        <w:t>In this section, we introduce the Blinder-Oaxaca decomposition method</w:t>
      </w:r>
      <w:r>
        <w:t xml:space="preserve"> which</w:t>
      </w:r>
      <w:r w:rsidRPr="00FD4468">
        <w:t xml:space="preserve"> disentangles group differences into components</w:t>
      </w:r>
      <w:r w:rsidR="00AF6D5F">
        <w:t xml:space="preserve">. </w:t>
      </w:r>
      <w:r w:rsidR="00252230">
        <w:t>The approach</w:t>
      </w:r>
      <w:r w:rsidR="001A4AB7">
        <w:t xml:space="preserve"> </w:t>
      </w:r>
      <w:r w:rsidR="00A34F3C">
        <w:t xml:space="preserve">with binary dependent variable </w:t>
      </w:r>
      <w:r w:rsidR="001A4AB7">
        <w:t xml:space="preserve">was originally developed by </w:t>
      </w:r>
      <w:r w:rsidR="00A34F3C">
        <w:t>Fairlie (200</w:t>
      </w:r>
      <w:r w:rsidR="006533AB">
        <w:t>5</w:t>
      </w:r>
      <w:r w:rsidR="005766DF">
        <w:t xml:space="preserve">). </w:t>
      </w:r>
      <w:r w:rsidR="001A4AB7">
        <w:t>It is</w:t>
      </w:r>
      <w:r w:rsidR="00252230">
        <w:t xml:space="preserve"> easy to apply based on the binary response modeling results to decompose inter-group differences</w:t>
      </w:r>
      <w:r w:rsidR="00DC1860">
        <w:t xml:space="preserve"> (</w:t>
      </w:r>
      <w:r w:rsidR="00DC1860" w:rsidRPr="00DC1860">
        <w:t>Fitzenberger, Kohn, and Wang</w:t>
      </w:r>
      <w:r w:rsidR="00DC1860">
        <w:t xml:space="preserve">, </w:t>
      </w:r>
      <w:r w:rsidR="00DC1860" w:rsidRPr="00DC1860">
        <w:t>2006)</w:t>
      </w:r>
      <w:r w:rsidR="00252230">
        <w:t>.</w:t>
      </w:r>
      <w:r w:rsidR="00DA4BF7">
        <w:t xml:space="preserve"> </w:t>
      </w:r>
      <w:r w:rsidR="00252230">
        <w:t xml:space="preserve">In this </w:t>
      </w:r>
      <w:r w:rsidR="00DA4BF7">
        <w:t>study, w</w:t>
      </w:r>
      <w:r w:rsidR="00AF6D5F">
        <w:t>e label the two gender groups as Group F and Group M for female and male farmers. The mean outcome difference to be explained (</w:t>
      </w:r>
      <w:r w:rsidR="00AF6D5F" w:rsidRPr="00D70258">
        <w:rPr>
          <w:position w:val="-12"/>
        </w:rPr>
        <w:object w:dxaOrig="1340" w:dyaOrig="360" w14:anchorId="03F9A57A">
          <v:shape id="_x0000_i1038" type="#_x0000_t75" style="width:67pt;height:18.25pt" o:ole="">
            <v:imagedata r:id="rId40" o:title=""/>
          </v:shape>
          <o:OLEObject Type="Embed" ProgID="Equation.DSMT4" ShapeID="_x0000_i1038" DrawAspect="Content" ObjectID="_1763890294" r:id="rId41"/>
        </w:object>
      </w:r>
      <w:r w:rsidR="00AF6D5F">
        <w:t>). Following eq. (</w:t>
      </w:r>
      <w:r w:rsidR="000747B4">
        <w:t>2</w:t>
      </w:r>
      <w:r w:rsidR="00AF6D5F">
        <w:t xml:space="preserve">), </w:t>
      </w:r>
      <w:r w:rsidR="00BE7A7E">
        <w:t>the decomposition of a binary response model is (Oaxaca and Ransom, 1994):</w:t>
      </w:r>
    </w:p>
    <w:p w14:paraId="3A3CB4D2" w14:textId="389E8E7C" w:rsidR="00BE7A7E" w:rsidRDefault="00BE7A7E" w:rsidP="00BE7A7E">
      <w:pPr>
        <w:pStyle w:val="MTDisplayEquation"/>
      </w:pPr>
      <w:r>
        <w:tab/>
      </w:r>
      <w:r w:rsidRPr="00BE7A7E">
        <w:rPr>
          <w:position w:val="-12"/>
        </w:rPr>
        <w:object w:dxaOrig="5580" w:dyaOrig="380" w14:anchorId="454A27D3">
          <v:shape id="_x0000_i1352" type="#_x0000_t75" style="width:278.9pt;height:19.15pt" o:ole="">
            <v:imagedata r:id="rId42" o:title=""/>
          </v:shape>
          <o:OLEObject Type="Embed" ProgID="Equation.DSMT4" ShapeID="_x0000_i1352" DrawAspect="Content" ObjectID="_1763890295" r:id="rId43"/>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1A4AB7">
          <w:rPr>
            <w:noProof/>
          </w:rPr>
          <w:instrText>8</w:instrText>
        </w:r>
      </w:fldSimple>
      <w:r>
        <w:instrText>)</w:instrText>
      </w:r>
      <w:r>
        <w:fldChar w:fldCharType="end"/>
      </w:r>
    </w:p>
    <w:p w14:paraId="19616D4F" w14:textId="00B70116" w:rsidR="00BE7A7E" w:rsidRPr="00BE7A7E" w:rsidRDefault="00BE7A7E" w:rsidP="00BE7A7E">
      <w:r>
        <w:t xml:space="preserve">Where </w:t>
      </w:r>
      <w:r w:rsidRPr="00BE7A7E">
        <w:rPr>
          <w:position w:val="-10"/>
        </w:rPr>
        <w:object w:dxaOrig="300" w:dyaOrig="360" w14:anchorId="7ED5F361">
          <v:shape id="_x0000_i1335" type="#_x0000_t75" style="width:15.05pt;height:18.25pt" o:ole="">
            <v:imagedata r:id="rId44" o:title=""/>
          </v:shape>
          <o:OLEObject Type="Embed" ProgID="Equation.DSMT4" ShapeID="_x0000_i1335" DrawAspect="Content" ObjectID="_1763890296" r:id="rId45"/>
        </w:object>
      </w:r>
      <w:r>
        <w:t xml:space="preserve"> is a weighted average of the coefficient vector of </w:t>
      </w:r>
      <w:r w:rsidRPr="00BE7A7E">
        <w:rPr>
          <w:position w:val="-12"/>
        </w:rPr>
        <w:object w:dxaOrig="320" w:dyaOrig="360" w14:anchorId="1B6DAFC2">
          <v:shape id="_x0000_i1354" type="#_x0000_t75" style="width:15.95pt;height:18.25pt" o:ole="">
            <v:imagedata r:id="rId46" o:title=""/>
          </v:shape>
          <o:OLEObject Type="Embed" ProgID="Equation.DSMT4" ShapeID="_x0000_i1354" DrawAspect="Content" ObjectID="_1763890297" r:id="rId47"/>
        </w:object>
      </w:r>
      <w:r>
        <w:t xml:space="preserve"> and  </w:t>
      </w:r>
      <w:r w:rsidRPr="00BE7A7E">
        <w:rPr>
          <w:position w:val="-12"/>
        </w:rPr>
        <w:object w:dxaOrig="360" w:dyaOrig="360" w14:anchorId="7D042BAD">
          <v:shape id="_x0000_i1356" type="#_x0000_t75" style="width:18.25pt;height:18.25pt" o:ole="">
            <v:imagedata r:id="rId48" o:title=""/>
          </v:shape>
          <o:OLEObject Type="Embed" ProgID="Equation.DSMT4" ShapeID="_x0000_i1356" DrawAspect="Content" ObjectID="_1763890298" r:id="rId49"/>
        </w:object>
      </w:r>
      <w:r w:rsidR="003559BE">
        <w:t>. The eq. (8) can be written as:</w:t>
      </w:r>
    </w:p>
    <w:p w14:paraId="026E8DD0" w14:textId="4A458C75" w:rsidR="00C765A3" w:rsidRDefault="00BE7A7E" w:rsidP="00BE7A7E">
      <w:pPr>
        <w:pStyle w:val="MTDisplayEquation"/>
      </w:pPr>
      <w:r>
        <w:tab/>
      </w:r>
      <w:r w:rsidRPr="00BE7A7E">
        <w:rPr>
          <w:position w:val="-12"/>
        </w:rPr>
        <w:object w:dxaOrig="2200" w:dyaOrig="380" w14:anchorId="50A0B071">
          <v:shape id="_x0000_i1360" type="#_x0000_t75" style="width:109.8pt;height:19.15pt" o:ole="">
            <v:imagedata r:id="rId50" o:title=""/>
          </v:shape>
          <o:OLEObject Type="Embed" ProgID="Equation.DSMT4" ShapeID="_x0000_i1360" DrawAspect="Content" ObjectID="_1763890299" r:id="rId51"/>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1A4AB7">
          <w:rPr>
            <w:noProof/>
          </w:rPr>
          <w:instrText>9</w:instrText>
        </w:r>
      </w:fldSimple>
      <w:r>
        <w:instrText>)</w:instrText>
      </w:r>
      <w:r>
        <w:fldChar w:fldCharType="end"/>
      </w:r>
    </w:p>
    <w:p w14:paraId="1C5E3BFD" w14:textId="24B07CBC" w:rsidR="00BE7A7E" w:rsidRPr="00BE7A7E" w:rsidRDefault="00BE7A7E" w:rsidP="00BE7A7E">
      <w:r>
        <w:t xml:space="preserve">Where </w:t>
      </w:r>
      <w:r w:rsidRPr="00025957">
        <w:rPr>
          <w:position w:val="-4"/>
        </w:rPr>
        <w:object w:dxaOrig="260" w:dyaOrig="260" w14:anchorId="446DEAAD">
          <v:shape id="_x0000_i1362" type="#_x0000_t75" style="width:13.2pt;height:13.2pt" o:ole="">
            <v:imagedata r:id="rId52" o:title=""/>
          </v:shape>
          <o:OLEObject Type="Embed" ProgID="Equation.DSMT4" ShapeID="_x0000_i1362" DrawAspect="Content" ObjectID="_1763890300" r:id="rId53"/>
        </w:object>
      </w:r>
      <w:r>
        <w:t xml:space="preserve"> is a weighting matrix and </w:t>
      </w:r>
      <w:r w:rsidRPr="00BE7A7E">
        <w:rPr>
          <w:i/>
          <w:iCs/>
        </w:rPr>
        <w:t>I</w:t>
      </w:r>
      <w:r>
        <w:t xml:space="preserve">  is an identity matrix. </w:t>
      </w:r>
    </w:p>
    <w:p w14:paraId="23AF14DD" w14:textId="4375FBC1" w:rsidR="00AF6D5F" w:rsidRDefault="00AF6D5F" w:rsidP="00AF6D5F">
      <w:pPr>
        <w:pStyle w:val="MTDisplayEquation"/>
      </w:pPr>
      <w:r>
        <w:lastRenderedPageBreak/>
        <w:tab/>
      </w:r>
      <w:r w:rsidR="001A4AB7" w:rsidRPr="008274F4">
        <w:rPr>
          <w:position w:val="-62"/>
        </w:rPr>
        <w:object w:dxaOrig="3500" w:dyaOrig="1340" w14:anchorId="1B4DE36F">
          <v:shape id="_x0000_i1548" type="#_x0000_t75" style="width:175pt;height:67pt" o:ole="">
            <v:imagedata r:id="rId54" o:title=""/>
          </v:shape>
          <o:OLEObject Type="Embed" ProgID="Equation.DSMT4" ShapeID="_x0000_i1548" DrawAspect="Content" ObjectID="_1763890301" r:id="rId55"/>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1A4AB7">
          <w:rPr>
            <w:noProof/>
          </w:rPr>
          <w:instrText>10</w:instrText>
        </w:r>
      </w:fldSimple>
      <w:r>
        <w:instrText>)</w:instrText>
      </w:r>
      <w:r>
        <w:fldChar w:fldCharType="end"/>
      </w:r>
    </w:p>
    <w:p w14:paraId="755AC953" w14:textId="44CDA89C" w:rsidR="008274F4" w:rsidRDefault="008274F4" w:rsidP="008274F4">
      <w:r>
        <w:t xml:space="preserve">Where </w:t>
      </w:r>
      <w:r w:rsidRPr="008274F4">
        <w:rPr>
          <w:position w:val="-10"/>
        </w:rPr>
        <w:object w:dxaOrig="460" w:dyaOrig="320" w14:anchorId="377E892B">
          <v:shape id="_x0000_i1389" type="#_x0000_t75" style="width:22.8pt;height:15.95pt" o:ole="">
            <v:imagedata r:id="rId56" o:title=""/>
          </v:shape>
          <o:OLEObject Type="Embed" ProgID="Equation.DSMT4" ShapeID="_x0000_i1389" DrawAspect="Content" ObjectID="_1763890302" r:id="rId57"/>
        </w:object>
      </w:r>
      <w:r>
        <w:t xml:space="preserve"> represents a conditional expectation, and </w:t>
      </w:r>
      <w:r w:rsidR="001A4AB7" w:rsidRPr="008274F4">
        <w:rPr>
          <w:position w:val="-18"/>
        </w:rPr>
        <w:object w:dxaOrig="1359" w:dyaOrig="440" w14:anchorId="52E8C6B7">
          <v:shape id="_x0000_i1551" type="#_x0000_t75" style="width:67.9pt;height:21.85pt" o:ole="">
            <v:imagedata r:id="rId58" o:title=""/>
          </v:shape>
          <o:OLEObject Type="Embed" ProgID="Equation.DSMT4" ShapeID="_x0000_i1551" DrawAspect="Content" ObjectID="_1763890303" r:id="rId59"/>
        </w:object>
      </w:r>
      <w:r>
        <w:t xml:space="preserve"> is the conditional expectation of </w:t>
      </w:r>
      <w:r w:rsidRPr="008274F4">
        <w:rPr>
          <w:position w:val="-12"/>
        </w:rPr>
        <w:object w:dxaOrig="380" w:dyaOrig="380" w14:anchorId="41002A4F">
          <v:shape id="_x0000_i1399" type="#_x0000_t75" style="width:19.15pt;height:19.15pt" o:ole="">
            <v:imagedata r:id="rId60" o:title=""/>
          </v:shape>
          <o:OLEObject Type="Embed" ProgID="Equation.DSMT4" ShapeID="_x0000_i1399" DrawAspect="Content" ObjectID="_1763890304" r:id="rId61"/>
        </w:object>
      </w:r>
      <w:r>
        <w:t xml:space="preserve"> evaluated at the parameter vector </w:t>
      </w:r>
      <w:r w:rsidRPr="008274F4">
        <w:rPr>
          <w:position w:val="-10"/>
        </w:rPr>
        <w:object w:dxaOrig="300" w:dyaOrig="360" w14:anchorId="62CB0EAF">
          <v:shape id="_x0000_i1409" type="#_x0000_t75" style="width:15.05pt;height:18.25pt" o:ole="">
            <v:imagedata r:id="rId62" o:title=""/>
          </v:shape>
          <o:OLEObject Type="Embed" ProgID="Equation.DSMT4" ShapeID="_x0000_i1409" DrawAspect="Content" ObjectID="_1763890305" r:id="rId63"/>
        </w:object>
      </w:r>
      <w:r>
        <w:t xml:space="preserve">. </w:t>
      </w:r>
      <w:r w:rsidR="001A4AB7">
        <w:t xml:space="preserve"> </w:t>
      </w:r>
      <w:r w:rsidR="00E7659A">
        <w:t xml:space="preserve">The estimations of the conditional expectation in probit models follow the specifications proposed by </w:t>
      </w:r>
      <w:r w:rsidR="00E7659A" w:rsidRPr="00E7659A">
        <w:t xml:space="preserve">Fitzenberger, Kohn, and Wang (2006). </w:t>
      </w:r>
      <w:r w:rsidR="001A4AB7">
        <w:t xml:space="preserve">Then, as Daymont and Andrisani (1984) proposed, we can </w:t>
      </w:r>
      <w:r w:rsidR="00E7659A">
        <w:t>simplify</w:t>
      </w:r>
      <w:r w:rsidR="001A4AB7">
        <w:t xml:space="preserve"> the eq. (10) to</w:t>
      </w:r>
    </w:p>
    <w:p w14:paraId="4178678B" w14:textId="38F7AC19" w:rsidR="001A4AB7" w:rsidRPr="008274F4" w:rsidRDefault="001A4AB7" w:rsidP="001A4AB7">
      <w:pPr>
        <w:pStyle w:val="MTDisplayEquation"/>
      </w:pPr>
      <w:r>
        <w:tab/>
      </w:r>
      <w:r w:rsidR="00E7659A" w:rsidRPr="001A4AB7">
        <w:rPr>
          <w:position w:val="-36"/>
        </w:rPr>
        <w:object w:dxaOrig="5480" w:dyaOrig="639" w14:anchorId="3EF5B8B8">
          <v:shape id="_x0000_i1659" type="#_x0000_t75" style="width:273.85pt;height:31.9pt" o:ole="">
            <v:imagedata r:id="rId64" o:title=""/>
          </v:shape>
          <o:OLEObject Type="Embed" ProgID="Equation.DSMT4" ShapeID="_x0000_i1659" DrawAspect="Content" ObjectID="_1763890306" r:id="rId65"/>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Pr>
            <w:noProof/>
          </w:rPr>
          <w:instrText>11</w:instrText>
        </w:r>
      </w:fldSimple>
      <w:r>
        <w:instrText>)</w:instrText>
      </w:r>
      <w:r>
        <w:fldChar w:fldCharType="end"/>
      </w:r>
    </w:p>
    <w:p w14:paraId="0EC01EC1" w14:textId="17EFE536" w:rsidR="00AF6D5F" w:rsidRPr="0037580D" w:rsidRDefault="00AF6D5F" w:rsidP="00AF6D5F">
      <w:pPr>
        <w:pStyle w:val="MTDisplayEquation"/>
      </w:pPr>
      <w:r>
        <w:tab/>
      </w:r>
      <w:r>
        <w:tab/>
      </w:r>
    </w:p>
    <w:p w14:paraId="712F5C1F" w14:textId="2B4D5041" w:rsidR="00AF6D5F" w:rsidRPr="00C842E9" w:rsidRDefault="00AF6D5F" w:rsidP="00113D48">
      <w:r>
        <w:t>In eq. (</w:t>
      </w:r>
      <w:r w:rsidR="00E7659A">
        <w:t>11</w:t>
      </w:r>
      <w:r>
        <w:t xml:space="preserve">), the endowments term represents the contribution of differences in explanatory variables across groups, and the coefficients term is the part that is due to group differences in the coefficients. The interaction term accounts for the fact that cross-group differences in explanatory variables and coefficients can occur at the same time. </w:t>
      </w:r>
    </w:p>
    <w:p w14:paraId="18DFE863" w14:textId="137AEF39" w:rsidR="00297CB3" w:rsidRDefault="00297CB3" w:rsidP="001A44CA">
      <w:pPr>
        <w:pStyle w:val="Heading1"/>
      </w:pPr>
      <w:r>
        <w:t>Results</w:t>
      </w:r>
    </w:p>
    <w:p w14:paraId="3B44B97B" w14:textId="290D60BD" w:rsidR="00054DEF" w:rsidRDefault="00054DEF" w:rsidP="00974B26">
      <w:r>
        <w:t>In this section, we discuss the identification of systematic measurement error</w:t>
      </w:r>
      <w:r w:rsidR="00D822D6">
        <w:t xml:space="preserve"> first, followed by the</w:t>
      </w:r>
      <w:r>
        <w:t xml:space="preserve"> gender decomposition results. </w:t>
      </w:r>
    </w:p>
    <w:p w14:paraId="159C1ADF" w14:textId="0614C177" w:rsidR="007A2438" w:rsidRDefault="004560DF" w:rsidP="00974B26">
      <w:r>
        <w:t xml:space="preserve">Figure 1 shows the kernel density plot of the household ICV adoption reported by husbands and wives, and the results of corresponding DNA fingerprinting tests. </w:t>
      </w:r>
      <w:r w:rsidR="006631CF">
        <w:t xml:space="preserve">Table 1 is a summary of the paired </w:t>
      </w:r>
      <w:r w:rsidR="000453BC">
        <w:t>t</w:t>
      </w:r>
      <w:r w:rsidR="006631CF">
        <w:t xml:space="preserve">-test for self-reported and DNA fingerprinting tests. </w:t>
      </w:r>
      <w:r w:rsidR="007A2438">
        <w:t xml:space="preserve">The paired t-test was employed to assess the alignment between women's self-reported household ICV adoption and the corresponding DNA fingerprinting test results, with a summary of these results presented in the first row of the table. Similarly, the middle row of the table offers a </w:t>
      </w:r>
      <w:r w:rsidR="00525AB5">
        <w:t>summary</w:t>
      </w:r>
      <w:r w:rsidR="007A2438">
        <w:t xml:space="preserve"> of the test statistics for men, where we compared their self-reported household ICV adoption with the household's DNA test results. The last row pertains to a distinct dataset, specifically households where wives self-identified as the household heads. This row investigates the </w:t>
      </w:r>
      <w:r w:rsidR="00525AB5">
        <w:t>consistency</w:t>
      </w:r>
      <w:r w:rsidR="007A2438">
        <w:t xml:space="preserve"> between their self-reported ICV adoption and the household's DNA test results.</w:t>
      </w:r>
    </w:p>
    <w:p w14:paraId="12B620C9" w14:textId="5E29BCED" w:rsidR="00486A3F" w:rsidRPr="004560DF" w:rsidRDefault="00525AB5" w:rsidP="004560DF">
      <w:r>
        <w:lastRenderedPageBreak/>
        <w:t xml:space="preserve">For the self-reported adoption of ICV by females, the probability of a negative response (no adoption) is higher compared to the results obtained from DNA testing (Figure 1). The pared t-test also rejected the null hypothesis that there is no difference in the two groups (female self-reported vs DNA testing). </w:t>
      </w:r>
      <w:r w:rsidRPr="00525AB5">
        <w:t>Conversely, for male self-reported adoption of ICVs, the paired t-test does not reject the null hypothesis, suggesting no significant difference when compared to the DNA testing results. Both Figure 1 and Table 1 highlight the occurrence of false negatives in the female self-reported data.</w:t>
      </w:r>
    </w:p>
    <w:p w14:paraId="447132BD" w14:textId="4EB7D35A" w:rsidR="001604E2" w:rsidRDefault="00F27D2B" w:rsidP="001A44CA">
      <w:r>
        <w:rPr>
          <w:noProof/>
        </w:rPr>
        <w:drawing>
          <wp:inline distT="0" distB="0" distL="0" distR="0" wp14:anchorId="7D341043" wp14:editId="1C611DBE">
            <wp:extent cx="5943600" cy="3566160"/>
            <wp:effectExtent l="0" t="0" r="0" b="0"/>
            <wp:docPr id="1753011754" name="Picture 1"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011754" name="Picture 1" descr="A graph of a function&#10;&#10;Description automatically generated"/>
                    <pic:cNvPicPr/>
                  </pic:nvPicPr>
                  <pic:blipFill>
                    <a:blip r:embed="rId66" cstate="print">
                      <a:extLst>
                        <a:ext uri="{28A0092B-C50C-407E-A947-70E740481C1C}">
                          <a14:useLocalDpi xmlns:a14="http://schemas.microsoft.com/office/drawing/2010/main" val="0"/>
                        </a:ext>
                      </a:extLst>
                    </a:blip>
                    <a:stretch>
                      <a:fillRect/>
                    </a:stretch>
                  </pic:blipFill>
                  <pic:spPr>
                    <a:xfrm>
                      <a:off x="0" y="0"/>
                      <a:ext cx="5943600" cy="3566160"/>
                    </a:xfrm>
                    <a:prstGeom prst="rect">
                      <a:avLst/>
                    </a:prstGeom>
                  </pic:spPr>
                </pic:pic>
              </a:graphicData>
            </a:graphic>
          </wp:inline>
        </w:drawing>
      </w:r>
    </w:p>
    <w:p w14:paraId="5C14BB10" w14:textId="11437D60" w:rsidR="001604E2" w:rsidRDefault="001604E2" w:rsidP="001604E2">
      <w:pPr>
        <w:pStyle w:val="figure"/>
      </w:pPr>
      <w:r>
        <w:t>Figure 1. The comparison of the self-reported data and DNA fingerprinting test</w:t>
      </w:r>
    </w:p>
    <w:p w14:paraId="1676F68D" w14:textId="0013AA7E" w:rsidR="00486A3F" w:rsidRDefault="00486A3F" w:rsidP="00486A3F"/>
    <w:p w14:paraId="0F21899E" w14:textId="639EF78C" w:rsidR="00486A3F" w:rsidRDefault="00486A3F" w:rsidP="001604E2">
      <w:pPr>
        <w:pStyle w:val="figure"/>
      </w:pPr>
      <w:r>
        <w:t xml:space="preserve">Table 1. Paired </w:t>
      </w:r>
      <w:r w:rsidR="000453BC">
        <w:t>t</w:t>
      </w:r>
      <w:r>
        <w:t xml:space="preserve">-test results </w:t>
      </w:r>
      <w:r w:rsidR="00435DC1">
        <w:t>for self-reported and DNA fingerprinting tests</w:t>
      </w:r>
    </w:p>
    <w:tbl>
      <w:tblPr>
        <w:tblW w:w="7840" w:type="dxa"/>
        <w:tblLook w:val="04A0" w:firstRow="1" w:lastRow="0" w:firstColumn="1" w:lastColumn="0" w:noHBand="0" w:noVBand="1"/>
      </w:tblPr>
      <w:tblGrid>
        <w:gridCol w:w="5086"/>
        <w:gridCol w:w="1377"/>
        <w:gridCol w:w="1377"/>
      </w:tblGrid>
      <w:tr w:rsidR="00F27D2B" w:rsidRPr="00581B8D" w14:paraId="5017F2F8" w14:textId="77777777" w:rsidTr="00F27D2B">
        <w:trPr>
          <w:trHeight w:val="302"/>
        </w:trPr>
        <w:tc>
          <w:tcPr>
            <w:tcW w:w="5086" w:type="dxa"/>
            <w:tcBorders>
              <w:top w:val="single" w:sz="4" w:space="0" w:color="auto"/>
              <w:left w:val="nil"/>
              <w:bottom w:val="single" w:sz="4" w:space="0" w:color="auto"/>
              <w:right w:val="nil"/>
            </w:tcBorders>
            <w:shd w:val="clear" w:color="auto" w:fill="auto"/>
            <w:noWrap/>
            <w:vAlign w:val="bottom"/>
            <w:hideMark/>
          </w:tcPr>
          <w:p w14:paraId="7781C8E8" w14:textId="4B93875E" w:rsidR="00F27D2B" w:rsidRPr="00581B8D" w:rsidRDefault="00F27D2B" w:rsidP="002D4A9B">
            <w:pPr>
              <w:spacing w:after="0"/>
              <w:rPr>
                <w:rFonts w:eastAsia="Times New Roman" w:cs="Times New Roman"/>
                <w:b/>
                <w:bCs/>
                <w:color w:val="000000"/>
                <w:sz w:val="22"/>
              </w:rPr>
            </w:pPr>
            <w:r w:rsidRPr="00581B8D">
              <w:rPr>
                <w:rFonts w:eastAsia="Times New Roman" w:cs="Times New Roman"/>
                <w:b/>
                <w:bCs/>
                <w:color w:val="000000"/>
                <w:sz w:val="22"/>
              </w:rPr>
              <w:t>Variable</w:t>
            </w:r>
          </w:p>
        </w:tc>
        <w:tc>
          <w:tcPr>
            <w:tcW w:w="1377" w:type="dxa"/>
            <w:tcBorders>
              <w:top w:val="single" w:sz="4" w:space="0" w:color="auto"/>
              <w:left w:val="nil"/>
              <w:bottom w:val="single" w:sz="4" w:space="0" w:color="auto"/>
              <w:right w:val="nil"/>
            </w:tcBorders>
            <w:shd w:val="clear" w:color="auto" w:fill="auto"/>
            <w:noWrap/>
            <w:vAlign w:val="bottom"/>
            <w:hideMark/>
          </w:tcPr>
          <w:p w14:paraId="490558B4" w14:textId="77777777" w:rsidR="00F27D2B" w:rsidRPr="00581B8D" w:rsidRDefault="00F27D2B" w:rsidP="002D4A9B">
            <w:pPr>
              <w:spacing w:after="0"/>
              <w:rPr>
                <w:rFonts w:eastAsia="Times New Roman" w:cs="Times New Roman"/>
                <w:b/>
                <w:bCs/>
                <w:color w:val="000000"/>
                <w:sz w:val="22"/>
              </w:rPr>
            </w:pPr>
            <w:r w:rsidRPr="00581B8D">
              <w:rPr>
                <w:rFonts w:eastAsia="Times New Roman" w:cs="Times New Roman"/>
                <w:b/>
                <w:bCs/>
                <w:color w:val="000000"/>
                <w:sz w:val="22"/>
              </w:rPr>
              <w:t>T-Statistic</w:t>
            </w:r>
          </w:p>
        </w:tc>
        <w:tc>
          <w:tcPr>
            <w:tcW w:w="1377" w:type="dxa"/>
            <w:tcBorders>
              <w:top w:val="single" w:sz="4" w:space="0" w:color="auto"/>
              <w:left w:val="nil"/>
              <w:bottom w:val="single" w:sz="4" w:space="0" w:color="auto"/>
              <w:right w:val="nil"/>
            </w:tcBorders>
            <w:shd w:val="clear" w:color="auto" w:fill="auto"/>
            <w:noWrap/>
            <w:vAlign w:val="bottom"/>
            <w:hideMark/>
          </w:tcPr>
          <w:p w14:paraId="6D28C4EF" w14:textId="77777777" w:rsidR="00F27D2B" w:rsidRPr="00581B8D" w:rsidRDefault="00F27D2B" w:rsidP="002D4A9B">
            <w:pPr>
              <w:spacing w:after="0"/>
              <w:rPr>
                <w:rFonts w:eastAsia="Times New Roman" w:cs="Times New Roman"/>
                <w:b/>
                <w:bCs/>
                <w:color w:val="000000"/>
                <w:sz w:val="22"/>
              </w:rPr>
            </w:pPr>
            <w:r w:rsidRPr="00581B8D">
              <w:rPr>
                <w:rFonts w:eastAsia="Times New Roman" w:cs="Times New Roman"/>
                <w:b/>
                <w:bCs/>
                <w:color w:val="000000"/>
                <w:sz w:val="22"/>
              </w:rPr>
              <w:t>P-Value</w:t>
            </w:r>
          </w:p>
        </w:tc>
      </w:tr>
      <w:tr w:rsidR="00F27D2B" w:rsidRPr="00581B8D" w14:paraId="43841AE4" w14:textId="77777777" w:rsidTr="00F27D2B">
        <w:trPr>
          <w:trHeight w:val="302"/>
        </w:trPr>
        <w:tc>
          <w:tcPr>
            <w:tcW w:w="5086" w:type="dxa"/>
            <w:tcBorders>
              <w:top w:val="nil"/>
              <w:left w:val="nil"/>
              <w:bottom w:val="nil"/>
              <w:right w:val="nil"/>
            </w:tcBorders>
            <w:shd w:val="clear" w:color="auto" w:fill="auto"/>
            <w:noWrap/>
            <w:vAlign w:val="bottom"/>
            <w:hideMark/>
          </w:tcPr>
          <w:p w14:paraId="41D0EE88" w14:textId="6D68B3EB" w:rsidR="00F27D2B" w:rsidRPr="00581B8D" w:rsidRDefault="00F27D2B" w:rsidP="002D4A9B">
            <w:pPr>
              <w:spacing w:after="0"/>
              <w:rPr>
                <w:rFonts w:eastAsia="Times New Roman" w:cs="Times New Roman"/>
                <w:color w:val="000000"/>
                <w:sz w:val="22"/>
              </w:rPr>
            </w:pPr>
            <w:r w:rsidRPr="00581B8D">
              <w:rPr>
                <w:rFonts w:eastAsia="Times New Roman" w:cs="Times New Roman"/>
                <w:color w:val="000000"/>
                <w:sz w:val="22"/>
              </w:rPr>
              <w:t>Female self-reported</w:t>
            </w:r>
          </w:p>
        </w:tc>
        <w:tc>
          <w:tcPr>
            <w:tcW w:w="1377" w:type="dxa"/>
            <w:tcBorders>
              <w:top w:val="nil"/>
              <w:left w:val="nil"/>
              <w:bottom w:val="nil"/>
              <w:right w:val="nil"/>
            </w:tcBorders>
            <w:shd w:val="clear" w:color="auto" w:fill="auto"/>
            <w:noWrap/>
            <w:vAlign w:val="bottom"/>
            <w:hideMark/>
          </w:tcPr>
          <w:p w14:paraId="075BBA77" w14:textId="77777777" w:rsidR="00F27D2B" w:rsidRPr="00581B8D" w:rsidRDefault="00F27D2B" w:rsidP="002D4A9B">
            <w:pPr>
              <w:spacing w:after="0"/>
              <w:jc w:val="right"/>
              <w:rPr>
                <w:rFonts w:eastAsia="Times New Roman" w:cs="Times New Roman"/>
                <w:color w:val="000000"/>
                <w:sz w:val="22"/>
              </w:rPr>
            </w:pPr>
            <w:r w:rsidRPr="00581B8D">
              <w:rPr>
                <w:rFonts w:eastAsia="Times New Roman" w:cs="Times New Roman"/>
                <w:color w:val="000000"/>
                <w:sz w:val="22"/>
              </w:rPr>
              <w:t>-2.508</w:t>
            </w:r>
          </w:p>
        </w:tc>
        <w:tc>
          <w:tcPr>
            <w:tcW w:w="1377" w:type="dxa"/>
            <w:tcBorders>
              <w:top w:val="nil"/>
              <w:left w:val="nil"/>
              <w:bottom w:val="nil"/>
              <w:right w:val="nil"/>
            </w:tcBorders>
            <w:shd w:val="clear" w:color="auto" w:fill="auto"/>
            <w:noWrap/>
            <w:vAlign w:val="bottom"/>
            <w:hideMark/>
          </w:tcPr>
          <w:p w14:paraId="650D1FA6" w14:textId="77777777" w:rsidR="00F27D2B" w:rsidRPr="00581B8D" w:rsidRDefault="00F27D2B" w:rsidP="002D4A9B">
            <w:pPr>
              <w:spacing w:after="0"/>
              <w:jc w:val="right"/>
              <w:rPr>
                <w:rFonts w:eastAsia="Times New Roman" w:cs="Times New Roman"/>
                <w:color w:val="000000"/>
                <w:sz w:val="22"/>
              </w:rPr>
            </w:pPr>
            <w:r w:rsidRPr="00581B8D">
              <w:rPr>
                <w:rFonts w:eastAsia="Times New Roman" w:cs="Times New Roman"/>
                <w:color w:val="000000"/>
                <w:sz w:val="22"/>
              </w:rPr>
              <w:t>0.012</w:t>
            </w:r>
          </w:p>
        </w:tc>
      </w:tr>
      <w:tr w:rsidR="00F27D2B" w:rsidRPr="00581B8D" w14:paraId="507DDA65" w14:textId="77777777" w:rsidTr="00F27D2B">
        <w:trPr>
          <w:trHeight w:val="302"/>
        </w:trPr>
        <w:tc>
          <w:tcPr>
            <w:tcW w:w="5086" w:type="dxa"/>
            <w:tcBorders>
              <w:top w:val="nil"/>
              <w:left w:val="nil"/>
              <w:bottom w:val="nil"/>
              <w:right w:val="nil"/>
            </w:tcBorders>
            <w:shd w:val="clear" w:color="auto" w:fill="auto"/>
            <w:noWrap/>
            <w:vAlign w:val="bottom"/>
            <w:hideMark/>
          </w:tcPr>
          <w:p w14:paraId="3E0872C5" w14:textId="5FE2508D" w:rsidR="00F27D2B" w:rsidRPr="00581B8D" w:rsidRDefault="00F27D2B" w:rsidP="002D4A9B">
            <w:pPr>
              <w:spacing w:after="0"/>
              <w:rPr>
                <w:rFonts w:eastAsia="Times New Roman" w:cs="Times New Roman"/>
                <w:color w:val="000000"/>
                <w:sz w:val="22"/>
              </w:rPr>
            </w:pPr>
            <w:r w:rsidRPr="00581B8D">
              <w:rPr>
                <w:rFonts w:eastAsia="Times New Roman" w:cs="Times New Roman"/>
                <w:color w:val="000000"/>
                <w:sz w:val="22"/>
              </w:rPr>
              <w:t>Male self-reported</w:t>
            </w:r>
          </w:p>
        </w:tc>
        <w:tc>
          <w:tcPr>
            <w:tcW w:w="1377" w:type="dxa"/>
            <w:tcBorders>
              <w:top w:val="nil"/>
              <w:left w:val="nil"/>
              <w:bottom w:val="nil"/>
              <w:right w:val="nil"/>
            </w:tcBorders>
            <w:shd w:val="clear" w:color="auto" w:fill="auto"/>
            <w:noWrap/>
            <w:vAlign w:val="bottom"/>
            <w:hideMark/>
          </w:tcPr>
          <w:p w14:paraId="6527D684" w14:textId="77777777" w:rsidR="00F27D2B" w:rsidRPr="00581B8D" w:rsidRDefault="00F27D2B" w:rsidP="002D4A9B">
            <w:pPr>
              <w:spacing w:after="0"/>
              <w:jc w:val="right"/>
              <w:rPr>
                <w:rFonts w:eastAsia="Times New Roman" w:cs="Times New Roman"/>
                <w:color w:val="000000"/>
                <w:sz w:val="22"/>
              </w:rPr>
            </w:pPr>
            <w:r w:rsidRPr="00581B8D">
              <w:rPr>
                <w:rFonts w:eastAsia="Times New Roman" w:cs="Times New Roman"/>
                <w:color w:val="000000"/>
                <w:sz w:val="22"/>
              </w:rPr>
              <w:t>-0.870</w:t>
            </w:r>
          </w:p>
        </w:tc>
        <w:tc>
          <w:tcPr>
            <w:tcW w:w="1377" w:type="dxa"/>
            <w:tcBorders>
              <w:top w:val="nil"/>
              <w:left w:val="nil"/>
              <w:bottom w:val="nil"/>
              <w:right w:val="nil"/>
            </w:tcBorders>
            <w:shd w:val="clear" w:color="auto" w:fill="auto"/>
            <w:noWrap/>
            <w:vAlign w:val="bottom"/>
            <w:hideMark/>
          </w:tcPr>
          <w:p w14:paraId="445D75D2" w14:textId="77777777" w:rsidR="00F27D2B" w:rsidRPr="00581B8D" w:rsidRDefault="00F27D2B" w:rsidP="002D4A9B">
            <w:pPr>
              <w:spacing w:after="0"/>
              <w:jc w:val="right"/>
              <w:rPr>
                <w:rFonts w:eastAsia="Times New Roman" w:cs="Times New Roman"/>
                <w:color w:val="000000"/>
                <w:sz w:val="22"/>
              </w:rPr>
            </w:pPr>
            <w:r w:rsidRPr="00581B8D">
              <w:rPr>
                <w:rFonts w:eastAsia="Times New Roman" w:cs="Times New Roman"/>
                <w:color w:val="000000"/>
                <w:sz w:val="22"/>
              </w:rPr>
              <w:t>0.384</w:t>
            </w:r>
          </w:p>
        </w:tc>
      </w:tr>
      <w:tr w:rsidR="00F27D2B" w:rsidRPr="00581B8D" w14:paraId="06918E70" w14:textId="77777777" w:rsidTr="00F27D2B">
        <w:trPr>
          <w:trHeight w:val="302"/>
        </w:trPr>
        <w:tc>
          <w:tcPr>
            <w:tcW w:w="5086" w:type="dxa"/>
            <w:tcBorders>
              <w:top w:val="nil"/>
              <w:left w:val="nil"/>
              <w:bottom w:val="single" w:sz="4" w:space="0" w:color="auto"/>
              <w:right w:val="nil"/>
            </w:tcBorders>
            <w:shd w:val="clear" w:color="auto" w:fill="auto"/>
            <w:noWrap/>
            <w:vAlign w:val="bottom"/>
            <w:hideMark/>
          </w:tcPr>
          <w:p w14:paraId="07303E1F" w14:textId="109808E9" w:rsidR="00F27D2B" w:rsidRPr="00581B8D" w:rsidRDefault="00F27D2B" w:rsidP="002D4A9B">
            <w:pPr>
              <w:spacing w:after="0"/>
              <w:rPr>
                <w:rFonts w:eastAsia="Times New Roman" w:cs="Times New Roman"/>
                <w:color w:val="000000"/>
                <w:sz w:val="22"/>
              </w:rPr>
            </w:pPr>
            <w:r w:rsidRPr="00581B8D">
              <w:rPr>
                <w:rFonts w:eastAsia="Times New Roman" w:cs="Times New Roman"/>
                <w:color w:val="000000"/>
                <w:sz w:val="22"/>
              </w:rPr>
              <w:t>Female self-reported (Household head)</w:t>
            </w:r>
          </w:p>
        </w:tc>
        <w:tc>
          <w:tcPr>
            <w:tcW w:w="1377" w:type="dxa"/>
            <w:tcBorders>
              <w:top w:val="nil"/>
              <w:left w:val="nil"/>
              <w:bottom w:val="single" w:sz="4" w:space="0" w:color="auto"/>
              <w:right w:val="nil"/>
            </w:tcBorders>
            <w:shd w:val="clear" w:color="auto" w:fill="auto"/>
            <w:noWrap/>
            <w:vAlign w:val="bottom"/>
            <w:hideMark/>
          </w:tcPr>
          <w:p w14:paraId="60CBCE2D" w14:textId="77777777" w:rsidR="00F27D2B" w:rsidRPr="00581B8D" w:rsidRDefault="00F27D2B" w:rsidP="002D4A9B">
            <w:pPr>
              <w:spacing w:after="0"/>
              <w:jc w:val="right"/>
              <w:rPr>
                <w:rFonts w:eastAsia="Times New Roman" w:cs="Times New Roman"/>
                <w:color w:val="000000"/>
                <w:sz w:val="22"/>
              </w:rPr>
            </w:pPr>
            <w:r w:rsidRPr="00581B8D">
              <w:rPr>
                <w:rFonts w:eastAsia="Times New Roman" w:cs="Times New Roman"/>
                <w:color w:val="000000"/>
                <w:sz w:val="22"/>
              </w:rPr>
              <w:t>-0.433</w:t>
            </w:r>
          </w:p>
        </w:tc>
        <w:tc>
          <w:tcPr>
            <w:tcW w:w="1377" w:type="dxa"/>
            <w:tcBorders>
              <w:top w:val="nil"/>
              <w:left w:val="nil"/>
              <w:bottom w:val="single" w:sz="4" w:space="0" w:color="auto"/>
              <w:right w:val="nil"/>
            </w:tcBorders>
            <w:shd w:val="clear" w:color="auto" w:fill="auto"/>
            <w:noWrap/>
            <w:vAlign w:val="bottom"/>
            <w:hideMark/>
          </w:tcPr>
          <w:p w14:paraId="05B186EB" w14:textId="77777777" w:rsidR="00F27D2B" w:rsidRPr="00581B8D" w:rsidRDefault="00F27D2B" w:rsidP="002D4A9B">
            <w:pPr>
              <w:spacing w:after="0"/>
              <w:jc w:val="right"/>
              <w:rPr>
                <w:rFonts w:eastAsia="Times New Roman" w:cs="Times New Roman"/>
                <w:color w:val="000000"/>
                <w:sz w:val="22"/>
              </w:rPr>
            </w:pPr>
            <w:r w:rsidRPr="00581B8D">
              <w:rPr>
                <w:rFonts w:eastAsia="Times New Roman" w:cs="Times New Roman"/>
                <w:color w:val="000000"/>
                <w:sz w:val="22"/>
              </w:rPr>
              <w:t>0.673</w:t>
            </w:r>
          </w:p>
        </w:tc>
      </w:tr>
    </w:tbl>
    <w:p w14:paraId="1070ECF4" w14:textId="382580B6" w:rsidR="00491E53" w:rsidRDefault="00F27D2B" w:rsidP="007A2438">
      <w:pPr>
        <w:rPr>
          <w:sz w:val="20"/>
          <w:szCs w:val="18"/>
        </w:rPr>
      </w:pPr>
      <w:r w:rsidRPr="00491E53">
        <w:rPr>
          <w:sz w:val="20"/>
          <w:szCs w:val="18"/>
        </w:rPr>
        <w:t xml:space="preserve">Note: </w:t>
      </w:r>
      <w:r w:rsidR="00491E53" w:rsidRPr="00491E53">
        <w:rPr>
          <w:sz w:val="20"/>
          <w:szCs w:val="18"/>
        </w:rPr>
        <w:t xml:space="preserve"> The paired t-test was conducted to compare the self-reported household ICV adoption among women with the corresponding DNA fingerprinting test results. The test results were summarized in the first row. Likewise, the middle row of the table presents a summary of the test statistics for men, where self-reported household ICV </w:t>
      </w:r>
      <w:r w:rsidR="00491E53" w:rsidRPr="00491E53">
        <w:rPr>
          <w:sz w:val="20"/>
          <w:szCs w:val="18"/>
        </w:rPr>
        <w:lastRenderedPageBreak/>
        <w:t>adoption was compared to the household's DNA test results. The final row pertains to a distinct dataset, comprising households in which wives identified themselves as the household heads, and it examines the concordance between their self-reported ICV adoption and the household's DNA test results.</w:t>
      </w:r>
    </w:p>
    <w:p w14:paraId="303FCB55" w14:textId="77777777" w:rsidR="005F016F" w:rsidRDefault="005F016F" w:rsidP="007A2438">
      <w:pPr>
        <w:rPr>
          <w:sz w:val="20"/>
          <w:szCs w:val="18"/>
        </w:rPr>
      </w:pPr>
    </w:p>
    <w:p w14:paraId="3B2400A1" w14:textId="4B7A2A24" w:rsidR="005F016F" w:rsidRPr="005F016F" w:rsidRDefault="005F016F" w:rsidP="005F016F">
      <w:r w:rsidRPr="005F016F">
        <w:t xml:space="preserve">As </w:t>
      </w:r>
      <w:r w:rsidR="00FB5F8D">
        <w:t>outlined</w:t>
      </w:r>
      <w:r w:rsidRPr="005F016F">
        <w:t xml:space="preserve"> in eq. (7), </w:t>
      </w:r>
      <w:r w:rsidR="00FB5F8D" w:rsidRPr="00FB5F8D">
        <w:t>there is a potential for attenuation in the estimates due to the presence of false negatives. Table 1 presents a summary of the regression results derived from the probit model, which analyzes male and female self-reported data independently. It is observed that the estimates obtained from the female self-reported data consistently exhibit smaller magnitudes in comparison to those derived from the male cohort.</w:t>
      </w:r>
    </w:p>
    <w:p w14:paraId="2997A297" w14:textId="77777777" w:rsidR="005F016F" w:rsidRDefault="005F016F" w:rsidP="008274F4"/>
    <w:p w14:paraId="3622A672" w14:textId="4737251D" w:rsidR="005F016F" w:rsidRDefault="005F016F" w:rsidP="005F016F">
      <w:pPr>
        <w:pStyle w:val="table"/>
      </w:pPr>
      <w:r>
        <w:lastRenderedPageBreak/>
        <w:t>Table 1. Regression results (Probit model)</w:t>
      </w:r>
    </w:p>
    <w:p w14:paraId="6A5837B5" w14:textId="77777777" w:rsidR="005F016F" w:rsidRDefault="005F016F" w:rsidP="005F016F">
      <w:r>
        <w:rPr>
          <w:noProof/>
        </w:rPr>
        <w:drawing>
          <wp:inline distT="0" distB="0" distL="0" distR="0" wp14:anchorId="53A70F2E" wp14:editId="4AFE2809">
            <wp:extent cx="5943600" cy="5593715"/>
            <wp:effectExtent l="0" t="0" r="0" b="6985"/>
            <wp:docPr id="187461008" name="Picture 1" descr="A table of numbers and symbol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61008" name="Picture 1" descr="A table of numbers and symbols&#10;&#10;Description automatically generated with medium confidence"/>
                    <pic:cNvPicPr/>
                  </pic:nvPicPr>
                  <pic:blipFill>
                    <a:blip r:embed="rId67"/>
                    <a:stretch>
                      <a:fillRect/>
                    </a:stretch>
                  </pic:blipFill>
                  <pic:spPr>
                    <a:xfrm>
                      <a:off x="0" y="0"/>
                      <a:ext cx="5943600" cy="5593715"/>
                    </a:xfrm>
                    <a:prstGeom prst="rect">
                      <a:avLst/>
                    </a:prstGeom>
                  </pic:spPr>
                </pic:pic>
              </a:graphicData>
            </a:graphic>
          </wp:inline>
        </w:drawing>
      </w:r>
    </w:p>
    <w:p w14:paraId="555E01DB" w14:textId="77777777" w:rsidR="005F016F" w:rsidRPr="00833144" w:rsidRDefault="005F016F" w:rsidP="005F016F">
      <w:pPr>
        <w:pStyle w:val="Note"/>
      </w:pPr>
      <w:r w:rsidRPr="00833144">
        <w:t xml:space="preserve">Note: 1. The dependent variable is the self-reported ICV adoption. The </w:t>
      </w:r>
      <w:r w:rsidRPr="00833144">
        <w:rPr>
          <w:i/>
          <w:iCs/>
        </w:rPr>
        <w:t xml:space="preserve">MaleReport </w:t>
      </w:r>
      <w:r w:rsidRPr="00833144">
        <w:rPr>
          <w:u w:val="single"/>
        </w:rPr>
        <w:t xml:space="preserve">and </w:t>
      </w:r>
      <w:r w:rsidRPr="00833144">
        <w:rPr>
          <w:i/>
          <w:iCs/>
        </w:rPr>
        <w:t xml:space="preserve">FemaleReport </w:t>
      </w:r>
      <w:r w:rsidRPr="00833144">
        <w:t xml:space="preserve">column summarizes the results based on the male and female self-reported data, respectively.  </w:t>
      </w:r>
    </w:p>
    <w:p w14:paraId="127A0601" w14:textId="77777777" w:rsidR="005F016F" w:rsidRPr="00833144" w:rsidRDefault="005F016F" w:rsidP="005F016F">
      <w:pPr>
        <w:pStyle w:val="Note"/>
      </w:pPr>
      <w:r w:rsidRPr="00833144">
        <w:t xml:space="preserve">2. Single, double, and triple asterisks (*, **, ***) indicate statistical significance at the 10%, 5%, and 1% level. </w:t>
      </w:r>
    </w:p>
    <w:p w14:paraId="6E4506DD" w14:textId="77777777" w:rsidR="005F016F" w:rsidRPr="00833144" w:rsidRDefault="005F016F" w:rsidP="005F016F">
      <w:pPr>
        <w:pStyle w:val="Note"/>
      </w:pPr>
      <w:r w:rsidRPr="00833144">
        <w:t xml:space="preserve">3. Standard errors are clustered by zone. </w:t>
      </w:r>
    </w:p>
    <w:p w14:paraId="69253675" w14:textId="77777777" w:rsidR="005F016F" w:rsidRDefault="005F016F" w:rsidP="005F016F">
      <w:pPr>
        <w:pStyle w:val="Note"/>
      </w:pPr>
      <w:r w:rsidRPr="00833144">
        <w:t xml:space="preserve">4. The model is estimated by using the </w:t>
      </w:r>
      <w:r w:rsidRPr="00833144">
        <w:rPr>
          <w:i/>
          <w:iCs/>
        </w:rPr>
        <w:t>statsmodels</w:t>
      </w:r>
      <w:r w:rsidRPr="00833144">
        <w:t xml:space="preserve"> library in Python. </w:t>
      </w:r>
    </w:p>
    <w:p w14:paraId="0A831980" w14:textId="05D14F6E" w:rsidR="005F016F" w:rsidRDefault="005F016F" w:rsidP="005F016F">
      <w:pPr>
        <w:pStyle w:val="Note"/>
      </w:pPr>
      <w:r>
        <w:t xml:space="preserve">5. The different number of observations </w:t>
      </w:r>
      <w:r w:rsidR="002A067E">
        <w:t>(</w:t>
      </w:r>
      <w:r w:rsidR="002A067E" w:rsidRPr="002A067E">
        <w:rPr>
          <w:i/>
          <w:iCs/>
        </w:rPr>
        <w:t>N</w:t>
      </w:r>
      <w:r w:rsidR="002A067E">
        <w:t xml:space="preserve">) </w:t>
      </w:r>
      <w:r w:rsidR="00611F53">
        <w:t>between</w:t>
      </w:r>
      <w:r>
        <w:t xml:space="preserve"> the two groups was due to the missing values in each group. </w:t>
      </w:r>
    </w:p>
    <w:p w14:paraId="37C88177" w14:textId="77777777" w:rsidR="008274F4" w:rsidRPr="00833144" w:rsidRDefault="008274F4" w:rsidP="005F016F">
      <w:pPr>
        <w:pStyle w:val="Note"/>
      </w:pPr>
    </w:p>
    <w:p w14:paraId="443CF41E" w14:textId="77777777" w:rsidR="0047790F" w:rsidRDefault="0047790F" w:rsidP="0047790F">
      <w:r w:rsidRPr="0026262C">
        <w:lastRenderedPageBreak/>
        <w:t xml:space="preserve">It is noteworthy that, despite the statistical discrepancy between the </w:t>
      </w:r>
      <w:r>
        <w:t>female</w:t>
      </w:r>
      <w:r w:rsidRPr="0026262C">
        <w:t xml:space="preserve"> self-reported data and the DNA testing results (referenced in Table 1), the </w:t>
      </w:r>
      <w:r>
        <w:t>test results positioning a</w:t>
      </w:r>
      <w:r w:rsidRPr="0026262C">
        <w:t xml:space="preserve"> consistency between </w:t>
      </w:r>
      <w:r>
        <w:t xml:space="preserve">the self-reported data from female who identified themselves as household heads and the DNA testing results. An additional observation is that only about 2% of females identified themselves as household heads in the dataset. </w:t>
      </w:r>
      <w:r w:rsidRPr="0026262C">
        <w:t>Notably, household heads of both genders exhibited accurate classifications in their ICV adoption. This pattern implies that male farmers are predominantly the decision-makers in these households. Consequently, women farmers who do not assume the role of household head may have limited insight into household affairs. On the contrary, wives who consider themselves household heads appear to possess more comprehensive knowledge and engage more actively in household decision-making processes.</w:t>
      </w:r>
    </w:p>
    <w:p w14:paraId="56E71B79" w14:textId="032AF381" w:rsidR="0047790F" w:rsidRDefault="0047790F" w:rsidP="0047790F">
      <w:r>
        <w:t>Next, we aim to analyze the gender disparities in technology adoption.</w:t>
      </w:r>
      <w:r w:rsidR="008A1C80">
        <w:t xml:space="preserve"> Based on the findings discussed above, as women farmers may not aware the correct technology adoption information of the households, f</w:t>
      </w:r>
      <w:r w:rsidRPr="0047790F">
        <w:t xml:space="preserve">or this </w:t>
      </w:r>
      <w:r w:rsidR="008A1C80">
        <w:t>decomposition</w:t>
      </w:r>
      <w:r w:rsidRPr="0047790F">
        <w:t xml:space="preserve"> analysis, we opt for plot-level data </w:t>
      </w:r>
      <w:r w:rsidR="008A1C80">
        <w:t xml:space="preserve">with the assumption that women farmers serve as the household head roles for the plots that they separately managed. The dependent variable in the decomposition analysis is the ICV adoption in the plots that managed by husbands and wives separately. The DNA fingerprinting test results are not applied in this gender decomposition analysis as the </w:t>
      </w:r>
      <w:r w:rsidRPr="0047790F">
        <w:t>DNA test</w:t>
      </w:r>
      <w:r w:rsidR="004219A8">
        <w:t xml:space="preserve">s </w:t>
      </w:r>
      <w:r w:rsidRPr="0047790F">
        <w:t>assess</w:t>
      </w:r>
      <w:r w:rsidR="004219A8">
        <w:t xml:space="preserve">ed </w:t>
      </w:r>
      <w:r w:rsidRPr="0047790F">
        <w:t>household-level adoption, which does not distinguish between male and female behaviors.</w:t>
      </w:r>
      <w:r w:rsidR="008A1C80">
        <w:t xml:space="preserve"> </w:t>
      </w:r>
      <w:r w:rsidRPr="0047790F">
        <w:t xml:space="preserve">Since merely 2% of females in </w:t>
      </w:r>
      <w:r w:rsidR="004219A8">
        <w:t>the</w:t>
      </w:r>
      <w:r w:rsidRPr="0047790F">
        <w:t xml:space="preserve"> sample self-identified as household heads, reliance on</w:t>
      </w:r>
      <w:r w:rsidR="004219A8">
        <w:t xml:space="preserve"> household heads </w:t>
      </w:r>
      <w:r w:rsidRPr="0047790F">
        <w:t xml:space="preserve">would lead to a gender imbalance in the dataset. To </w:t>
      </w:r>
      <w:bookmarkStart w:id="2" w:name="OLE_LINK1"/>
      <w:r w:rsidR="004219A8">
        <w:t>address</w:t>
      </w:r>
      <w:r w:rsidRPr="0047790F">
        <w:t xml:space="preserve"> </w:t>
      </w:r>
      <w:bookmarkEnd w:id="2"/>
      <w:r w:rsidRPr="0047790F">
        <w:t>the issue of measurement error and to analyze gender differences, our focus shifts to plot-level data</w:t>
      </w:r>
      <w:r w:rsidR="004219A8">
        <w:t xml:space="preserve"> in this</w:t>
      </w:r>
      <w:r w:rsidR="00252230">
        <w:t xml:space="preserve"> following</w:t>
      </w:r>
      <w:r w:rsidR="004219A8">
        <w:t xml:space="preserve"> empirical analysis</w:t>
      </w:r>
      <w:r w:rsidR="00252230">
        <w:t xml:space="preserve"> of gender inequality in technology adoption</w:t>
      </w:r>
      <w:r w:rsidRPr="0047790F">
        <w:t>. This approach allows for a distinct comparison of plots managed by females versus those managed by males, thereby offering a more nuanced understanding of gender-specific adoption patterns.</w:t>
      </w:r>
    </w:p>
    <w:p w14:paraId="17F184E1" w14:textId="0568D282" w:rsidR="00476F68" w:rsidRDefault="001424A8" w:rsidP="0047790F">
      <w:r>
        <w:t xml:space="preserve">Table </w:t>
      </w:r>
      <w:r w:rsidR="008A1C80">
        <w:t xml:space="preserve">2 </w:t>
      </w:r>
      <w:r w:rsidR="00476F68">
        <w:t>presents</w:t>
      </w:r>
      <w:r w:rsidR="008A1C80">
        <w:t xml:space="preserve"> the Blinder-Oaxaca decomposition results of the gender inequality in ICV adoption</w:t>
      </w:r>
      <w:r w:rsidR="00476F68">
        <w:t xml:space="preserve">. </w:t>
      </w:r>
      <w:r w:rsidR="00476F68" w:rsidRPr="00476F68">
        <w:t>Additionally, Figure 2 graphically depicts the breakdown of the endowments and coefficients components contributing to this gender inequality.</w:t>
      </w:r>
    </w:p>
    <w:p w14:paraId="76785B34" w14:textId="77777777" w:rsidR="00F12D44" w:rsidRDefault="00113D48" w:rsidP="0047790F">
      <w:r>
        <w:lastRenderedPageBreak/>
        <w:t>The adoption rate of ICV in se</w:t>
      </w:r>
      <w:r w:rsidR="00D30209">
        <w:t xml:space="preserve">parately </w:t>
      </w:r>
      <w:r>
        <w:t>managed plots is 0.09 and 0.32 for the female and male group, respectively</w:t>
      </w:r>
      <w:r>
        <w:rPr>
          <w:rStyle w:val="FootnoteReference"/>
        </w:rPr>
        <w:footnoteReference w:id="2"/>
      </w:r>
      <w:r w:rsidR="00D30209">
        <w:t xml:space="preserve">, </w:t>
      </w:r>
      <w:r w:rsidR="00D30209" w:rsidRPr="00D30209">
        <w:t>indicating a notable difference of 0.24 between the two groups</w:t>
      </w:r>
      <w:r w:rsidR="00E45C5C">
        <w:t xml:space="preserve">. </w:t>
      </w:r>
      <w:r w:rsidR="00ED4F52">
        <w:t>The results of the decomposition suggest that</w:t>
      </w:r>
      <w:r w:rsidR="0011760E">
        <w:t xml:space="preserve"> </w:t>
      </w:r>
      <w:r w:rsidR="00ED4F52">
        <w:t xml:space="preserve">the gender inequality was </w:t>
      </w:r>
      <w:r w:rsidR="00E45C5C">
        <w:t>primarily attributed</w:t>
      </w:r>
      <w:r w:rsidR="00ED4F52">
        <w:t xml:space="preserve"> to the differences in coefficients</w:t>
      </w:r>
      <w:r w:rsidR="0011760E">
        <w:t xml:space="preserve"> </w:t>
      </w:r>
      <w:r w:rsidR="00AF2278">
        <w:t>as the overall coefficient effect is 0.7, the endowment effect is 0.1</w:t>
      </w:r>
      <w:r w:rsidR="000E7574">
        <w:t>,</w:t>
      </w:r>
      <w:r w:rsidR="00AF2278">
        <w:t xml:space="preserve"> and the interaction effect is 0.1 </w:t>
      </w:r>
      <w:r w:rsidR="0011760E">
        <w:t>(</w:t>
      </w:r>
      <w:r w:rsidR="00E45C5C">
        <w:t xml:space="preserve">detailed in </w:t>
      </w:r>
      <w:r w:rsidR="0011760E">
        <w:t>Table 2)</w:t>
      </w:r>
      <w:r w:rsidR="00ED4F52">
        <w:t>.</w:t>
      </w:r>
      <w:r w:rsidR="00FC72BB">
        <w:t xml:space="preserve"> </w:t>
      </w:r>
    </w:p>
    <w:p w14:paraId="3064D82D" w14:textId="0021526A" w:rsidR="00237C20" w:rsidRDefault="00FC72BB" w:rsidP="0047790F">
      <w:r>
        <w:t xml:space="preserve">Notably, </w:t>
      </w:r>
      <w:r w:rsidR="00211A59">
        <w:t xml:space="preserve">the breakdown of endowment effects </w:t>
      </w:r>
      <w:r w:rsidR="00DD008C" w:rsidRPr="00DD008C">
        <w:t xml:space="preserve">illustrate </w:t>
      </w:r>
      <w:r>
        <w:t>that women farmers have limited access to extension services compared to men farmers</w:t>
      </w:r>
      <w:r w:rsidR="00211A59">
        <w:t xml:space="preserve"> (Table 2 and Figure 2)</w:t>
      </w:r>
      <w:r>
        <w:t xml:space="preserve">. </w:t>
      </w:r>
      <w:r w:rsidR="00403028" w:rsidRPr="00403028">
        <w:t>This disparity could stem from potential discrimination by extension services</w:t>
      </w:r>
      <w:r w:rsidR="00F6537C">
        <w:t xml:space="preserve"> which are</w:t>
      </w:r>
      <w:r w:rsidR="00F6537C" w:rsidRPr="00F6537C">
        <w:t xml:space="preserve"> more male-oriented, potentially creating barriers to access or relevance for female farmers.</w:t>
      </w:r>
      <w:r w:rsidR="00F6537C">
        <w:t xml:space="preserve"> I</w:t>
      </w:r>
      <w:r w:rsidR="00403028" w:rsidRPr="00403028">
        <w:t>t may be that women farmers are less proactive in seeking out these services. This trend could be linked to their relatively passive role in households where they are not the household heads, further impacting their access to and utilization of these services.</w:t>
      </w:r>
      <w:r w:rsidR="00237C20">
        <w:t xml:space="preserve"> </w:t>
      </w:r>
    </w:p>
    <w:p w14:paraId="5BE6996A" w14:textId="4159CE5C" w:rsidR="00F6537C" w:rsidRDefault="00F6537C" w:rsidP="0047790F">
      <w:r w:rsidRPr="00F6537C">
        <w:t xml:space="preserve">Both cooperative memberships and extension services demonstrate a </w:t>
      </w:r>
      <w:r w:rsidR="00712FE8">
        <w:t>diminished</w:t>
      </w:r>
      <w:r w:rsidRPr="00F6537C">
        <w:t xml:space="preserve"> impact on females compared to males</w:t>
      </w:r>
      <w:r>
        <w:t xml:space="preserve">, which </w:t>
      </w:r>
      <w:r w:rsidR="000F6715">
        <w:t>implies</w:t>
      </w:r>
      <w:r>
        <w:t xml:space="preserve"> that t</w:t>
      </w:r>
      <w:r w:rsidRPr="00F6537C">
        <w:t xml:space="preserve">he content and delivery of these services might not be tailored to the specific needs and circumstances of women farmers, further diminishing </w:t>
      </w:r>
      <w:r w:rsidR="000F6715">
        <w:t>the</w:t>
      </w:r>
      <w:r w:rsidRPr="00F6537C">
        <w:t xml:space="preserve"> effectiveness</w:t>
      </w:r>
      <w:r w:rsidR="000F6715">
        <w:t xml:space="preserve"> of services. </w:t>
      </w:r>
      <w:r w:rsidR="00153B91" w:rsidRPr="00153B91">
        <w:t>Furthermore, this gender gap in service impact highlights the need for a more inclusive approach in agricultural policy and program design. Policies and interventions that recognize and address these gender-specific barriers can enhance the effectiveness of services for female farmers. Initiatives could include targeted outreach programs, gender-sensitive training materials, and the involvement of women in the planning and implementation of agricultural services. By adopting strategies that are more attuned to the needs of women, there is potential to not only improve the impact of cooperative memberships and extension services on female farmers but also to promote greater gender equality in agricultural productivity and development.</w:t>
      </w:r>
    </w:p>
    <w:p w14:paraId="64ED2829" w14:textId="3239B355" w:rsidR="002A152B" w:rsidRDefault="00F6537C" w:rsidP="00B75A30">
      <w:pPr>
        <w:pStyle w:val="table"/>
        <w:rPr>
          <w:noProof/>
        </w:rPr>
      </w:pPr>
      <w:r>
        <w:lastRenderedPageBreak/>
        <w:t xml:space="preserve"> </w:t>
      </w:r>
      <w:r w:rsidR="001424A8">
        <w:t>Table 2. The Blinder-Oaxaca decomposition results of the gender inequality</w:t>
      </w:r>
      <w:r w:rsidR="00996A8F" w:rsidRPr="00996A8F">
        <w:rPr>
          <w:noProof/>
        </w:rPr>
        <w:t xml:space="preserve"> </w:t>
      </w:r>
    </w:p>
    <w:p w14:paraId="7662F12D" w14:textId="77777777" w:rsidR="00CE5054" w:rsidRDefault="00CE5054" w:rsidP="00FC72BB">
      <w:pPr>
        <w:rPr>
          <w:noProof/>
        </w:rPr>
      </w:pPr>
    </w:p>
    <w:tbl>
      <w:tblPr>
        <w:tblpPr w:leftFromText="180" w:rightFromText="180" w:vertAnchor="text" w:horzAnchor="margin" w:tblpY="-46"/>
        <w:tblW w:w="9360" w:type="dxa"/>
        <w:tblBorders>
          <w:top w:val="single" w:sz="4" w:space="0" w:color="auto"/>
          <w:bottom w:val="single" w:sz="4" w:space="0" w:color="auto"/>
        </w:tblBorders>
        <w:tblLook w:val="04A0" w:firstRow="1" w:lastRow="0" w:firstColumn="1" w:lastColumn="0" w:noHBand="0" w:noVBand="1"/>
      </w:tblPr>
      <w:tblGrid>
        <w:gridCol w:w="1729"/>
        <w:gridCol w:w="1549"/>
        <w:gridCol w:w="1650"/>
        <w:gridCol w:w="1470"/>
        <w:gridCol w:w="1572"/>
        <w:gridCol w:w="1390"/>
      </w:tblGrid>
      <w:tr w:rsidR="00CE5054" w:rsidRPr="002A152B" w14:paraId="4C5DCBC0" w14:textId="77777777" w:rsidTr="00CE5054">
        <w:trPr>
          <w:trHeight w:val="300"/>
        </w:trPr>
        <w:tc>
          <w:tcPr>
            <w:tcW w:w="1729" w:type="dxa"/>
            <w:tcBorders>
              <w:top w:val="single" w:sz="4" w:space="0" w:color="auto"/>
              <w:bottom w:val="single" w:sz="4" w:space="0" w:color="auto"/>
            </w:tcBorders>
            <w:shd w:val="clear" w:color="auto" w:fill="auto"/>
            <w:noWrap/>
            <w:hideMark/>
          </w:tcPr>
          <w:p w14:paraId="01789C74" w14:textId="77777777" w:rsidR="00CE5054" w:rsidRPr="002A152B" w:rsidRDefault="00CE5054" w:rsidP="00CE5054">
            <w:pPr>
              <w:spacing w:after="0" w:line="240" w:lineRule="auto"/>
              <w:jc w:val="center"/>
              <w:rPr>
                <w:rFonts w:ascii="Calibri" w:eastAsia="Times New Roman" w:hAnsi="Calibri" w:cs="Calibri"/>
                <w:color w:val="000000"/>
                <w:sz w:val="22"/>
              </w:rPr>
            </w:pPr>
            <w:r w:rsidRPr="00ED5620">
              <w:t>coef(endowments)</w:t>
            </w:r>
          </w:p>
        </w:tc>
        <w:tc>
          <w:tcPr>
            <w:tcW w:w="1549" w:type="dxa"/>
            <w:tcBorders>
              <w:top w:val="single" w:sz="4" w:space="0" w:color="auto"/>
              <w:bottom w:val="single" w:sz="4" w:space="0" w:color="auto"/>
            </w:tcBorders>
            <w:shd w:val="clear" w:color="auto" w:fill="auto"/>
            <w:noWrap/>
            <w:hideMark/>
          </w:tcPr>
          <w:p w14:paraId="0B16CE35" w14:textId="77777777" w:rsidR="00CE5054" w:rsidRPr="002A152B" w:rsidRDefault="00CE5054" w:rsidP="00CE5054">
            <w:pPr>
              <w:spacing w:after="0" w:line="240" w:lineRule="auto"/>
              <w:jc w:val="center"/>
              <w:rPr>
                <w:rFonts w:ascii="Calibri" w:eastAsia="Times New Roman" w:hAnsi="Calibri" w:cs="Calibri"/>
                <w:color w:val="000000"/>
                <w:sz w:val="22"/>
              </w:rPr>
            </w:pPr>
            <w:r w:rsidRPr="00ED5620">
              <w:t>se(endowments)</w:t>
            </w:r>
          </w:p>
        </w:tc>
        <w:tc>
          <w:tcPr>
            <w:tcW w:w="1650" w:type="dxa"/>
            <w:tcBorders>
              <w:top w:val="single" w:sz="4" w:space="0" w:color="auto"/>
              <w:bottom w:val="single" w:sz="4" w:space="0" w:color="auto"/>
            </w:tcBorders>
            <w:shd w:val="clear" w:color="auto" w:fill="auto"/>
            <w:noWrap/>
            <w:hideMark/>
          </w:tcPr>
          <w:p w14:paraId="04F18659" w14:textId="77777777" w:rsidR="00CE5054" w:rsidRPr="002A152B" w:rsidRDefault="00CE5054" w:rsidP="00CE5054">
            <w:pPr>
              <w:spacing w:after="0" w:line="240" w:lineRule="auto"/>
              <w:jc w:val="center"/>
              <w:rPr>
                <w:rFonts w:ascii="Calibri" w:eastAsia="Times New Roman" w:hAnsi="Calibri" w:cs="Calibri"/>
                <w:color w:val="000000"/>
                <w:sz w:val="22"/>
              </w:rPr>
            </w:pPr>
            <w:r w:rsidRPr="00ED5620">
              <w:t>coef(coefficients)</w:t>
            </w:r>
          </w:p>
        </w:tc>
        <w:tc>
          <w:tcPr>
            <w:tcW w:w="1470" w:type="dxa"/>
            <w:tcBorders>
              <w:top w:val="single" w:sz="4" w:space="0" w:color="auto"/>
              <w:bottom w:val="single" w:sz="4" w:space="0" w:color="auto"/>
            </w:tcBorders>
            <w:shd w:val="clear" w:color="auto" w:fill="auto"/>
            <w:noWrap/>
            <w:hideMark/>
          </w:tcPr>
          <w:p w14:paraId="40BBC110" w14:textId="77777777" w:rsidR="00CE5054" w:rsidRPr="002A152B" w:rsidRDefault="00CE5054" w:rsidP="00CE5054">
            <w:pPr>
              <w:spacing w:after="0" w:line="240" w:lineRule="auto"/>
              <w:jc w:val="center"/>
              <w:rPr>
                <w:rFonts w:ascii="Calibri" w:eastAsia="Times New Roman" w:hAnsi="Calibri" w:cs="Calibri"/>
                <w:color w:val="000000"/>
                <w:sz w:val="22"/>
              </w:rPr>
            </w:pPr>
            <w:r w:rsidRPr="00ED5620">
              <w:t>se(coefficients)</w:t>
            </w:r>
          </w:p>
        </w:tc>
        <w:tc>
          <w:tcPr>
            <w:tcW w:w="1572" w:type="dxa"/>
            <w:tcBorders>
              <w:top w:val="single" w:sz="4" w:space="0" w:color="auto"/>
              <w:bottom w:val="single" w:sz="4" w:space="0" w:color="auto"/>
            </w:tcBorders>
            <w:shd w:val="clear" w:color="auto" w:fill="auto"/>
            <w:noWrap/>
            <w:hideMark/>
          </w:tcPr>
          <w:p w14:paraId="7DEA51E5" w14:textId="77777777" w:rsidR="00CE5054" w:rsidRPr="002A152B" w:rsidRDefault="00CE5054" w:rsidP="00CE5054">
            <w:pPr>
              <w:spacing w:after="0" w:line="240" w:lineRule="auto"/>
              <w:jc w:val="center"/>
              <w:rPr>
                <w:rFonts w:ascii="Calibri" w:eastAsia="Times New Roman" w:hAnsi="Calibri" w:cs="Calibri"/>
                <w:color w:val="000000"/>
                <w:sz w:val="22"/>
              </w:rPr>
            </w:pPr>
            <w:r w:rsidRPr="00ED5620">
              <w:t>coef(interaction)</w:t>
            </w:r>
          </w:p>
        </w:tc>
        <w:tc>
          <w:tcPr>
            <w:tcW w:w="1390" w:type="dxa"/>
            <w:tcBorders>
              <w:top w:val="single" w:sz="4" w:space="0" w:color="auto"/>
              <w:bottom w:val="single" w:sz="4" w:space="0" w:color="auto"/>
            </w:tcBorders>
            <w:shd w:val="clear" w:color="auto" w:fill="auto"/>
            <w:noWrap/>
            <w:hideMark/>
          </w:tcPr>
          <w:p w14:paraId="2154C6DD" w14:textId="77777777" w:rsidR="00CE5054" w:rsidRPr="002A152B" w:rsidRDefault="00CE5054" w:rsidP="00CE5054">
            <w:pPr>
              <w:spacing w:after="0" w:line="240" w:lineRule="auto"/>
              <w:jc w:val="center"/>
              <w:rPr>
                <w:rFonts w:ascii="Calibri" w:eastAsia="Times New Roman" w:hAnsi="Calibri" w:cs="Calibri"/>
                <w:color w:val="000000"/>
                <w:sz w:val="22"/>
              </w:rPr>
            </w:pPr>
            <w:r w:rsidRPr="00ED5620">
              <w:t>se(interaction)</w:t>
            </w:r>
          </w:p>
        </w:tc>
      </w:tr>
      <w:tr w:rsidR="00CE5054" w:rsidRPr="002A152B" w14:paraId="121FE8D8" w14:textId="77777777" w:rsidTr="00CE5054">
        <w:trPr>
          <w:trHeight w:val="300"/>
        </w:trPr>
        <w:tc>
          <w:tcPr>
            <w:tcW w:w="1729" w:type="dxa"/>
            <w:tcBorders>
              <w:top w:val="single" w:sz="4" w:space="0" w:color="auto"/>
            </w:tcBorders>
            <w:shd w:val="clear" w:color="auto" w:fill="auto"/>
            <w:noWrap/>
            <w:hideMark/>
          </w:tcPr>
          <w:p w14:paraId="455E58D2" w14:textId="77777777" w:rsidR="00CE5054" w:rsidRPr="002A152B" w:rsidRDefault="00CE5054" w:rsidP="00CE5054">
            <w:pPr>
              <w:spacing w:after="0" w:line="240" w:lineRule="auto"/>
              <w:jc w:val="center"/>
              <w:rPr>
                <w:rFonts w:ascii="Calibri" w:eastAsia="Times New Roman" w:hAnsi="Calibri" w:cs="Calibri"/>
                <w:color w:val="000000"/>
                <w:sz w:val="22"/>
              </w:rPr>
            </w:pPr>
            <w:r w:rsidRPr="00ED5620">
              <w:t>-0.052</w:t>
            </w:r>
          </w:p>
        </w:tc>
        <w:tc>
          <w:tcPr>
            <w:tcW w:w="1549" w:type="dxa"/>
            <w:tcBorders>
              <w:top w:val="single" w:sz="4" w:space="0" w:color="auto"/>
            </w:tcBorders>
            <w:shd w:val="clear" w:color="auto" w:fill="auto"/>
            <w:noWrap/>
            <w:hideMark/>
          </w:tcPr>
          <w:p w14:paraId="4F82427C" w14:textId="77777777" w:rsidR="00CE5054" w:rsidRPr="002A152B" w:rsidRDefault="00CE5054" w:rsidP="00CE5054">
            <w:pPr>
              <w:spacing w:after="0" w:line="240" w:lineRule="auto"/>
              <w:jc w:val="center"/>
              <w:rPr>
                <w:rFonts w:ascii="Calibri" w:eastAsia="Times New Roman" w:hAnsi="Calibri" w:cs="Calibri"/>
                <w:color w:val="000000"/>
                <w:sz w:val="22"/>
              </w:rPr>
            </w:pPr>
            <w:r w:rsidRPr="00ED5620">
              <w:t>0.071</w:t>
            </w:r>
          </w:p>
        </w:tc>
        <w:tc>
          <w:tcPr>
            <w:tcW w:w="1650" w:type="dxa"/>
            <w:tcBorders>
              <w:top w:val="single" w:sz="4" w:space="0" w:color="auto"/>
            </w:tcBorders>
            <w:shd w:val="clear" w:color="auto" w:fill="auto"/>
            <w:noWrap/>
            <w:hideMark/>
          </w:tcPr>
          <w:p w14:paraId="533D72DA" w14:textId="77777777" w:rsidR="00CE5054" w:rsidRPr="002A152B" w:rsidRDefault="00CE5054" w:rsidP="00CE5054">
            <w:pPr>
              <w:spacing w:after="0" w:line="240" w:lineRule="auto"/>
              <w:jc w:val="center"/>
              <w:rPr>
                <w:rFonts w:ascii="Calibri" w:eastAsia="Times New Roman" w:hAnsi="Calibri" w:cs="Calibri"/>
                <w:color w:val="000000"/>
                <w:sz w:val="22"/>
              </w:rPr>
            </w:pPr>
            <w:r w:rsidRPr="00ED5620">
              <w:t>-0.724</w:t>
            </w:r>
          </w:p>
        </w:tc>
        <w:tc>
          <w:tcPr>
            <w:tcW w:w="1470" w:type="dxa"/>
            <w:tcBorders>
              <w:top w:val="single" w:sz="4" w:space="0" w:color="auto"/>
            </w:tcBorders>
            <w:shd w:val="clear" w:color="auto" w:fill="auto"/>
            <w:noWrap/>
            <w:hideMark/>
          </w:tcPr>
          <w:p w14:paraId="776BECEF" w14:textId="77777777" w:rsidR="00CE5054" w:rsidRPr="002A152B" w:rsidRDefault="00CE5054" w:rsidP="00CE5054">
            <w:pPr>
              <w:spacing w:after="0" w:line="240" w:lineRule="auto"/>
              <w:jc w:val="center"/>
              <w:rPr>
                <w:rFonts w:ascii="Calibri" w:eastAsia="Times New Roman" w:hAnsi="Calibri" w:cs="Calibri"/>
                <w:color w:val="000000"/>
                <w:sz w:val="22"/>
              </w:rPr>
            </w:pPr>
            <w:r w:rsidRPr="00ED5620">
              <w:t>0.131</w:t>
            </w:r>
          </w:p>
        </w:tc>
        <w:tc>
          <w:tcPr>
            <w:tcW w:w="1572" w:type="dxa"/>
            <w:tcBorders>
              <w:top w:val="single" w:sz="4" w:space="0" w:color="auto"/>
            </w:tcBorders>
            <w:shd w:val="clear" w:color="auto" w:fill="auto"/>
            <w:noWrap/>
            <w:hideMark/>
          </w:tcPr>
          <w:p w14:paraId="026D8191" w14:textId="77777777" w:rsidR="00CE5054" w:rsidRPr="002A152B" w:rsidRDefault="00CE5054" w:rsidP="00CE5054">
            <w:pPr>
              <w:spacing w:after="0" w:line="240" w:lineRule="auto"/>
              <w:jc w:val="center"/>
              <w:rPr>
                <w:rFonts w:ascii="Calibri" w:eastAsia="Times New Roman" w:hAnsi="Calibri" w:cs="Calibri"/>
                <w:color w:val="000000"/>
                <w:sz w:val="22"/>
              </w:rPr>
            </w:pPr>
            <w:r w:rsidRPr="00ED5620">
              <w:t>-0.123</w:t>
            </w:r>
          </w:p>
        </w:tc>
        <w:tc>
          <w:tcPr>
            <w:tcW w:w="1390" w:type="dxa"/>
            <w:tcBorders>
              <w:top w:val="single" w:sz="4" w:space="0" w:color="auto"/>
            </w:tcBorders>
            <w:shd w:val="clear" w:color="auto" w:fill="auto"/>
            <w:noWrap/>
            <w:hideMark/>
          </w:tcPr>
          <w:p w14:paraId="3E104B27" w14:textId="77777777" w:rsidR="00CE5054" w:rsidRPr="002A152B" w:rsidRDefault="00CE5054" w:rsidP="00CE5054">
            <w:pPr>
              <w:spacing w:after="0" w:line="240" w:lineRule="auto"/>
              <w:jc w:val="center"/>
              <w:rPr>
                <w:rFonts w:ascii="Calibri" w:eastAsia="Times New Roman" w:hAnsi="Calibri" w:cs="Calibri"/>
                <w:color w:val="000000"/>
                <w:sz w:val="22"/>
              </w:rPr>
            </w:pPr>
            <w:r w:rsidRPr="00ED5620">
              <w:t>0.104</w:t>
            </w:r>
          </w:p>
        </w:tc>
      </w:tr>
    </w:tbl>
    <w:p w14:paraId="7217D2DF" w14:textId="6DE971BD" w:rsidR="0047790F" w:rsidRDefault="00996A8F" w:rsidP="00CE5054">
      <w:pPr>
        <w:rPr>
          <w:sz w:val="20"/>
          <w:szCs w:val="18"/>
        </w:rPr>
      </w:pPr>
      <w:r>
        <w:rPr>
          <w:noProof/>
        </w:rPr>
        <w:drawing>
          <wp:inline distT="0" distB="0" distL="0" distR="0" wp14:anchorId="7F1C3181" wp14:editId="411299B5">
            <wp:extent cx="6069695" cy="4958862"/>
            <wp:effectExtent l="0" t="0" r="7620" b="0"/>
            <wp:docPr id="1009669180" name="Picture 1" descr="A table of numbers with numbers and symbol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669180" name="Picture 1" descr="A table of numbers with numbers and symbols&#10;&#10;Description automatically generated with medium confidence"/>
                    <pic:cNvPicPr/>
                  </pic:nvPicPr>
                  <pic:blipFill>
                    <a:blip r:embed="rId68"/>
                    <a:stretch>
                      <a:fillRect/>
                    </a:stretch>
                  </pic:blipFill>
                  <pic:spPr>
                    <a:xfrm>
                      <a:off x="0" y="0"/>
                      <a:ext cx="6091896" cy="4977000"/>
                    </a:xfrm>
                    <a:prstGeom prst="rect">
                      <a:avLst/>
                    </a:prstGeom>
                  </pic:spPr>
                </pic:pic>
              </a:graphicData>
            </a:graphic>
          </wp:inline>
        </w:drawing>
      </w:r>
    </w:p>
    <w:p w14:paraId="6C6F2FBE" w14:textId="56A8AFCF" w:rsidR="0047790F" w:rsidRDefault="00ED4F52" w:rsidP="001A44CA">
      <w:pPr>
        <w:rPr>
          <w:sz w:val="20"/>
          <w:szCs w:val="18"/>
        </w:rPr>
      </w:pPr>
      <w:r>
        <w:rPr>
          <w:noProof/>
          <w:sz w:val="20"/>
          <w:szCs w:val="18"/>
        </w:rPr>
        <w:lastRenderedPageBreak/>
        <w:drawing>
          <wp:inline distT="0" distB="0" distL="0" distR="0" wp14:anchorId="206D74F6" wp14:editId="56CE11C3">
            <wp:extent cx="5943600" cy="5943600"/>
            <wp:effectExtent l="0" t="0" r="0" b="0"/>
            <wp:docPr id="301094984"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094984" name="Picture 1" descr="A screenshot of a graph&#10;&#10;Description automatically generated"/>
                    <pic:cNvPicPr/>
                  </pic:nvPicPr>
                  <pic:blipFill>
                    <a:blip r:embed="rId69">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p>
    <w:p w14:paraId="26048EA9" w14:textId="355DCEEA" w:rsidR="00ED4F52" w:rsidRDefault="00ED4F52" w:rsidP="00ED4F52">
      <w:pPr>
        <w:pStyle w:val="figure"/>
      </w:pPr>
      <w:r>
        <w:t xml:space="preserve">Figure 2. The </w:t>
      </w:r>
      <w:bookmarkStart w:id="3" w:name="OLE_LINK2"/>
      <w:r>
        <w:t>endowments and coefficients components of a Blinder-Oaxaca decomposition of the gender inequality</w:t>
      </w:r>
    </w:p>
    <w:p w14:paraId="4D5E9D45" w14:textId="77777777" w:rsidR="00884CE6" w:rsidRDefault="00884CE6" w:rsidP="00884CE6"/>
    <w:p w14:paraId="4D89A4CE" w14:textId="32461451" w:rsidR="00884CE6" w:rsidRDefault="00712FE8" w:rsidP="00712FE8">
      <w:pPr>
        <w:pStyle w:val="Heading1"/>
      </w:pPr>
      <w:r>
        <w:t>Conclusion</w:t>
      </w:r>
    </w:p>
    <w:p w14:paraId="2A1300EF" w14:textId="79CD6537" w:rsidR="00712FE8" w:rsidRDefault="00712FE8" w:rsidP="00712FE8">
      <w:r>
        <w:t xml:space="preserve">This study has made significant </w:t>
      </w:r>
      <w:r>
        <w:t>contributions</w:t>
      </w:r>
      <w:r>
        <w:t xml:space="preserve"> in understanding gender disparities in </w:t>
      </w:r>
      <w:r>
        <w:t xml:space="preserve">agricultural </w:t>
      </w:r>
      <w:r>
        <w:t xml:space="preserve">technology adoption. Our comprehensive analysis, leveraging intra-household datasets from the IITA, has shed light on the systematic relationship between measurement error and gender, </w:t>
      </w:r>
      <w:r>
        <w:lastRenderedPageBreak/>
        <w:t>marking a pioneering effort in this field. Through the development of a theoretical model and empirical analysis, we have illuminated the nuances of non-classical measurement errors related to gender in agricultural practices.</w:t>
      </w:r>
    </w:p>
    <w:p w14:paraId="21BCE1A6" w14:textId="36179922" w:rsidR="00884CE6" w:rsidRDefault="00712FE8" w:rsidP="00712FE8">
      <w:r>
        <w:t>Our findings reveal a noteworthy gender gap in the adoption of improved cassava varieties, as analyzed through plot-level decomposition. A key discovery of this research is the statistically significant false negatives associated predominantly with women farmers who are not household heads. This indicates a systemic issue where women, especially those not in leadership roles within their households, face obstacles in accessing and adopting agricultural technologies.</w:t>
      </w:r>
    </w:p>
    <w:p w14:paraId="2740356B" w14:textId="76B0F99A" w:rsidR="00712FE8" w:rsidRDefault="00712FE8" w:rsidP="00712FE8">
      <w:r>
        <w:t>The study further identifies a critical disparity in the impact of cooperative memberships and extension services between male and female farmers. Women farmers are shown to have less access to these services, potentially due to a combination of institutional biases and their less proactive role in seeking out these resources. This trend is concerning as it suggests that existing services are not adequately catering to the specific needs of women in agriculture, thereby limiting their effectiveness.</w:t>
      </w:r>
    </w:p>
    <w:p w14:paraId="7E1978B0" w14:textId="7E64792F" w:rsidR="00712FE8" w:rsidRDefault="00712FE8" w:rsidP="00712FE8">
      <w:r>
        <w:t>The implications of these findings are profound for policy formulation and program design in the agricultural sector. There is an urgent need for policies and interventions that specifically address the unique challenges faced by women farmers. This includes the development of more inclusive and gender-sensitive approaches in the delivery of extension services and cooperative memberships. Engaging women in the planning and implementation phases of these services is crucial. Furthermore, tailored outreach programs and training materials designed to meet the needs of women farmers can play a significant role in closing the gender gap in technology adoption.</w:t>
      </w:r>
    </w:p>
    <w:p w14:paraId="615148CD" w14:textId="3237F033" w:rsidR="00884CE6" w:rsidRDefault="00712FE8" w:rsidP="00712FE8">
      <w:r>
        <w:t>In conclusion, our study highlights the necessity of rethinking and restructuring agricultural policies and services with a gender-inclusive lens. By doing so, we can empower women farmers, enhance their decision-making capabilities, and ensure equitable access to agricultural innovations. This not only promotes gender equality but also has the potential to significantly boost agricultural productivity and development.</w:t>
      </w:r>
    </w:p>
    <w:p w14:paraId="1CCEEED1" w14:textId="77777777" w:rsidR="00712FE8" w:rsidRDefault="00712FE8">
      <w:pPr>
        <w:spacing w:line="259" w:lineRule="auto"/>
        <w:rPr>
          <w:rFonts w:eastAsiaTheme="majorEastAsia" w:cstheme="majorBidi"/>
          <w:b/>
          <w:szCs w:val="24"/>
        </w:rPr>
      </w:pPr>
      <w:r>
        <w:br w:type="page"/>
      </w:r>
    </w:p>
    <w:p w14:paraId="4112878C" w14:textId="6F8A042C" w:rsidR="00884CE6" w:rsidRDefault="00884CE6" w:rsidP="00ED4F52">
      <w:pPr>
        <w:pStyle w:val="figure"/>
      </w:pPr>
      <w:r>
        <w:lastRenderedPageBreak/>
        <w:t>Not included yet</w:t>
      </w:r>
    </w:p>
    <w:bookmarkEnd w:id="3"/>
    <w:p w14:paraId="6B7D1A6B" w14:textId="77777777" w:rsidR="0047790F" w:rsidRPr="00491E53" w:rsidRDefault="0047790F" w:rsidP="001A44CA">
      <w:pPr>
        <w:rPr>
          <w:sz w:val="20"/>
          <w:szCs w:val="18"/>
        </w:rPr>
      </w:pPr>
    </w:p>
    <w:p w14:paraId="2D757E37" w14:textId="632DD720" w:rsidR="00486A3F" w:rsidRDefault="00B82628" w:rsidP="001A44CA">
      <w:r>
        <w:t>Following eq. (7), t</w:t>
      </w:r>
      <w:r w:rsidR="00B03065">
        <w:t>he</w:t>
      </w:r>
      <w:r>
        <w:t xml:space="preserve"> testing</w:t>
      </w:r>
      <w:r w:rsidR="00B03065">
        <w:t xml:space="preserve"> results </w:t>
      </w:r>
      <w:r>
        <w:t xml:space="preserve">demonstrate that the estimates ignoring the systematic measurement error would underestimate the gender inequality due to the false negatives reported by women farmers. </w:t>
      </w:r>
    </w:p>
    <w:p w14:paraId="7C377091" w14:textId="77777777" w:rsidR="00B03065" w:rsidRDefault="00B03065" w:rsidP="001A44CA"/>
    <w:p w14:paraId="372E0A3B" w14:textId="75EA02AC" w:rsidR="001A44CA" w:rsidRDefault="001A44CA" w:rsidP="001A44CA">
      <w:r>
        <w:t>With the intrahousehold data</w:t>
      </w:r>
      <w:r w:rsidR="001604E2">
        <w:t xml:space="preserve"> developed through the data synthesis process</w:t>
      </w:r>
      <w:r>
        <w:t xml:space="preserve">, we demonstrate the relationship is correlated with the covariates. </w:t>
      </w:r>
    </w:p>
    <w:p w14:paraId="7C4B5C56" w14:textId="77777777" w:rsidR="001A44CA" w:rsidRDefault="001A44CA" w:rsidP="001A44CA">
      <w:r>
        <w:t xml:space="preserve">To explicitly demonstrate the misclassification problem, we use the intra-household data. Figure 1 shows the relationship between self-reported ICV adoption and the percentage of female in the dataset. The left panel shows the overall adoption rate of the dataset with 728 households. The right panel replicated the same measurement but separated it by regions. With 500 iterations, the self-reported technology adoption decreases as the percentage of female participants increases in the dataset. The shade in figure 1 shows the confidence intervals across 500 iterations for each female percentage. Figure 2 replicates the figure by only having five iterations, and it highlights the variation in collected data. </w:t>
      </w:r>
    </w:p>
    <w:p w14:paraId="0610B6D8" w14:textId="2DAF93EC" w:rsidR="00DA5ED7" w:rsidRDefault="00742D86" w:rsidP="002A7D7E">
      <w:r>
        <w:t xml:space="preserve">To provide a more comprehensive explanation of </w:t>
      </w:r>
      <w:r w:rsidR="00951B62">
        <w:t xml:space="preserve">the </w:t>
      </w:r>
      <w:r w:rsidR="00951B62" w:rsidRPr="00951B62">
        <w:t>relation</w:t>
      </w:r>
      <w:r>
        <w:t>ship</w:t>
      </w:r>
      <w:r w:rsidR="00951B62" w:rsidRPr="00951B62">
        <w:t xml:space="preserve"> between misreporting of technology adoption and gender</w:t>
      </w:r>
      <w:r w:rsidR="00951B62">
        <w:t xml:space="preserve">, </w:t>
      </w:r>
      <w:r>
        <w:t>F</w:t>
      </w:r>
      <w:r w:rsidR="00951B62">
        <w:t xml:space="preserve">igure </w:t>
      </w:r>
      <w:r w:rsidR="00ED359F">
        <w:t xml:space="preserve">2 </w:t>
      </w:r>
      <w:r>
        <w:t>illustrates</w:t>
      </w:r>
      <w:r w:rsidR="00ED359F">
        <w:t xml:space="preserve"> the simulated ICV adoption reported by husband and wives. </w:t>
      </w:r>
      <w:r>
        <w:t>The x-axis of the figure represents the proportion of responses provided by wives in the final dataset, which comprises a sample size of 729 households. The female response rate varies from 0% to 100%. For instance, when the female response rate is set at 5%, 5% of households in the dataset are randomly selected, and the responses of wives are attributed as the survey responses for those households. Subsequently, the responses of husbands from the remaining 95% of households are incorporated. This process generates a pseudo dataset that simulates survey responses from a total of 729 households. To ensure robustness, 500 iterations were conducted for each female response rate, resulting in a reliable assessment. The shading in Figure 2 represents the confidence intervals of the adoption rate, based on a specific female participation rate, calculated across the 500 iterations.</w:t>
      </w:r>
      <w:r w:rsidR="004D1B5D">
        <w:t xml:space="preserve"> </w:t>
      </w:r>
      <w:r w:rsidR="002A7D7E">
        <w:t xml:space="preserve">Based on the DNA fingerprinting tests, which revealed the "true" ICV adoption rate among the 729 households as 64%, Figure 2 </w:t>
      </w:r>
      <w:r w:rsidR="002A7D7E">
        <w:lastRenderedPageBreak/>
        <w:t>suggests that an increase in the proportion of surveyed women farmers within the sample is associated with an elevated likelihood of encountering false negatives.</w:t>
      </w:r>
    </w:p>
    <w:p w14:paraId="53EEF33D" w14:textId="22A35B36" w:rsidR="002F668F" w:rsidRDefault="002F668F" w:rsidP="002A7D7E">
      <w:r>
        <w:t xml:space="preserve">The right panel in Figure 2 shows the change of adoption rates of each zone as the proportion of women farmers were surveyed. </w:t>
      </w:r>
      <w:r w:rsidR="00844473">
        <w:t xml:space="preserve">The rank of the adoption rate of zone 1 and 3 overturned as the proportion of women changes. </w:t>
      </w:r>
    </w:p>
    <w:p w14:paraId="5A906A25" w14:textId="77777777" w:rsidR="00DA5ED7" w:rsidRDefault="00DA5ED7" w:rsidP="00742D86"/>
    <w:p w14:paraId="7ED35F82" w14:textId="77777777" w:rsidR="00DA5ED7" w:rsidRDefault="00DA5ED7" w:rsidP="00742D86"/>
    <w:p w14:paraId="27F5A9AF" w14:textId="1BB6DB96" w:rsidR="001A44CA" w:rsidRDefault="001A44CA" w:rsidP="00742D86">
      <w:r>
        <w:t>To explicitly demonstrate the biased regression results, we separated the intro-household dataset into the female dataset and the male dataset to test the structural differences between the two datasets. The regression results shows that there is a positive relationship between coop member and household ICV adoption reported by husbands; however, no statistically significant relationship was found using women self-reported dataset. We can expect that when the two genders’ self-reported data were combined, the regression results would be attenuated due to the low response from female.</w:t>
      </w:r>
    </w:p>
    <w:p w14:paraId="167B5473" w14:textId="77777777" w:rsidR="001A44CA" w:rsidRDefault="001A44CA" w:rsidP="001A44CA"/>
    <w:p w14:paraId="7F05F6B8" w14:textId="77777777" w:rsidR="001A44CA" w:rsidRPr="001A44CA" w:rsidRDefault="001A44CA" w:rsidP="001A44CA"/>
    <w:p w14:paraId="143F6C21" w14:textId="77777777" w:rsidR="00175EA3" w:rsidRDefault="00175EA3" w:rsidP="001A44CA"/>
    <w:p w14:paraId="7B0026D3" w14:textId="3C3F51FE" w:rsidR="00297CB3" w:rsidRDefault="00DC0180" w:rsidP="001A44CA">
      <w:r>
        <w:rPr>
          <w:rFonts w:hint="eastAsia"/>
          <w:noProof/>
        </w:rPr>
        <w:drawing>
          <wp:inline distT="0" distB="0" distL="0" distR="0" wp14:anchorId="46C4521A" wp14:editId="42584C0B">
            <wp:extent cx="2822713" cy="2117034"/>
            <wp:effectExtent l="0" t="0" r="0" b="0"/>
            <wp:docPr id="1076262170" name="Picture 2" descr="A graph with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262170" name="Picture 2" descr="A graph with a line&#10;&#10;Description automatically generated"/>
                    <pic:cNvPicPr/>
                  </pic:nvPicPr>
                  <pic:blipFill>
                    <a:blip r:embed="rId70" cstate="print">
                      <a:extLst>
                        <a:ext uri="{28A0092B-C50C-407E-A947-70E740481C1C}">
                          <a14:useLocalDpi xmlns:a14="http://schemas.microsoft.com/office/drawing/2010/main" val="0"/>
                        </a:ext>
                      </a:extLst>
                    </a:blip>
                    <a:stretch>
                      <a:fillRect/>
                    </a:stretch>
                  </pic:blipFill>
                  <pic:spPr>
                    <a:xfrm>
                      <a:off x="0" y="0"/>
                      <a:ext cx="2848399" cy="2136298"/>
                    </a:xfrm>
                    <a:prstGeom prst="rect">
                      <a:avLst/>
                    </a:prstGeom>
                  </pic:spPr>
                </pic:pic>
              </a:graphicData>
            </a:graphic>
          </wp:inline>
        </w:drawing>
      </w:r>
      <w:r w:rsidR="00ED01FF">
        <w:rPr>
          <w:noProof/>
        </w:rPr>
        <w:drawing>
          <wp:inline distT="0" distB="0" distL="0" distR="0" wp14:anchorId="64396439" wp14:editId="72B5C520">
            <wp:extent cx="2878373" cy="2158780"/>
            <wp:effectExtent l="0" t="0" r="0" b="0"/>
            <wp:docPr id="345177724" name="Picture 5" descr="A graph of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177724" name="Picture 5" descr="A graph of different colored lines&#10;&#10;Description automatically generated"/>
                    <pic:cNvPicPr/>
                  </pic:nvPicPr>
                  <pic:blipFill>
                    <a:blip r:embed="rId71" cstate="print">
                      <a:extLst>
                        <a:ext uri="{28A0092B-C50C-407E-A947-70E740481C1C}">
                          <a14:useLocalDpi xmlns:a14="http://schemas.microsoft.com/office/drawing/2010/main" val="0"/>
                        </a:ext>
                      </a:extLst>
                    </a:blip>
                    <a:stretch>
                      <a:fillRect/>
                    </a:stretch>
                  </pic:blipFill>
                  <pic:spPr>
                    <a:xfrm>
                      <a:off x="0" y="0"/>
                      <a:ext cx="2886669" cy="2165002"/>
                    </a:xfrm>
                    <a:prstGeom prst="rect">
                      <a:avLst/>
                    </a:prstGeom>
                  </pic:spPr>
                </pic:pic>
              </a:graphicData>
            </a:graphic>
          </wp:inline>
        </w:drawing>
      </w:r>
    </w:p>
    <w:p w14:paraId="04459189" w14:textId="7A73C081" w:rsidR="00492245" w:rsidRDefault="00492245" w:rsidP="001A44CA"/>
    <w:p w14:paraId="0E6F36AA" w14:textId="647E5C26" w:rsidR="001E4152" w:rsidRDefault="001E4152" w:rsidP="001A44CA">
      <w:r>
        <w:t xml:space="preserve">Note: </w:t>
      </w:r>
      <w:r w:rsidR="00012F0F">
        <w:t xml:space="preserve">500 iterations of each percentage of female. </w:t>
      </w:r>
    </w:p>
    <w:p w14:paraId="769C7C93" w14:textId="225D1E57" w:rsidR="003A1BA4" w:rsidRDefault="00216926" w:rsidP="001A44CA">
      <w:pPr>
        <w:pStyle w:val="figure"/>
      </w:pPr>
      <w:r>
        <w:lastRenderedPageBreak/>
        <w:t xml:space="preserve">Figure </w:t>
      </w:r>
      <w:r w:rsidR="00951B62">
        <w:t>2</w:t>
      </w:r>
      <w:r>
        <w:t>. The self-reported ICV adoption</w:t>
      </w:r>
      <w:r w:rsidR="005253E2">
        <w:t xml:space="preserve"> (500 iterations of each percentage)</w:t>
      </w:r>
    </w:p>
    <w:p w14:paraId="65D066B0" w14:textId="77777777" w:rsidR="005253E2" w:rsidRDefault="005253E2" w:rsidP="001A44CA"/>
    <w:p w14:paraId="7F2393A8" w14:textId="77777777" w:rsidR="005253E2" w:rsidRDefault="005253E2" w:rsidP="001A44CA">
      <w:r>
        <w:rPr>
          <w:rFonts w:hint="eastAsia"/>
          <w:noProof/>
        </w:rPr>
        <w:drawing>
          <wp:inline distT="0" distB="0" distL="0" distR="0" wp14:anchorId="45B71E17" wp14:editId="6C308366">
            <wp:extent cx="2735249" cy="2051438"/>
            <wp:effectExtent l="0" t="0" r="8255" b="6350"/>
            <wp:docPr id="1099553493" name="Picture 1" descr="A graph showing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553493" name="Picture 1" descr="A graph showing a line&#10;&#10;Description automatically generated"/>
                    <pic:cNvPicPr/>
                  </pic:nvPicPr>
                  <pic:blipFill>
                    <a:blip r:embed="rId72" cstate="print">
                      <a:extLst>
                        <a:ext uri="{28A0092B-C50C-407E-A947-70E740481C1C}">
                          <a14:useLocalDpi xmlns:a14="http://schemas.microsoft.com/office/drawing/2010/main" val="0"/>
                        </a:ext>
                      </a:extLst>
                    </a:blip>
                    <a:stretch>
                      <a:fillRect/>
                    </a:stretch>
                  </pic:blipFill>
                  <pic:spPr>
                    <a:xfrm>
                      <a:off x="0" y="0"/>
                      <a:ext cx="2750939" cy="2063205"/>
                    </a:xfrm>
                    <a:prstGeom prst="rect">
                      <a:avLst/>
                    </a:prstGeom>
                  </pic:spPr>
                </pic:pic>
              </a:graphicData>
            </a:graphic>
          </wp:inline>
        </w:drawing>
      </w:r>
      <w:r>
        <w:rPr>
          <w:noProof/>
        </w:rPr>
        <w:drawing>
          <wp:inline distT="0" distB="0" distL="0" distR="0" wp14:anchorId="2CE6864F" wp14:editId="21343DB8">
            <wp:extent cx="2790907" cy="2093180"/>
            <wp:effectExtent l="0" t="0" r="0" b="2540"/>
            <wp:docPr id="668136130" name="Picture 7" descr="A graph of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136130" name="Picture 7" descr="A graph of different colored lines&#10;&#10;Description automatically generated"/>
                    <pic:cNvPicPr/>
                  </pic:nvPicPr>
                  <pic:blipFill>
                    <a:blip r:embed="rId73" cstate="print">
                      <a:extLst>
                        <a:ext uri="{28A0092B-C50C-407E-A947-70E740481C1C}">
                          <a14:useLocalDpi xmlns:a14="http://schemas.microsoft.com/office/drawing/2010/main" val="0"/>
                        </a:ext>
                      </a:extLst>
                    </a:blip>
                    <a:stretch>
                      <a:fillRect/>
                    </a:stretch>
                  </pic:blipFill>
                  <pic:spPr>
                    <a:xfrm>
                      <a:off x="0" y="0"/>
                      <a:ext cx="2802774" cy="2102080"/>
                    </a:xfrm>
                    <a:prstGeom prst="rect">
                      <a:avLst/>
                    </a:prstGeom>
                  </pic:spPr>
                </pic:pic>
              </a:graphicData>
            </a:graphic>
          </wp:inline>
        </w:drawing>
      </w:r>
    </w:p>
    <w:p w14:paraId="44B743F6" w14:textId="77777777" w:rsidR="005253E2" w:rsidRDefault="005253E2" w:rsidP="001A44CA">
      <w:r w:rsidRPr="00215608">
        <w:t>Note: 5 iterations of each percentage of female.</w:t>
      </w:r>
    </w:p>
    <w:p w14:paraId="3149448E" w14:textId="58950F13" w:rsidR="005253E2" w:rsidRDefault="005253E2" w:rsidP="001A44CA">
      <w:pPr>
        <w:pStyle w:val="figure"/>
      </w:pPr>
      <w:r w:rsidRPr="005253E2">
        <w:t xml:space="preserve">Figure </w:t>
      </w:r>
      <w:r w:rsidR="006405CA">
        <w:t>3</w:t>
      </w:r>
      <w:r w:rsidRPr="005253E2">
        <w:t>. The self-reported ICV adoption (5 iterations of each percentage)</w:t>
      </w:r>
    </w:p>
    <w:p w14:paraId="41F0EE79" w14:textId="77777777" w:rsidR="008F553E" w:rsidRDefault="008F553E" w:rsidP="001A44CA"/>
    <w:p w14:paraId="571D09F2" w14:textId="56EDA7AD" w:rsidR="003A1BA4" w:rsidRDefault="003A1BA4" w:rsidP="001A44CA">
      <w:r>
        <w:rPr>
          <w:rFonts w:hint="eastAsia"/>
          <w:noProof/>
        </w:rPr>
        <w:lastRenderedPageBreak/>
        <w:drawing>
          <wp:inline distT="0" distB="0" distL="0" distR="0" wp14:anchorId="764672BC" wp14:editId="4CD2C80A">
            <wp:extent cx="5852172" cy="4389129"/>
            <wp:effectExtent l="0" t="0" r="0" b="0"/>
            <wp:docPr id="1287563558" name="Picture 8" descr="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563558" name="Picture 8" descr="A graph of a graph&#10;&#10;Description automatically generated with medium confidence"/>
                    <pic:cNvPicPr/>
                  </pic:nvPicPr>
                  <pic:blipFill>
                    <a:blip r:embed="rId74" cstate="print">
                      <a:extLst>
                        <a:ext uri="{28A0092B-C50C-407E-A947-70E740481C1C}">
                          <a14:useLocalDpi xmlns:a14="http://schemas.microsoft.com/office/drawing/2010/main" val="0"/>
                        </a:ext>
                      </a:extLst>
                    </a:blip>
                    <a:stretch>
                      <a:fillRect/>
                    </a:stretch>
                  </pic:blipFill>
                  <pic:spPr>
                    <a:xfrm>
                      <a:off x="0" y="0"/>
                      <a:ext cx="5852172" cy="4389129"/>
                    </a:xfrm>
                    <a:prstGeom prst="rect">
                      <a:avLst/>
                    </a:prstGeom>
                  </pic:spPr>
                </pic:pic>
              </a:graphicData>
            </a:graphic>
          </wp:inline>
        </w:drawing>
      </w:r>
    </w:p>
    <w:p w14:paraId="66AAF9AA" w14:textId="564E1E90" w:rsidR="00F14417" w:rsidRDefault="00F14417" w:rsidP="001A44CA">
      <w:pPr>
        <w:pStyle w:val="figure"/>
      </w:pPr>
      <w:r>
        <w:t xml:space="preserve">Figure 3. </w:t>
      </w:r>
    </w:p>
    <w:p w14:paraId="3AF7BBC7" w14:textId="503525E2" w:rsidR="00EA36D3" w:rsidRDefault="00EA36D3" w:rsidP="001A44CA">
      <w:r>
        <w:t xml:space="preserve">Note: probit model. The dependent variable is the self-reported ICV adoption. </w:t>
      </w:r>
    </w:p>
    <w:p w14:paraId="42D903CA" w14:textId="186B4623" w:rsidR="003E1FEB" w:rsidRDefault="003E1FEB" w:rsidP="001A44CA">
      <w:pPr>
        <w:pStyle w:val="table"/>
      </w:pPr>
      <w:r>
        <w:lastRenderedPageBreak/>
        <w:t>Table 2. Regression results of DNA</w:t>
      </w:r>
      <w:r w:rsidR="008E73EB">
        <w:t>-</w:t>
      </w:r>
      <w:r>
        <w:t>fingerprinted test</w:t>
      </w:r>
    </w:p>
    <w:p w14:paraId="7E236AAB" w14:textId="637EA6C6" w:rsidR="003A1BA4" w:rsidRDefault="003A1BA4" w:rsidP="001A44CA">
      <w:r>
        <w:rPr>
          <w:noProof/>
        </w:rPr>
        <w:drawing>
          <wp:inline distT="0" distB="0" distL="0" distR="0" wp14:anchorId="0CD0EE4C" wp14:editId="198F4628">
            <wp:extent cx="5943600" cy="6414770"/>
            <wp:effectExtent l="0" t="0" r="0" b="5080"/>
            <wp:docPr id="2021557396" name="Picture 1" descr="A table of numbers and symbol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557396" name="Picture 1" descr="A table of numbers and symbols&#10;&#10;Description automatically generated with medium confidence"/>
                    <pic:cNvPicPr/>
                  </pic:nvPicPr>
                  <pic:blipFill>
                    <a:blip r:embed="rId75"/>
                    <a:stretch>
                      <a:fillRect/>
                    </a:stretch>
                  </pic:blipFill>
                  <pic:spPr>
                    <a:xfrm>
                      <a:off x="0" y="0"/>
                      <a:ext cx="5943600" cy="6414770"/>
                    </a:xfrm>
                    <a:prstGeom prst="rect">
                      <a:avLst/>
                    </a:prstGeom>
                  </pic:spPr>
                </pic:pic>
              </a:graphicData>
            </a:graphic>
          </wp:inline>
        </w:drawing>
      </w:r>
    </w:p>
    <w:p w14:paraId="2F23D8E2" w14:textId="191B553F" w:rsidR="008E73EB" w:rsidRDefault="008E73EB" w:rsidP="001A44CA">
      <w:r>
        <w:t xml:space="preserve">Note: probit model. The dependent variable is the DNA-fingerprinted test results of each household’s ICV adoption. </w:t>
      </w:r>
    </w:p>
    <w:p w14:paraId="4AA89031" w14:textId="2AE87D9D" w:rsidR="00B87074" w:rsidRDefault="00B87074" w:rsidP="001A44CA">
      <w:pPr>
        <w:pStyle w:val="table"/>
      </w:pPr>
      <w:r>
        <w:lastRenderedPageBreak/>
        <w:t>Table 3. Oaxaca decomposition of ICV adoption</w:t>
      </w:r>
    </w:p>
    <w:p w14:paraId="4C527D29" w14:textId="29D01621" w:rsidR="003A1BA4" w:rsidRDefault="003A1BA4" w:rsidP="001A44CA">
      <w:r>
        <w:rPr>
          <w:noProof/>
        </w:rPr>
        <w:drawing>
          <wp:inline distT="0" distB="0" distL="0" distR="0" wp14:anchorId="2EEDAC62" wp14:editId="743FC0C2">
            <wp:extent cx="5943600" cy="6449060"/>
            <wp:effectExtent l="0" t="0" r="0" b="8890"/>
            <wp:docPr id="1995567857" name="Picture 1" descr="A table of numbers and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567857" name="Picture 1" descr="A table of numbers and text&#10;&#10;Description automatically generated with medium confidence"/>
                    <pic:cNvPicPr/>
                  </pic:nvPicPr>
                  <pic:blipFill>
                    <a:blip r:embed="rId76"/>
                    <a:stretch>
                      <a:fillRect/>
                    </a:stretch>
                  </pic:blipFill>
                  <pic:spPr>
                    <a:xfrm>
                      <a:off x="0" y="0"/>
                      <a:ext cx="5943600" cy="6449060"/>
                    </a:xfrm>
                    <a:prstGeom prst="rect">
                      <a:avLst/>
                    </a:prstGeom>
                  </pic:spPr>
                </pic:pic>
              </a:graphicData>
            </a:graphic>
          </wp:inline>
        </w:drawing>
      </w:r>
    </w:p>
    <w:p w14:paraId="54536BD7" w14:textId="77777777" w:rsidR="00B87074" w:rsidRDefault="00B87074" w:rsidP="001A44CA"/>
    <w:p w14:paraId="59FC6D76" w14:textId="77777777" w:rsidR="00B87074" w:rsidRDefault="00B87074" w:rsidP="001A44CA"/>
    <w:p w14:paraId="6A120AA5" w14:textId="512F485D" w:rsidR="00190EBB" w:rsidRDefault="00190EBB" w:rsidP="001A44CA">
      <w:r>
        <w:br w:type="page"/>
      </w:r>
    </w:p>
    <w:p w14:paraId="1DF7EB42" w14:textId="1314B460" w:rsidR="00190EBB" w:rsidRDefault="00190EBB" w:rsidP="001A44CA">
      <w:pPr>
        <w:pStyle w:val="Heading1"/>
      </w:pPr>
      <w:r>
        <w:lastRenderedPageBreak/>
        <w:t>References</w:t>
      </w:r>
    </w:p>
    <w:p w14:paraId="26F2C910" w14:textId="77777777" w:rsidR="007F30CC" w:rsidRDefault="007F30CC" w:rsidP="007F30CC">
      <w:r>
        <w:t>Abay, Kibrom A, Abate, Gashaw T, Barrett, Christopher B, and Bernard, Tan-</w:t>
      </w:r>
    </w:p>
    <w:p w14:paraId="778B2BD6" w14:textId="77777777" w:rsidR="007F30CC" w:rsidRDefault="007F30CC" w:rsidP="007F30CC">
      <w:r>
        <w:t>guy. Correlated non-classical measurement errors,‘second best’policy infer- ence, and the inverse size-productivity relationship in agriculture. Journal of Development Economics, 139:171–184, 2019.</w:t>
      </w:r>
    </w:p>
    <w:p w14:paraId="462AA854" w14:textId="77777777" w:rsidR="007F30CC" w:rsidRDefault="007F30CC" w:rsidP="007F30CC">
      <w:r>
        <w:t>Abay, Kibrom A, Wossen, Tesfamicheal, Abate, Gashaw T, Stevenson, James R, Michelson, Hope, and Barrett, Christopher B. Inferential and behavioral implications of measurement error in agricultural data. Annual Review of Resource Economics, 15:63–83, 2023.</w:t>
      </w:r>
    </w:p>
    <w:p w14:paraId="28CE5D9A" w14:textId="77777777" w:rsidR="007F30CC" w:rsidRDefault="007F30CC" w:rsidP="007F30CC">
      <w:r>
        <w:t>Assfaw Wossen, Tesfamicheal, Girma Tessema, G, Abdoulaye, Tahirou, Rabbi, Ismail Y, Olanrewaju, AS, Bentley, Jeffery, Alene, Arega, Feleke, Shiferaw, Kulakow, PA, Asumugha, GN, et al. The cassava monitoring survey in nigeria. 2017.</w:t>
      </w:r>
    </w:p>
    <w:p w14:paraId="10C334FA" w14:textId="77777777" w:rsidR="007F30CC" w:rsidRDefault="007F30CC" w:rsidP="007F30CC">
      <w:r>
        <w:t>Doss, Cheryl R and Morris, Michael L. How does gender affect the adoption of agricultural innovations? the case of improved maize technology in ghana. Agricultural economics, 25(1):27–39, 2000.</w:t>
      </w:r>
    </w:p>
    <w:p w14:paraId="363EEB7B" w14:textId="7BABEC6B" w:rsidR="007F30CC" w:rsidRDefault="007F30CC" w:rsidP="007F30CC">
      <w:r w:rsidRPr="007F30CC">
        <w:t>IFAD (International Fund for Agricultural Development). 2003. Mainstreaming a gender perspective in IFAD’s operations: Plan of action 2003–2006. Rome: IFAD.</w:t>
      </w:r>
    </w:p>
    <w:p w14:paraId="7FF91981" w14:textId="77777777" w:rsidR="007F30CC" w:rsidRDefault="007F30CC" w:rsidP="007F30CC">
      <w:r>
        <w:t>Hausman, Jerry A, Abrevaya, Jason, and Scott-Morton, Fiona M. Misclassi- fication of the dependent variable in a discrete-response setting. Journal of econometrics, 87(2):239–269, 1998.</w:t>
      </w:r>
    </w:p>
    <w:p w14:paraId="4A566CDB" w14:textId="77777777" w:rsidR="007F30CC" w:rsidRDefault="007F30CC" w:rsidP="007F30CC">
      <w:r>
        <w:t>Katungi, Enid, Edmeades, Svetlana, and Smale, Melinda. Gender, social capital and information exchange in rural uganda. Journal of International Devel- opment: The Journal of the Development Studies Association, 20(1):35–52, 2008.</w:t>
      </w:r>
    </w:p>
    <w:p w14:paraId="012AAB8D" w14:textId="77777777" w:rsidR="007F30CC" w:rsidRDefault="007F30CC" w:rsidP="007F30CC">
      <w:r>
        <w:t>Meinzen-Dick, Ruth, Quisumbing, Agnes, Behrman, Julia, Biermayr-Jenzano, Patricia, Wilde, Vicki, Noordeloos, Marco, Ragasa, Catherine, Beintema, Nienke, et al. Engendering agricultural research. Technical report, Interna- tional Food Policy Research Institute (IFPRI) Washington, DC, USA, 2010.</w:t>
      </w:r>
    </w:p>
    <w:p w14:paraId="7AA63756" w14:textId="77777777" w:rsidR="007F30CC" w:rsidRDefault="007F30CC" w:rsidP="007F30CC">
      <w:r>
        <w:t>Meyer, Bruce D and Mittag, Nikolas. Misclassification in binary choice models.</w:t>
      </w:r>
    </w:p>
    <w:p w14:paraId="5711700F" w14:textId="77777777" w:rsidR="007F30CC" w:rsidRDefault="007F30CC" w:rsidP="007F30CC">
      <w:r>
        <w:t>Journal of Econometrics, 200(2):295–311, 2017.</w:t>
      </w:r>
    </w:p>
    <w:p w14:paraId="7C4E6F29" w14:textId="77777777" w:rsidR="007F30CC" w:rsidRDefault="007F30CC" w:rsidP="007F30CC">
      <w:r>
        <w:lastRenderedPageBreak/>
        <w:t>Pender, John, Nkonya, Ephraim, Jagger, Pamela, Sserunkuuma, Dick, Ssali, Henry, et al. Strategies to increase agricultural productivity and reduce land degradation in uganda: An econometric analysis. Strategies for Sustainable Land Management in the East African Highlands. International Food Policy Research Institute, Washington, DC, USA, pages 165–190, 2006.</w:t>
      </w:r>
    </w:p>
    <w:p w14:paraId="199299B3" w14:textId="77777777" w:rsidR="007F30CC" w:rsidRDefault="007F30CC" w:rsidP="007F30CC">
      <w:r>
        <w:t>Peterman, Amber, Behrman, Julia A, and Quisumbing, Agnes R. A review of empirical evidence on gender differences in nonland agricultural inputs, technology, and services in developing countries. Springer, 2014.</w:t>
      </w:r>
    </w:p>
    <w:p w14:paraId="7BE4BE73" w14:textId="77777777" w:rsidR="007F30CC" w:rsidRDefault="007F30CC" w:rsidP="007F30CC">
      <w:r>
        <w:t>Wossen, Tesfamicheal, Abdoulaye, Tahirou, Alene, Arega, Nguimkeu, Pierre, Feleke, Shiferaw, Rabbi, Ismail Y, Haile, Mekbib G, and Manyong, Victor. Estimating the productivity impacts of technology adoption in the presence of misclassification. American Journal of Agricultural Economics, 101(1):1–16, 2019.</w:t>
      </w:r>
      <w:r w:rsidRPr="00190EBB">
        <w:t xml:space="preserve"> </w:t>
      </w:r>
    </w:p>
    <w:sectPr w:rsidR="007F30C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5C4E1C" w14:textId="77777777" w:rsidR="004662F3" w:rsidRDefault="004662F3" w:rsidP="004E0509">
      <w:pPr>
        <w:spacing w:after="0"/>
      </w:pPr>
      <w:r>
        <w:separator/>
      </w:r>
    </w:p>
  </w:endnote>
  <w:endnote w:type="continuationSeparator" w:id="0">
    <w:p w14:paraId="7A264FF9" w14:textId="77777777" w:rsidR="004662F3" w:rsidRDefault="004662F3" w:rsidP="004E050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D53AF4" w14:textId="77777777" w:rsidR="004662F3" w:rsidRDefault="004662F3" w:rsidP="004E0509">
      <w:pPr>
        <w:spacing w:after="0"/>
      </w:pPr>
      <w:r>
        <w:separator/>
      </w:r>
    </w:p>
  </w:footnote>
  <w:footnote w:type="continuationSeparator" w:id="0">
    <w:p w14:paraId="0D0E8340" w14:textId="77777777" w:rsidR="004662F3" w:rsidRDefault="004662F3" w:rsidP="004E0509">
      <w:pPr>
        <w:spacing w:after="0"/>
      </w:pPr>
      <w:r>
        <w:continuationSeparator/>
      </w:r>
    </w:p>
  </w:footnote>
  <w:footnote w:id="1">
    <w:p w14:paraId="2865A6B1" w14:textId="05D7FDDC" w:rsidR="004E0509" w:rsidRDefault="004E0509">
      <w:pPr>
        <w:pStyle w:val="FootnoteText"/>
      </w:pPr>
      <w:r>
        <w:rPr>
          <w:rStyle w:val="FootnoteReference"/>
        </w:rPr>
        <w:footnoteRef/>
      </w:r>
      <w:r>
        <w:t xml:space="preserve"> </w:t>
      </w:r>
      <w:r w:rsidRPr="004E0509">
        <w:t>However, if the condition in eq. (6) does not hold, the estimates (eq. (7)) are misleading (Meyer and Mittag, 2017).</w:t>
      </w:r>
    </w:p>
  </w:footnote>
  <w:footnote w:id="2">
    <w:p w14:paraId="0DF8E325" w14:textId="5BDF1412" w:rsidR="00113D48" w:rsidRDefault="00113D48">
      <w:pPr>
        <w:pStyle w:val="FootnoteText"/>
      </w:pPr>
      <w:r>
        <w:rPr>
          <w:rStyle w:val="FootnoteReference"/>
        </w:rPr>
        <w:footnoteRef/>
      </w:r>
      <w:r>
        <w:t xml:space="preserve"> The adoption rate is lower than the household adoption rate because the decomposition analysis only focus on plots managed by either husbands or wives to identify the gender gap in technology adoption. In addition to these separately managed plots, it is important to acknowledge that households also have plots jointly managed by both spouses. </w:t>
      </w:r>
    </w:p>
    <w:p w14:paraId="2865D8D6" w14:textId="4FA9BE00" w:rsidR="00113D48" w:rsidRDefault="00113D48">
      <w:pPr>
        <w:pStyle w:val="FootnoteText"/>
      </w:pPr>
      <w: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4E719F"/>
    <w:multiLevelType w:val="hybridMultilevel"/>
    <w:tmpl w:val="53F070E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19E5B88"/>
    <w:multiLevelType w:val="hybridMultilevel"/>
    <w:tmpl w:val="864A6064"/>
    <w:lvl w:ilvl="0" w:tplc="F11A3152">
      <w:start w:val="3"/>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26C69FE"/>
    <w:multiLevelType w:val="hybridMultilevel"/>
    <w:tmpl w:val="9C969CDA"/>
    <w:lvl w:ilvl="0" w:tplc="3C226306">
      <w:start w:val="1"/>
      <w:numFmt w:val="upp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07117852">
    <w:abstractNumId w:val="1"/>
  </w:num>
  <w:num w:numId="2" w16cid:durableId="1612934048">
    <w:abstractNumId w:val="0"/>
  </w:num>
  <w:num w:numId="3" w16cid:durableId="14594461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0D1B"/>
    <w:rsid w:val="00006759"/>
    <w:rsid w:val="00010918"/>
    <w:rsid w:val="00012F0F"/>
    <w:rsid w:val="000157EC"/>
    <w:rsid w:val="000453BC"/>
    <w:rsid w:val="00054DEF"/>
    <w:rsid w:val="00061E85"/>
    <w:rsid w:val="000675FE"/>
    <w:rsid w:val="000747B4"/>
    <w:rsid w:val="000A0D6C"/>
    <w:rsid w:val="000E0D1B"/>
    <w:rsid w:val="000E540F"/>
    <w:rsid w:val="000E5CD1"/>
    <w:rsid w:val="000E7574"/>
    <w:rsid w:val="000F6715"/>
    <w:rsid w:val="00113D48"/>
    <w:rsid w:val="0011760E"/>
    <w:rsid w:val="001424A8"/>
    <w:rsid w:val="00153B91"/>
    <w:rsid w:val="001604E2"/>
    <w:rsid w:val="00175EA3"/>
    <w:rsid w:val="001867F2"/>
    <w:rsid w:val="00190EBB"/>
    <w:rsid w:val="001A20D9"/>
    <w:rsid w:val="001A44CA"/>
    <w:rsid w:val="001A4AB7"/>
    <w:rsid w:val="001B4961"/>
    <w:rsid w:val="001C12BD"/>
    <w:rsid w:val="001D6417"/>
    <w:rsid w:val="001E4152"/>
    <w:rsid w:val="001F5986"/>
    <w:rsid w:val="00203800"/>
    <w:rsid w:val="00211A59"/>
    <w:rsid w:val="00213D88"/>
    <w:rsid w:val="00215608"/>
    <w:rsid w:val="00216926"/>
    <w:rsid w:val="002235D7"/>
    <w:rsid w:val="00237C20"/>
    <w:rsid w:val="00252230"/>
    <w:rsid w:val="0026262C"/>
    <w:rsid w:val="002677E7"/>
    <w:rsid w:val="00297431"/>
    <w:rsid w:val="00297CB3"/>
    <w:rsid w:val="002A067E"/>
    <w:rsid w:val="002A152B"/>
    <w:rsid w:val="002A7D7E"/>
    <w:rsid w:val="002C5399"/>
    <w:rsid w:val="002D4A9B"/>
    <w:rsid w:val="002E7BAE"/>
    <w:rsid w:val="002F668F"/>
    <w:rsid w:val="00311FF2"/>
    <w:rsid w:val="00316948"/>
    <w:rsid w:val="0032591F"/>
    <w:rsid w:val="0035039B"/>
    <w:rsid w:val="003559BE"/>
    <w:rsid w:val="00366498"/>
    <w:rsid w:val="00373C14"/>
    <w:rsid w:val="0037580D"/>
    <w:rsid w:val="003A1BA4"/>
    <w:rsid w:val="003B6757"/>
    <w:rsid w:val="003C7AC1"/>
    <w:rsid w:val="003D424A"/>
    <w:rsid w:val="003E0989"/>
    <w:rsid w:val="003E1FEB"/>
    <w:rsid w:val="003E3E43"/>
    <w:rsid w:val="003E4762"/>
    <w:rsid w:val="00403028"/>
    <w:rsid w:val="00414269"/>
    <w:rsid w:val="004219A8"/>
    <w:rsid w:val="00423667"/>
    <w:rsid w:val="00435490"/>
    <w:rsid w:val="00435DC1"/>
    <w:rsid w:val="004560DF"/>
    <w:rsid w:val="004662F3"/>
    <w:rsid w:val="00476F68"/>
    <w:rsid w:val="0047790F"/>
    <w:rsid w:val="00486A3F"/>
    <w:rsid w:val="00491E53"/>
    <w:rsid w:val="00492245"/>
    <w:rsid w:val="004A635A"/>
    <w:rsid w:val="004A7496"/>
    <w:rsid w:val="004C16EF"/>
    <w:rsid w:val="004D1B5D"/>
    <w:rsid w:val="004D3AEF"/>
    <w:rsid w:val="004D673F"/>
    <w:rsid w:val="004E0509"/>
    <w:rsid w:val="004F5D54"/>
    <w:rsid w:val="005036D7"/>
    <w:rsid w:val="00513537"/>
    <w:rsid w:val="005142EE"/>
    <w:rsid w:val="0052051B"/>
    <w:rsid w:val="005253E2"/>
    <w:rsid w:val="00525AB5"/>
    <w:rsid w:val="00533E63"/>
    <w:rsid w:val="00541B96"/>
    <w:rsid w:val="00552D3E"/>
    <w:rsid w:val="0056017F"/>
    <w:rsid w:val="00560CD5"/>
    <w:rsid w:val="00567338"/>
    <w:rsid w:val="00574E40"/>
    <w:rsid w:val="005766DF"/>
    <w:rsid w:val="00580142"/>
    <w:rsid w:val="00581B8D"/>
    <w:rsid w:val="005B4197"/>
    <w:rsid w:val="005B4363"/>
    <w:rsid w:val="005B5F44"/>
    <w:rsid w:val="005E38EA"/>
    <w:rsid w:val="005F016F"/>
    <w:rsid w:val="00611F53"/>
    <w:rsid w:val="006342B7"/>
    <w:rsid w:val="006357D6"/>
    <w:rsid w:val="006405CA"/>
    <w:rsid w:val="006533AB"/>
    <w:rsid w:val="006631CF"/>
    <w:rsid w:val="0067044A"/>
    <w:rsid w:val="00671DC6"/>
    <w:rsid w:val="006757D7"/>
    <w:rsid w:val="00696B65"/>
    <w:rsid w:val="006A03A5"/>
    <w:rsid w:val="006C5681"/>
    <w:rsid w:val="006D1300"/>
    <w:rsid w:val="00705577"/>
    <w:rsid w:val="007124A9"/>
    <w:rsid w:val="00712FE8"/>
    <w:rsid w:val="007259AB"/>
    <w:rsid w:val="00742D86"/>
    <w:rsid w:val="007729EE"/>
    <w:rsid w:val="00781976"/>
    <w:rsid w:val="00783642"/>
    <w:rsid w:val="00785183"/>
    <w:rsid w:val="007A2438"/>
    <w:rsid w:val="007B5093"/>
    <w:rsid w:val="007C779E"/>
    <w:rsid w:val="007E4319"/>
    <w:rsid w:val="007E7520"/>
    <w:rsid w:val="007F30CC"/>
    <w:rsid w:val="00804EF7"/>
    <w:rsid w:val="008143D6"/>
    <w:rsid w:val="00816164"/>
    <w:rsid w:val="00824722"/>
    <w:rsid w:val="008274F4"/>
    <w:rsid w:val="00832224"/>
    <w:rsid w:val="00833144"/>
    <w:rsid w:val="00844473"/>
    <w:rsid w:val="00852392"/>
    <w:rsid w:val="00857677"/>
    <w:rsid w:val="008770A3"/>
    <w:rsid w:val="00884CE6"/>
    <w:rsid w:val="008A1C80"/>
    <w:rsid w:val="008B37FB"/>
    <w:rsid w:val="008B5379"/>
    <w:rsid w:val="008C18BC"/>
    <w:rsid w:val="008E1558"/>
    <w:rsid w:val="008E3287"/>
    <w:rsid w:val="008E73EB"/>
    <w:rsid w:val="008F4AB3"/>
    <w:rsid w:val="008F553E"/>
    <w:rsid w:val="00903486"/>
    <w:rsid w:val="00906CE6"/>
    <w:rsid w:val="009136C0"/>
    <w:rsid w:val="00951B62"/>
    <w:rsid w:val="00974B26"/>
    <w:rsid w:val="00996A8F"/>
    <w:rsid w:val="009A150A"/>
    <w:rsid w:val="009B5B55"/>
    <w:rsid w:val="009C1133"/>
    <w:rsid w:val="009D0606"/>
    <w:rsid w:val="009D3E80"/>
    <w:rsid w:val="009D7BD4"/>
    <w:rsid w:val="009F1BBB"/>
    <w:rsid w:val="009F3F67"/>
    <w:rsid w:val="009F7EAA"/>
    <w:rsid w:val="00A26F24"/>
    <w:rsid w:val="00A333FA"/>
    <w:rsid w:val="00A34F3C"/>
    <w:rsid w:val="00A6239B"/>
    <w:rsid w:val="00AA1027"/>
    <w:rsid w:val="00AA73BB"/>
    <w:rsid w:val="00AC7C0F"/>
    <w:rsid w:val="00AD54CD"/>
    <w:rsid w:val="00AE490C"/>
    <w:rsid w:val="00AE4AD4"/>
    <w:rsid w:val="00AE5CC2"/>
    <w:rsid w:val="00AF2278"/>
    <w:rsid w:val="00AF6D5F"/>
    <w:rsid w:val="00B03065"/>
    <w:rsid w:val="00B1406D"/>
    <w:rsid w:val="00B64BB9"/>
    <w:rsid w:val="00B75A30"/>
    <w:rsid w:val="00B82628"/>
    <w:rsid w:val="00B855D5"/>
    <w:rsid w:val="00B87074"/>
    <w:rsid w:val="00BC5A5A"/>
    <w:rsid w:val="00BD217B"/>
    <w:rsid w:val="00BE4DC4"/>
    <w:rsid w:val="00BE7A7E"/>
    <w:rsid w:val="00BF4FD5"/>
    <w:rsid w:val="00C45FE7"/>
    <w:rsid w:val="00C615DA"/>
    <w:rsid w:val="00C64BBD"/>
    <w:rsid w:val="00C765A3"/>
    <w:rsid w:val="00C8390C"/>
    <w:rsid w:val="00C842E9"/>
    <w:rsid w:val="00C848EA"/>
    <w:rsid w:val="00C8767D"/>
    <w:rsid w:val="00CB1FB5"/>
    <w:rsid w:val="00CC2DA5"/>
    <w:rsid w:val="00CD1DF7"/>
    <w:rsid w:val="00CE5054"/>
    <w:rsid w:val="00CE78C2"/>
    <w:rsid w:val="00D30209"/>
    <w:rsid w:val="00D514AF"/>
    <w:rsid w:val="00D602B8"/>
    <w:rsid w:val="00D70258"/>
    <w:rsid w:val="00D76555"/>
    <w:rsid w:val="00D822D6"/>
    <w:rsid w:val="00D83D4D"/>
    <w:rsid w:val="00D8589D"/>
    <w:rsid w:val="00DA0536"/>
    <w:rsid w:val="00DA0B8F"/>
    <w:rsid w:val="00DA0C96"/>
    <w:rsid w:val="00DA4BF7"/>
    <w:rsid w:val="00DA5ED7"/>
    <w:rsid w:val="00DC0180"/>
    <w:rsid w:val="00DC1860"/>
    <w:rsid w:val="00DD008C"/>
    <w:rsid w:val="00DD34EA"/>
    <w:rsid w:val="00DE0408"/>
    <w:rsid w:val="00DE35B2"/>
    <w:rsid w:val="00DE40DE"/>
    <w:rsid w:val="00DF32EA"/>
    <w:rsid w:val="00DF358D"/>
    <w:rsid w:val="00E04693"/>
    <w:rsid w:val="00E16309"/>
    <w:rsid w:val="00E45C5C"/>
    <w:rsid w:val="00E578F5"/>
    <w:rsid w:val="00E731CD"/>
    <w:rsid w:val="00E7659A"/>
    <w:rsid w:val="00E83176"/>
    <w:rsid w:val="00E871D4"/>
    <w:rsid w:val="00EA36D3"/>
    <w:rsid w:val="00EB0384"/>
    <w:rsid w:val="00EC0779"/>
    <w:rsid w:val="00ED01FF"/>
    <w:rsid w:val="00ED359F"/>
    <w:rsid w:val="00ED4F52"/>
    <w:rsid w:val="00EE3C58"/>
    <w:rsid w:val="00EE4A0B"/>
    <w:rsid w:val="00F12974"/>
    <w:rsid w:val="00F12D44"/>
    <w:rsid w:val="00F14417"/>
    <w:rsid w:val="00F27D2B"/>
    <w:rsid w:val="00F36DBD"/>
    <w:rsid w:val="00F53DC9"/>
    <w:rsid w:val="00F55CA4"/>
    <w:rsid w:val="00F6094B"/>
    <w:rsid w:val="00F6537C"/>
    <w:rsid w:val="00F72BC5"/>
    <w:rsid w:val="00F7330B"/>
    <w:rsid w:val="00F976EC"/>
    <w:rsid w:val="00FA69A4"/>
    <w:rsid w:val="00FA78A7"/>
    <w:rsid w:val="00FB19BC"/>
    <w:rsid w:val="00FB4496"/>
    <w:rsid w:val="00FB5F8D"/>
    <w:rsid w:val="00FC72BB"/>
    <w:rsid w:val="00FC7B3F"/>
    <w:rsid w:val="00FD4468"/>
    <w:rsid w:val="00FD4E58"/>
    <w:rsid w:val="00FD5C16"/>
    <w:rsid w:val="00FF105F"/>
    <w:rsid w:val="00FF49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869F84"/>
  <w15:chartTrackingRefBased/>
  <w15:docId w15:val="{690F4741-C6B0-4F26-A1DF-865C06FBA7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016F"/>
    <w:pPr>
      <w:spacing w:line="360" w:lineRule="auto"/>
    </w:pPr>
    <w:rPr>
      <w:rFonts w:ascii="Times New Roman" w:hAnsi="Times New Roman"/>
      <w:sz w:val="24"/>
    </w:rPr>
  </w:style>
  <w:style w:type="paragraph" w:styleId="Heading1">
    <w:name w:val="heading 1"/>
    <w:basedOn w:val="Normal"/>
    <w:next w:val="Normal"/>
    <w:link w:val="Heading1Char"/>
    <w:uiPriority w:val="9"/>
    <w:qFormat/>
    <w:rsid w:val="00203800"/>
    <w:pPr>
      <w:keepNext/>
      <w:keepLines/>
      <w:spacing w:before="240" w:after="0"/>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4D3AEF"/>
    <w:pPr>
      <w:keepNext/>
      <w:keepLines/>
      <w:spacing w:before="40" w:after="0"/>
      <w:outlineLvl w:val="1"/>
    </w:pPr>
    <w:rPr>
      <w:rFonts w:eastAsiaTheme="majorEastAsia" w:cstheme="majorBidi"/>
      <w:b/>
      <w:szCs w:val="26"/>
    </w:rPr>
  </w:style>
  <w:style w:type="paragraph" w:styleId="Heading3">
    <w:name w:val="heading 3"/>
    <w:basedOn w:val="Normal"/>
    <w:next w:val="Normal"/>
    <w:link w:val="Heading3Char"/>
    <w:uiPriority w:val="9"/>
    <w:semiHidden/>
    <w:unhideWhenUsed/>
    <w:qFormat/>
    <w:rsid w:val="00ED01FF"/>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3800"/>
    <w:rPr>
      <w:rFonts w:ascii="Times New Roman" w:eastAsiaTheme="majorEastAsia" w:hAnsi="Times New Roman" w:cstheme="majorBidi"/>
      <w:b/>
      <w:sz w:val="24"/>
      <w:szCs w:val="32"/>
    </w:rPr>
  </w:style>
  <w:style w:type="character" w:customStyle="1" w:styleId="Heading2Char">
    <w:name w:val="Heading 2 Char"/>
    <w:basedOn w:val="DefaultParagraphFont"/>
    <w:link w:val="Heading2"/>
    <w:uiPriority w:val="9"/>
    <w:rsid w:val="004D3AEF"/>
    <w:rPr>
      <w:rFonts w:ascii="Times New Roman" w:eastAsiaTheme="majorEastAsia" w:hAnsi="Times New Roman" w:cstheme="majorBidi"/>
      <w:b/>
      <w:sz w:val="24"/>
      <w:szCs w:val="26"/>
    </w:rPr>
  </w:style>
  <w:style w:type="paragraph" w:styleId="Title">
    <w:name w:val="Title"/>
    <w:basedOn w:val="Normal"/>
    <w:next w:val="Normal"/>
    <w:link w:val="TitleChar"/>
    <w:autoRedefine/>
    <w:uiPriority w:val="10"/>
    <w:qFormat/>
    <w:rsid w:val="00705577"/>
    <w:pPr>
      <w:spacing w:after="0"/>
      <w:contextualSpacing/>
    </w:pPr>
    <w:rPr>
      <w:rFonts w:eastAsiaTheme="majorEastAsia" w:cstheme="majorBidi"/>
      <w:b/>
      <w:spacing w:val="-10"/>
      <w:kern w:val="28"/>
      <w:szCs w:val="56"/>
    </w:rPr>
  </w:style>
  <w:style w:type="character" w:customStyle="1" w:styleId="TitleChar">
    <w:name w:val="Title Char"/>
    <w:basedOn w:val="DefaultParagraphFont"/>
    <w:link w:val="Title"/>
    <w:uiPriority w:val="10"/>
    <w:rsid w:val="00705577"/>
    <w:rPr>
      <w:rFonts w:ascii="Times New Roman" w:eastAsiaTheme="majorEastAsia" w:hAnsi="Times New Roman" w:cstheme="majorBidi"/>
      <w:b/>
      <w:spacing w:val="-10"/>
      <w:kern w:val="28"/>
      <w:sz w:val="24"/>
      <w:szCs w:val="56"/>
    </w:rPr>
  </w:style>
  <w:style w:type="character" w:styleId="PlaceholderText">
    <w:name w:val="Placeholder Text"/>
    <w:basedOn w:val="DefaultParagraphFont"/>
    <w:uiPriority w:val="99"/>
    <w:semiHidden/>
    <w:rsid w:val="0052051B"/>
    <w:rPr>
      <w:color w:val="666666"/>
    </w:rPr>
  </w:style>
  <w:style w:type="character" w:customStyle="1" w:styleId="MTEquationSection">
    <w:name w:val="MTEquationSection"/>
    <w:basedOn w:val="DefaultParagraphFont"/>
    <w:rsid w:val="00FA78A7"/>
    <w:rPr>
      <w:b/>
      <w:bCs/>
      <w:vanish/>
      <w:color w:val="FF0000"/>
    </w:rPr>
  </w:style>
  <w:style w:type="paragraph" w:customStyle="1" w:styleId="MTDisplayEquation">
    <w:name w:val="MTDisplayEquation"/>
    <w:basedOn w:val="Normal"/>
    <w:next w:val="Normal"/>
    <w:link w:val="MTDisplayEquationChar"/>
    <w:rsid w:val="00FA78A7"/>
    <w:pPr>
      <w:tabs>
        <w:tab w:val="center" w:pos="4680"/>
        <w:tab w:val="right" w:pos="9360"/>
      </w:tabs>
    </w:pPr>
  </w:style>
  <w:style w:type="character" w:customStyle="1" w:styleId="MTDisplayEquationChar">
    <w:name w:val="MTDisplayEquation Char"/>
    <w:basedOn w:val="DefaultParagraphFont"/>
    <w:link w:val="MTDisplayEquation"/>
    <w:rsid w:val="00FA78A7"/>
    <w:rPr>
      <w:rFonts w:ascii="Times New Roman" w:hAnsi="Times New Roman"/>
      <w:sz w:val="24"/>
    </w:rPr>
  </w:style>
  <w:style w:type="paragraph" w:customStyle="1" w:styleId="figure">
    <w:name w:val="figure"/>
    <w:basedOn w:val="Heading3"/>
    <w:autoRedefine/>
    <w:qFormat/>
    <w:rsid w:val="00ED01FF"/>
    <w:rPr>
      <w:rFonts w:ascii="Times New Roman" w:hAnsi="Times New Roman"/>
      <w:b/>
      <w:color w:val="auto"/>
    </w:rPr>
  </w:style>
  <w:style w:type="character" w:customStyle="1" w:styleId="Heading3Char">
    <w:name w:val="Heading 3 Char"/>
    <w:basedOn w:val="DefaultParagraphFont"/>
    <w:link w:val="Heading3"/>
    <w:uiPriority w:val="9"/>
    <w:semiHidden/>
    <w:rsid w:val="00ED01FF"/>
    <w:rPr>
      <w:rFonts w:asciiTheme="majorHAnsi" w:eastAsiaTheme="majorEastAsia" w:hAnsiTheme="majorHAnsi" w:cstheme="majorBidi"/>
      <w:color w:val="1F3763" w:themeColor="accent1" w:themeShade="7F"/>
      <w:sz w:val="24"/>
      <w:szCs w:val="24"/>
    </w:rPr>
  </w:style>
  <w:style w:type="paragraph" w:customStyle="1" w:styleId="table">
    <w:name w:val="table"/>
    <w:basedOn w:val="figure"/>
    <w:link w:val="tableChar"/>
    <w:autoRedefine/>
    <w:qFormat/>
    <w:rsid w:val="00EA36D3"/>
  </w:style>
  <w:style w:type="character" w:customStyle="1" w:styleId="tableChar">
    <w:name w:val="table Char"/>
    <w:basedOn w:val="DefaultParagraphFont"/>
    <w:link w:val="table"/>
    <w:rsid w:val="00EA36D3"/>
    <w:rPr>
      <w:rFonts w:ascii="Times New Roman" w:eastAsiaTheme="majorEastAsia" w:hAnsi="Times New Roman" w:cstheme="majorBidi"/>
      <w:b/>
      <w:sz w:val="24"/>
      <w:szCs w:val="24"/>
    </w:rPr>
  </w:style>
  <w:style w:type="paragraph" w:styleId="ListParagraph">
    <w:name w:val="List Paragraph"/>
    <w:basedOn w:val="Normal"/>
    <w:uiPriority w:val="34"/>
    <w:qFormat/>
    <w:rsid w:val="009D0606"/>
    <w:pPr>
      <w:ind w:left="720"/>
      <w:contextualSpacing/>
    </w:pPr>
  </w:style>
  <w:style w:type="paragraph" w:styleId="FootnoteText">
    <w:name w:val="footnote text"/>
    <w:basedOn w:val="Normal"/>
    <w:link w:val="FootnoteTextChar"/>
    <w:uiPriority w:val="99"/>
    <w:semiHidden/>
    <w:unhideWhenUsed/>
    <w:rsid w:val="004E0509"/>
    <w:pPr>
      <w:spacing w:after="0"/>
    </w:pPr>
    <w:rPr>
      <w:sz w:val="20"/>
      <w:szCs w:val="20"/>
    </w:rPr>
  </w:style>
  <w:style w:type="character" w:customStyle="1" w:styleId="FootnoteTextChar">
    <w:name w:val="Footnote Text Char"/>
    <w:basedOn w:val="DefaultParagraphFont"/>
    <w:link w:val="FootnoteText"/>
    <w:uiPriority w:val="99"/>
    <w:semiHidden/>
    <w:rsid w:val="004E0509"/>
    <w:rPr>
      <w:rFonts w:ascii="Times New Roman" w:hAnsi="Times New Roman"/>
      <w:sz w:val="20"/>
      <w:szCs w:val="20"/>
    </w:rPr>
  </w:style>
  <w:style w:type="character" w:styleId="FootnoteReference">
    <w:name w:val="footnote reference"/>
    <w:basedOn w:val="DefaultParagraphFont"/>
    <w:uiPriority w:val="99"/>
    <w:semiHidden/>
    <w:unhideWhenUsed/>
    <w:rsid w:val="004E0509"/>
    <w:rPr>
      <w:vertAlign w:val="superscript"/>
    </w:rPr>
  </w:style>
  <w:style w:type="paragraph" w:customStyle="1" w:styleId="Note">
    <w:name w:val="Note"/>
    <w:basedOn w:val="Normal"/>
    <w:link w:val="NoteChar"/>
    <w:autoRedefine/>
    <w:qFormat/>
    <w:rsid w:val="005F016F"/>
    <w:pPr>
      <w:spacing w:line="240" w:lineRule="auto"/>
    </w:pPr>
    <w:rPr>
      <w:sz w:val="22"/>
      <w:szCs w:val="20"/>
    </w:rPr>
  </w:style>
  <w:style w:type="character" w:customStyle="1" w:styleId="NoteChar">
    <w:name w:val="Note Char"/>
    <w:basedOn w:val="DefaultParagraphFont"/>
    <w:link w:val="Note"/>
    <w:rsid w:val="005F016F"/>
    <w:rPr>
      <w:rFonts w:ascii="Times New Roman" w:hAnsi="Times New Roman"/>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936514">
      <w:bodyDiv w:val="1"/>
      <w:marLeft w:val="0"/>
      <w:marRight w:val="0"/>
      <w:marTop w:val="0"/>
      <w:marBottom w:val="0"/>
      <w:divBdr>
        <w:top w:val="none" w:sz="0" w:space="0" w:color="auto"/>
        <w:left w:val="none" w:sz="0" w:space="0" w:color="auto"/>
        <w:bottom w:val="none" w:sz="0" w:space="0" w:color="auto"/>
        <w:right w:val="none" w:sz="0" w:space="0" w:color="auto"/>
      </w:divBdr>
    </w:div>
    <w:div w:id="302543209">
      <w:bodyDiv w:val="1"/>
      <w:marLeft w:val="0"/>
      <w:marRight w:val="0"/>
      <w:marTop w:val="0"/>
      <w:marBottom w:val="0"/>
      <w:divBdr>
        <w:top w:val="none" w:sz="0" w:space="0" w:color="auto"/>
        <w:left w:val="none" w:sz="0" w:space="0" w:color="auto"/>
        <w:bottom w:val="none" w:sz="0" w:space="0" w:color="auto"/>
        <w:right w:val="none" w:sz="0" w:space="0" w:color="auto"/>
      </w:divBdr>
    </w:div>
    <w:div w:id="330377832">
      <w:bodyDiv w:val="1"/>
      <w:marLeft w:val="0"/>
      <w:marRight w:val="0"/>
      <w:marTop w:val="0"/>
      <w:marBottom w:val="0"/>
      <w:divBdr>
        <w:top w:val="none" w:sz="0" w:space="0" w:color="auto"/>
        <w:left w:val="none" w:sz="0" w:space="0" w:color="auto"/>
        <w:bottom w:val="none" w:sz="0" w:space="0" w:color="auto"/>
        <w:right w:val="none" w:sz="0" w:space="0" w:color="auto"/>
      </w:divBdr>
    </w:div>
    <w:div w:id="437723120">
      <w:bodyDiv w:val="1"/>
      <w:marLeft w:val="0"/>
      <w:marRight w:val="0"/>
      <w:marTop w:val="0"/>
      <w:marBottom w:val="0"/>
      <w:divBdr>
        <w:top w:val="none" w:sz="0" w:space="0" w:color="auto"/>
        <w:left w:val="none" w:sz="0" w:space="0" w:color="auto"/>
        <w:bottom w:val="none" w:sz="0" w:space="0" w:color="auto"/>
        <w:right w:val="none" w:sz="0" w:space="0" w:color="auto"/>
      </w:divBdr>
      <w:divsChild>
        <w:div w:id="632104516">
          <w:marLeft w:val="0"/>
          <w:marRight w:val="0"/>
          <w:marTop w:val="0"/>
          <w:marBottom w:val="0"/>
          <w:divBdr>
            <w:top w:val="single" w:sz="2" w:space="0" w:color="D9D9E3"/>
            <w:left w:val="single" w:sz="2" w:space="0" w:color="D9D9E3"/>
            <w:bottom w:val="single" w:sz="2" w:space="0" w:color="D9D9E3"/>
            <w:right w:val="single" w:sz="2" w:space="0" w:color="D9D9E3"/>
          </w:divBdr>
          <w:divsChild>
            <w:div w:id="1261184764">
              <w:marLeft w:val="0"/>
              <w:marRight w:val="0"/>
              <w:marTop w:val="0"/>
              <w:marBottom w:val="0"/>
              <w:divBdr>
                <w:top w:val="single" w:sz="2" w:space="0" w:color="D9D9E3"/>
                <w:left w:val="single" w:sz="2" w:space="0" w:color="D9D9E3"/>
                <w:bottom w:val="single" w:sz="2" w:space="0" w:color="D9D9E3"/>
                <w:right w:val="single" w:sz="2" w:space="0" w:color="D9D9E3"/>
              </w:divBdr>
              <w:divsChild>
                <w:div w:id="2044861851">
                  <w:marLeft w:val="0"/>
                  <w:marRight w:val="0"/>
                  <w:marTop w:val="0"/>
                  <w:marBottom w:val="0"/>
                  <w:divBdr>
                    <w:top w:val="single" w:sz="2" w:space="0" w:color="D9D9E3"/>
                    <w:left w:val="single" w:sz="2" w:space="0" w:color="D9D9E3"/>
                    <w:bottom w:val="single" w:sz="2" w:space="0" w:color="D9D9E3"/>
                    <w:right w:val="single" w:sz="2" w:space="0" w:color="D9D9E3"/>
                  </w:divBdr>
                  <w:divsChild>
                    <w:div w:id="1299841237">
                      <w:marLeft w:val="0"/>
                      <w:marRight w:val="0"/>
                      <w:marTop w:val="0"/>
                      <w:marBottom w:val="0"/>
                      <w:divBdr>
                        <w:top w:val="single" w:sz="2" w:space="0" w:color="D9D9E3"/>
                        <w:left w:val="single" w:sz="2" w:space="0" w:color="D9D9E3"/>
                        <w:bottom w:val="single" w:sz="2" w:space="0" w:color="D9D9E3"/>
                        <w:right w:val="single" w:sz="2" w:space="0" w:color="D9D9E3"/>
                      </w:divBdr>
                      <w:divsChild>
                        <w:div w:id="47152869">
                          <w:marLeft w:val="0"/>
                          <w:marRight w:val="0"/>
                          <w:marTop w:val="0"/>
                          <w:marBottom w:val="0"/>
                          <w:divBdr>
                            <w:top w:val="single" w:sz="2" w:space="0" w:color="D9D9E3"/>
                            <w:left w:val="single" w:sz="2" w:space="0" w:color="D9D9E3"/>
                            <w:bottom w:val="single" w:sz="2" w:space="0" w:color="D9D9E3"/>
                            <w:right w:val="single" w:sz="2" w:space="0" w:color="D9D9E3"/>
                          </w:divBdr>
                          <w:divsChild>
                            <w:div w:id="722751293">
                              <w:marLeft w:val="0"/>
                              <w:marRight w:val="0"/>
                              <w:marTop w:val="100"/>
                              <w:marBottom w:val="100"/>
                              <w:divBdr>
                                <w:top w:val="single" w:sz="2" w:space="0" w:color="D9D9E3"/>
                                <w:left w:val="single" w:sz="2" w:space="0" w:color="D9D9E3"/>
                                <w:bottom w:val="single" w:sz="2" w:space="0" w:color="D9D9E3"/>
                                <w:right w:val="single" w:sz="2" w:space="0" w:color="D9D9E3"/>
                              </w:divBdr>
                              <w:divsChild>
                                <w:div w:id="430515540">
                                  <w:marLeft w:val="0"/>
                                  <w:marRight w:val="0"/>
                                  <w:marTop w:val="0"/>
                                  <w:marBottom w:val="0"/>
                                  <w:divBdr>
                                    <w:top w:val="single" w:sz="2" w:space="0" w:color="D9D9E3"/>
                                    <w:left w:val="single" w:sz="2" w:space="0" w:color="D9D9E3"/>
                                    <w:bottom w:val="single" w:sz="2" w:space="0" w:color="D9D9E3"/>
                                    <w:right w:val="single" w:sz="2" w:space="0" w:color="D9D9E3"/>
                                  </w:divBdr>
                                  <w:divsChild>
                                    <w:div w:id="1846432524">
                                      <w:marLeft w:val="0"/>
                                      <w:marRight w:val="0"/>
                                      <w:marTop w:val="0"/>
                                      <w:marBottom w:val="0"/>
                                      <w:divBdr>
                                        <w:top w:val="single" w:sz="2" w:space="0" w:color="D9D9E3"/>
                                        <w:left w:val="single" w:sz="2" w:space="0" w:color="D9D9E3"/>
                                        <w:bottom w:val="single" w:sz="2" w:space="0" w:color="D9D9E3"/>
                                        <w:right w:val="single" w:sz="2" w:space="0" w:color="D9D9E3"/>
                                      </w:divBdr>
                                      <w:divsChild>
                                        <w:div w:id="2028747746">
                                          <w:marLeft w:val="0"/>
                                          <w:marRight w:val="0"/>
                                          <w:marTop w:val="0"/>
                                          <w:marBottom w:val="0"/>
                                          <w:divBdr>
                                            <w:top w:val="single" w:sz="2" w:space="0" w:color="D9D9E3"/>
                                            <w:left w:val="single" w:sz="2" w:space="0" w:color="D9D9E3"/>
                                            <w:bottom w:val="single" w:sz="2" w:space="0" w:color="D9D9E3"/>
                                            <w:right w:val="single" w:sz="2" w:space="0" w:color="D9D9E3"/>
                                          </w:divBdr>
                                          <w:divsChild>
                                            <w:div w:id="376392352">
                                              <w:marLeft w:val="0"/>
                                              <w:marRight w:val="0"/>
                                              <w:marTop w:val="0"/>
                                              <w:marBottom w:val="0"/>
                                              <w:divBdr>
                                                <w:top w:val="single" w:sz="2" w:space="0" w:color="D9D9E3"/>
                                                <w:left w:val="single" w:sz="2" w:space="0" w:color="D9D9E3"/>
                                                <w:bottom w:val="single" w:sz="2" w:space="0" w:color="D9D9E3"/>
                                                <w:right w:val="single" w:sz="2" w:space="0" w:color="D9D9E3"/>
                                              </w:divBdr>
                                              <w:divsChild>
                                                <w:div w:id="1946230740">
                                                  <w:marLeft w:val="0"/>
                                                  <w:marRight w:val="0"/>
                                                  <w:marTop w:val="0"/>
                                                  <w:marBottom w:val="0"/>
                                                  <w:divBdr>
                                                    <w:top w:val="single" w:sz="2" w:space="0" w:color="D9D9E3"/>
                                                    <w:left w:val="single" w:sz="2" w:space="0" w:color="D9D9E3"/>
                                                    <w:bottom w:val="single" w:sz="2" w:space="0" w:color="D9D9E3"/>
                                                    <w:right w:val="single" w:sz="2" w:space="0" w:color="D9D9E3"/>
                                                  </w:divBdr>
                                                  <w:divsChild>
                                                    <w:div w:id="10067095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644629846">
          <w:marLeft w:val="0"/>
          <w:marRight w:val="0"/>
          <w:marTop w:val="0"/>
          <w:marBottom w:val="0"/>
          <w:divBdr>
            <w:top w:val="none" w:sz="0" w:space="0" w:color="auto"/>
            <w:left w:val="none" w:sz="0" w:space="0" w:color="auto"/>
            <w:bottom w:val="none" w:sz="0" w:space="0" w:color="auto"/>
            <w:right w:val="none" w:sz="0" w:space="0" w:color="auto"/>
          </w:divBdr>
        </w:div>
      </w:divsChild>
    </w:div>
    <w:div w:id="492720077">
      <w:bodyDiv w:val="1"/>
      <w:marLeft w:val="0"/>
      <w:marRight w:val="0"/>
      <w:marTop w:val="0"/>
      <w:marBottom w:val="0"/>
      <w:divBdr>
        <w:top w:val="none" w:sz="0" w:space="0" w:color="auto"/>
        <w:left w:val="none" w:sz="0" w:space="0" w:color="auto"/>
        <w:bottom w:val="none" w:sz="0" w:space="0" w:color="auto"/>
        <w:right w:val="none" w:sz="0" w:space="0" w:color="auto"/>
      </w:divBdr>
    </w:div>
    <w:div w:id="586883854">
      <w:bodyDiv w:val="1"/>
      <w:marLeft w:val="0"/>
      <w:marRight w:val="0"/>
      <w:marTop w:val="0"/>
      <w:marBottom w:val="0"/>
      <w:divBdr>
        <w:top w:val="none" w:sz="0" w:space="0" w:color="auto"/>
        <w:left w:val="none" w:sz="0" w:space="0" w:color="auto"/>
        <w:bottom w:val="none" w:sz="0" w:space="0" w:color="auto"/>
        <w:right w:val="none" w:sz="0" w:space="0" w:color="auto"/>
      </w:divBdr>
    </w:div>
    <w:div w:id="627856228">
      <w:bodyDiv w:val="1"/>
      <w:marLeft w:val="0"/>
      <w:marRight w:val="0"/>
      <w:marTop w:val="0"/>
      <w:marBottom w:val="0"/>
      <w:divBdr>
        <w:top w:val="none" w:sz="0" w:space="0" w:color="auto"/>
        <w:left w:val="none" w:sz="0" w:space="0" w:color="auto"/>
        <w:bottom w:val="none" w:sz="0" w:space="0" w:color="auto"/>
        <w:right w:val="none" w:sz="0" w:space="0" w:color="auto"/>
      </w:divBdr>
    </w:div>
    <w:div w:id="639966608">
      <w:bodyDiv w:val="1"/>
      <w:marLeft w:val="0"/>
      <w:marRight w:val="0"/>
      <w:marTop w:val="0"/>
      <w:marBottom w:val="0"/>
      <w:divBdr>
        <w:top w:val="none" w:sz="0" w:space="0" w:color="auto"/>
        <w:left w:val="none" w:sz="0" w:space="0" w:color="auto"/>
        <w:bottom w:val="none" w:sz="0" w:space="0" w:color="auto"/>
        <w:right w:val="none" w:sz="0" w:space="0" w:color="auto"/>
      </w:divBdr>
    </w:div>
    <w:div w:id="643659125">
      <w:bodyDiv w:val="1"/>
      <w:marLeft w:val="0"/>
      <w:marRight w:val="0"/>
      <w:marTop w:val="0"/>
      <w:marBottom w:val="0"/>
      <w:divBdr>
        <w:top w:val="none" w:sz="0" w:space="0" w:color="auto"/>
        <w:left w:val="none" w:sz="0" w:space="0" w:color="auto"/>
        <w:bottom w:val="none" w:sz="0" w:space="0" w:color="auto"/>
        <w:right w:val="none" w:sz="0" w:space="0" w:color="auto"/>
      </w:divBdr>
    </w:div>
    <w:div w:id="736779470">
      <w:bodyDiv w:val="1"/>
      <w:marLeft w:val="0"/>
      <w:marRight w:val="0"/>
      <w:marTop w:val="0"/>
      <w:marBottom w:val="0"/>
      <w:divBdr>
        <w:top w:val="none" w:sz="0" w:space="0" w:color="auto"/>
        <w:left w:val="none" w:sz="0" w:space="0" w:color="auto"/>
        <w:bottom w:val="none" w:sz="0" w:space="0" w:color="auto"/>
        <w:right w:val="none" w:sz="0" w:space="0" w:color="auto"/>
      </w:divBdr>
    </w:div>
    <w:div w:id="881093393">
      <w:bodyDiv w:val="1"/>
      <w:marLeft w:val="0"/>
      <w:marRight w:val="0"/>
      <w:marTop w:val="0"/>
      <w:marBottom w:val="0"/>
      <w:divBdr>
        <w:top w:val="none" w:sz="0" w:space="0" w:color="auto"/>
        <w:left w:val="none" w:sz="0" w:space="0" w:color="auto"/>
        <w:bottom w:val="none" w:sz="0" w:space="0" w:color="auto"/>
        <w:right w:val="none" w:sz="0" w:space="0" w:color="auto"/>
      </w:divBdr>
    </w:div>
    <w:div w:id="929392952">
      <w:bodyDiv w:val="1"/>
      <w:marLeft w:val="0"/>
      <w:marRight w:val="0"/>
      <w:marTop w:val="0"/>
      <w:marBottom w:val="0"/>
      <w:divBdr>
        <w:top w:val="none" w:sz="0" w:space="0" w:color="auto"/>
        <w:left w:val="none" w:sz="0" w:space="0" w:color="auto"/>
        <w:bottom w:val="none" w:sz="0" w:space="0" w:color="auto"/>
        <w:right w:val="none" w:sz="0" w:space="0" w:color="auto"/>
      </w:divBdr>
    </w:div>
    <w:div w:id="1159619582">
      <w:bodyDiv w:val="1"/>
      <w:marLeft w:val="0"/>
      <w:marRight w:val="0"/>
      <w:marTop w:val="0"/>
      <w:marBottom w:val="0"/>
      <w:divBdr>
        <w:top w:val="none" w:sz="0" w:space="0" w:color="auto"/>
        <w:left w:val="none" w:sz="0" w:space="0" w:color="auto"/>
        <w:bottom w:val="none" w:sz="0" w:space="0" w:color="auto"/>
        <w:right w:val="none" w:sz="0" w:space="0" w:color="auto"/>
      </w:divBdr>
    </w:div>
    <w:div w:id="1281566041">
      <w:bodyDiv w:val="1"/>
      <w:marLeft w:val="0"/>
      <w:marRight w:val="0"/>
      <w:marTop w:val="0"/>
      <w:marBottom w:val="0"/>
      <w:divBdr>
        <w:top w:val="none" w:sz="0" w:space="0" w:color="auto"/>
        <w:left w:val="none" w:sz="0" w:space="0" w:color="auto"/>
        <w:bottom w:val="none" w:sz="0" w:space="0" w:color="auto"/>
        <w:right w:val="none" w:sz="0" w:space="0" w:color="auto"/>
      </w:divBdr>
    </w:div>
    <w:div w:id="1294680084">
      <w:bodyDiv w:val="1"/>
      <w:marLeft w:val="0"/>
      <w:marRight w:val="0"/>
      <w:marTop w:val="0"/>
      <w:marBottom w:val="0"/>
      <w:divBdr>
        <w:top w:val="none" w:sz="0" w:space="0" w:color="auto"/>
        <w:left w:val="none" w:sz="0" w:space="0" w:color="auto"/>
        <w:bottom w:val="none" w:sz="0" w:space="0" w:color="auto"/>
        <w:right w:val="none" w:sz="0" w:space="0" w:color="auto"/>
      </w:divBdr>
    </w:div>
    <w:div w:id="1364556627">
      <w:bodyDiv w:val="1"/>
      <w:marLeft w:val="0"/>
      <w:marRight w:val="0"/>
      <w:marTop w:val="0"/>
      <w:marBottom w:val="0"/>
      <w:divBdr>
        <w:top w:val="none" w:sz="0" w:space="0" w:color="auto"/>
        <w:left w:val="none" w:sz="0" w:space="0" w:color="auto"/>
        <w:bottom w:val="none" w:sz="0" w:space="0" w:color="auto"/>
        <w:right w:val="none" w:sz="0" w:space="0" w:color="auto"/>
      </w:divBdr>
    </w:div>
    <w:div w:id="1408720838">
      <w:bodyDiv w:val="1"/>
      <w:marLeft w:val="0"/>
      <w:marRight w:val="0"/>
      <w:marTop w:val="0"/>
      <w:marBottom w:val="0"/>
      <w:divBdr>
        <w:top w:val="none" w:sz="0" w:space="0" w:color="auto"/>
        <w:left w:val="none" w:sz="0" w:space="0" w:color="auto"/>
        <w:bottom w:val="none" w:sz="0" w:space="0" w:color="auto"/>
        <w:right w:val="none" w:sz="0" w:space="0" w:color="auto"/>
      </w:divBdr>
    </w:div>
    <w:div w:id="1472285882">
      <w:bodyDiv w:val="1"/>
      <w:marLeft w:val="0"/>
      <w:marRight w:val="0"/>
      <w:marTop w:val="0"/>
      <w:marBottom w:val="0"/>
      <w:divBdr>
        <w:top w:val="none" w:sz="0" w:space="0" w:color="auto"/>
        <w:left w:val="none" w:sz="0" w:space="0" w:color="auto"/>
        <w:bottom w:val="none" w:sz="0" w:space="0" w:color="auto"/>
        <w:right w:val="none" w:sz="0" w:space="0" w:color="auto"/>
      </w:divBdr>
    </w:div>
    <w:div w:id="1582325061">
      <w:bodyDiv w:val="1"/>
      <w:marLeft w:val="0"/>
      <w:marRight w:val="0"/>
      <w:marTop w:val="0"/>
      <w:marBottom w:val="0"/>
      <w:divBdr>
        <w:top w:val="none" w:sz="0" w:space="0" w:color="auto"/>
        <w:left w:val="none" w:sz="0" w:space="0" w:color="auto"/>
        <w:bottom w:val="none" w:sz="0" w:space="0" w:color="auto"/>
        <w:right w:val="none" w:sz="0" w:space="0" w:color="auto"/>
      </w:divBdr>
    </w:div>
    <w:div w:id="1667901550">
      <w:bodyDiv w:val="1"/>
      <w:marLeft w:val="0"/>
      <w:marRight w:val="0"/>
      <w:marTop w:val="0"/>
      <w:marBottom w:val="0"/>
      <w:divBdr>
        <w:top w:val="none" w:sz="0" w:space="0" w:color="auto"/>
        <w:left w:val="none" w:sz="0" w:space="0" w:color="auto"/>
        <w:bottom w:val="none" w:sz="0" w:space="0" w:color="auto"/>
        <w:right w:val="none" w:sz="0" w:space="0" w:color="auto"/>
      </w:divBdr>
    </w:div>
    <w:div w:id="1720591341">
      <w:bodyDiv w:val="1"/>
      <w:marLeft w:val="0"/>
      <w:marRight w:val="0"/>
      <w:marTop w:val="0"/>
      <w:marBottom w:val="0"/>
      <w:divBdr>
        <w:top w:val="none" w:sz="0" w:space="0" w:color="auto"/>
        <w:left w:val="none" w:sz="0" w:space="0" w:color="auto"/>
        <w:bottom w:val="none" w:sz="0" w:space="0" w:color="auto"/>
        <w:right w:val="none" w:sz="0" w:space="0" w:color="auto"/>
      </w:divBdr>
    </w:div>
    <w:div w:id="1781142499">
      <w:bodyDiv w:val="1"/>
      <w:marLeft w:val="0"/>
      <w:marRight w:val="0"/>
      <w:marTop w:val="0"/>
      <w:marBottom w:val="0"/>
      <w:divBdr>
        <w:top w:val="none" w:sz="0" w:space="0" w:color="auto"/>
        <w:left w:val="none" w:sz="0" w:space="0" w:color="auto"/>
        <w:bottom w:val="none" w:sz="0" w:space="0" w:color="auto"/>
        <w:right w:val="none" w:sz="0" w:space="0" w:color="auto"/>
      </w:divBdr>
    </w:div>
    <w:div w:id="2082482105">
      <w:bodyDiv w:val="1"/>
      <w:marLeft w:val="0"/>
      <w:marRight w:val="0"/>
      <w:marTop w:val="0"/>
      <w:marBottom w:val="0"/>
      <w:divBdr>
        <w:top w:val="none" w:sz="0" w:space="0" w:color="auto"/>
        <w:left w:val="none" w:sz="0" w:space="0" w:color="auto"/>
        <w:bottom w:val="none" w:sz="0" w:space="0" w:color="auto"/>
        <w:right w:val="none" w:sz="0" w:space="0" w:color="auto"/>
      </w:divBdr>
    </w:div>
    <w:div w:id="2109039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wmf"/><Relationship Id="rId21" Type="http://schemas.openxmlformats.org/officeDocument/2006/relationships/oleObject" Target="embeddings/oleObject4.bin"/><Relationship Id="rId42" Type="http://schemas.openxmlformats.org/officeDocument/2006/relationships/image" Target="media/image18.wmf"/><Relationship Id="rId47" Type="http://schemas.openxmlformats.org/officeDocument/2006/relationships/oleObject" Target="embeddings/oleObject17.bin"/><Relationship Id="rId63" Type="http://schemas.openxmlformats.org/officeDocument/2006/relationships/oleObject" Target="embeddings/oleObject25.bin"/><Relationship Id="rId68" Type="http://schemas.openxmlformats.org/officeDocument/2006/relationships/image" Target="media/image32.png"/><Relationship Id="rId16" Type="http://schemas.openxmlformats.org/officeDocument/2006/relationships/image" Target="media/image5.wmf"/><Relationship Id="rId11" Type="http://schemas.openxmlformats.org/officeDocument/2006/relationships/image" Target="media/image1.png"/><Relationship Id="rId24" Type="http://schemas.openxmlformats.org/officeDocument/2006/relationships/image" Target="media/image9.wmf"/><Relationship Id="rId32" Type="http://schemas.openxmlformats.org/officeDocument/2006/relationships/image" Target="media/image13.wmf"/><Relationship Id="rId37" Type="http://schemas.openxmlformats.org/officeDocument/2006/relationships/oleObject" Target="embeddings/oleObject12.bin"/><Relationship Id="rId40" Type="http://schemas.openxmlformats.org/officeDocument/2006/relationships/image" Target="media/image17.wmf"/><Relationship Id="rId45" Type="http://schemas.openxmlformats.org/officeDocument/2006/relationships/oleObject" Target="embeddings/oleObject16.bin"/><Relationship Id="rId53" Type="http://schemas.openxmlformats.org/officeDocument/2006/relationships/oleObject" Target="embeddings/oleObject20.bin"/><Relationship Id="rId58" Type="http://schemas.openxmlformats.org/officeDocument/2006/relationships/image" Target="media/image26.wmf"/><Relationship Id="rId66" Type="http://schemas.openxmlformats.org/officeDocument/2006/relationships/image" Target="media/image30.png"/><Relationship Id="rId74" Type="http://schemas.openxmlformats.org/officeDocument/2006/relationships/image" Target="media/image38.png"/><Relationship Id="rId5" Type="http://schemas.openxmlformats.org/officeDocument/2006/relationships/numbering" Target="numbering.xml"/><Relationship Id="rId61" Type="http://schemas.openxmlformats.org/officeDocument/2006/relationships/oleObject" Target="embeddings/oleObject24.bin"/><Relationship Id="rId19" Type="http://schemas.openxmlformats.org/officeDocument/2006/relationships/oleObject" Target="embeddings/oleObject3.bin"/><Relationship Id="rId14" Type="http://schemas.openxmlformats.org/officeDocument/2006/relationships/image" Target="media/image4.wmf"/><Relationship Id="rId22" Type="http://schemas.openxmlformats.org/officeDocument/2006/relationships/image" Target="media/image8.wmf"/><Relationship Id="rId27" Type="http://schemas.openxmlformats.org/officeDocument/2006/relationships/oleObject" Target="embeddings/oleObject7.bin"/><Relationship Id="rId30" Type="http://schemas.openxmlformats.org/officeDocument/2006/relationships/image" Target="media/image12.wmf"/><Relationship Id="rId35" Type="http://schemas.openxmlformats.org/officeDocument/2006/relationships/oleObject" Target="embeddings/oleObject11.bin"/><Relationship Id="rId43" Type="http://schemas.openxmlformats.org/officeDocument/2006/relationships/oleObject" Target="embeddings/oleObject15.bin"/><Relationship Id="rId48" Type="http://schemas.openxmlformats.org/officeDocument/2006/relationships/image" Target="media/image21.wmf"/><Relationship Id="rId56" Type="http://schemas.openxmlformats.org/officeDocument/2006/relationships/image" Target="media/image25.wmf"/><Relationship Id="rId64" Type="http://schemas.openxmlformats.org/officeDocument/2006/relationships/image" Target="media/image29.wmf"/><Relationship Id="rId69" Type="http://schemas.openxmlformats.org/officeDocument/2006/relationships/image" Target="media/image33.png"/><Relationship Id="rId77"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oleObject" Target="embeddings/oleObject19.bin"/><Relationship Id="rId72" Type="http://schemas.openxmlformats.org/officeDocument/2006/relationships/image" Target="media/image36.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oleObject" Target="embeddings/oleObject2.bin"/><Relationship Id="rId25" Type="http://schemas.openxmlformats.org/officeDocument/2006/relationships/oleObject" Target="embeddings/oleObject6.bin"/><Relationship Id="rId33" Type="http://schemas.openxmlformats.org/officeDocument/2006/relationships/oleObject" Target="embeddings/oleObject10.bin"/><Relationship Id="rId38" Type="http://schemas.openxmlformats.org/officeDocument/2006/relationships/image" Target="media/image16.wmf"/><Relationship Id="rId46" Type="http://schemas.openxmlformats.org/officeDocument/2006/relationships/image" Target="media/image20.wmf"/><Relationship Id="rId59" Type="http://schemas.openxmlformats.org/officeDocument/2006/relationships/oleObject" Target="embeddings/oleObject23.bin"/><Relationship Id="rId67" Type="http://schemas.openxmlformats.org/officeDocument/2006/relationships/image" Target="media/image31.png"/><Relationship Id="rId20" Type="http://schemas.openxmlformats.org/officeDocument/2006/relationships/image" Target="media/image7.wmf"/><Relationship Id="rId41" Type="http://schemas.openxmlformats.org/officeDocument/2006/relationships/oleObject" Target="embeddings/oleObject14.bin"/><Relationship Id="rId54" Type="http://schemas.openxmlformats.org/officeDocument/2006/relationships/image" Target="media/image24.wmf"/><Relationship Id="rId62" Type="http://schemas.openxmlformats.org/officeDocument/2006/relationships/image" Target="media/image28.wmf"/><Relationship Id="rId70" Type="http://schemas.openxmlformats.org/officeDocument/2006/relationships/image" Target="media/image34.png"/><Relationship Id="rId75" Type="http://schemas.openxmlformats.org/officeDocument/2006/relationships/image" Target="media/image39.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oleObject" Target="embeddings/oleObject1.bin"/><Relationship Id="rId23" Type="http://schemas.openxmlformats.org/officeDocument/2006/relationships/oleObject" Target="embeddings/oleObject5.bin"/><Relationship Id="rId28" Type="http://schemas.openxmlformats.org/officeDocument/2006/relationships/image" Target="media/image11.wmf"/><Relationship Id="rId36" Type="http://schemas.openxmlformats.org/officeDocument/2006/relationships/image" Target="media/image15.wmf"/><Relationship Id="rId49" Type="http://schemas.openxmlformats.org/officeDocument/2006/relationships/oleObject" Target="embeddings/oleObject18.bin"/><Relationship Id="rId57" Type="http://schemas.openxmlformats.org/officeDocument/2006/relationships/oleObject" Target="embeddings/oleObject22.bin"/><Relationship Id="rId10" Type="http://schemas.openxmlformats.org/officeDocument/2006/relationships/endnotes" Target="endnotes.xml"/><Relationship Id="rId31" Type="http://schemas.openxmlformats.org/officeDocument/2006/relationships/oleObject" Target="embeddings/oleObject9.bin"/><Relationship Id="rId44" Type="http://schemas.openxmlformats.org/officeDocument/2006/relationships/image" Target="media/image19.wmf"/><Relationship Id="rId52" Type="http://schemas.openxmlformats.org/officeDocument/2006/relationships/image" Target="media/image23.wmf"/><Relationship Id="rId60" Type="http://schemas.openxmlformats.org/officeDocument/2006/relationships/image" Target="media/image27.wmf"/><Relationship Id="rId65" Type="http://schemas.openxmlformats.org/officeDocument/2006/relationships/oleObject" Target="embeddings/oleObject26.bin"/><Relationship Id="rId73" Type="http://schemas.openxmlformats.org/officeDocument/2006/relationships/image" Target="media/image37.png"/><Relationship Id="rId78"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6.wmf"/><Relationship Id="rId39" Type="http://schemas.openxmlformats.org/officeDocument/2006/relationships/oleObject" Target="embeddings/oleObject13.bin"/><Relationship Id="rId34" Type="http://schemas.openxmlformats.org/officeDocument/2006/relationships/image" Target="media/image14.wmf"/><Relationship Id="rId50" Type="http://schemas.openxmlformats.org/officeDocument/2006/relationships/image" Target="media/image22.wmf"/><Relationship Id="rId55" Type="http://schemas.openxmlformats.org/officeDocument/2006/relationships/oleObject" Target="embeddings/oleObject21.bin"/><Relationship Id="rId76" Type="http://schemas.openxmlformats.org/officeDocument/2006/relationships/image" Target="media/image40.png"/><Relationship Id="rId7" Type="http://schemas.openxmlformats.org/officeDocument/2006/relationships/settings" Target="settings.xml"/><Relationship Id="rId71" Type="http://schemas.openxmlformats.org/officeDocument/2006/relationships/image" Target="media/image35.png"/><Relationship Id="rId2" Type="http://schemas.openxmlformats.org/officeDocument/2006/relationships/customXml" Target="../customXml/item2.xml"/><Relationship Id="rId29" Type="http://schemas.openxmlformats.org/officeDocument/2006/relationships/oleObject" Target="embeddings/oleObject8.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a4d26d5d-4570-4008-8382-60aa76aff976"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B8B54C188BBC64296D45930E871EB27" ma:contentTypeVersion="4" ma:contentTypeDescription="Create a new document." ma:contentTypeScope="" ma:versionID="acfb631a49df3b94fcead21c057587e4">
  <xsd:schema xmlns:xsd="http://www.w3.org/2001/XMLSchema" xmlns:xs="http://www.w3.org/2001/XMLSchema" xmlns:p="http://schemas.microsoft.com/office/2006/metadata/properties" xmlns:ns3="a4d26d5d-4570-4008-8382-60aa76aff976" targetNamespace="http://schemas.microsoft.com/office/2006/metadata/properties" ma:root="true" ma:fieldsID="0936b094fde6e94586367d68a2257641" ns3:_="">
    <xsd:import namespace="a4d26d5d-4570-4008-8382-60aa76aff976"/>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d26d5d-4570-4008-8382-60aa76aff9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A781024-C34E-42D5-A895-7ACC9BBF6788}">
  <ds:schemaRefs>
    <ds:schemaRef ds:uri="http://schemas.microsoft.com/office/2006/metadata/properties"/>
    <ds:schemaRef ds:uri="http://schemas.microsoft.com/office/infopath/2007/PartnerControls"/>
    <ds:schemaRef ds:uri="a4d26d5d-4570-4008-8382-60aa76aff976"/>
  </ds:schemaRefs>
</ds:datastoreItem>
</file>

<file path=customXml/itemProps2.xml><?xml version="1.0" encoding="utf-8"?>
<ds:datastoreItem xmlns:ds="http://schemas.openxmlformats.org/officeDocument/2006/customXml" ds:itemID="{B2DA850D-BD2A-4C31-959D-F3F72D495B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d26d5d-4570-4008-8382-60aa76aff97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C42274D-3AFE-4BEA-812F-974ACFB09427}">
  <ds:schemaRefs>
    <ds:schemaRef ds:uri="http://schemas.openxmlformats.org/officeDocument/2006/bibliography"/>
  </ds:schemaRefs>
</ds:datastoreItem>
</file>

<file path=customXml/itemProps4.xml><?xml version="1.0" encoding="utf-8"?>
<ds:datastoreItem xmlns:ds="http://schemas.openxmlformats.org/officeDocument/2006/customXml" ds:itemID="{15D70DC9-88D3-4D52-BEA4-C35979F19A2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3899</TotalTime>
  <Pages>24</Pages>
  <Words>4949</Words>
  <Characters>28214</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
    </vt:vector>
  </TitlesOfParts>
  <Company>Cornell University</Company>
  <LinksUpToDate>false</LinksUpToDate>
  <CharactersWithSpaces>33097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Jing Yi</dc:creator>
  <cp:keywords/>
  <dc:description/>
  <cp:lastModifiedBy>JING YI</cp:lastModifiedBy>
  <cp:revision>240</cp:revision>
  <cp:lastPrinted>2023-12-12T14:57:00Z</cp:lastPrinted>
  <dcterms:created xsi:type="dcterms:W3CDTF">2023-12-09T20:44:00Z</dcterms:created>
  <dcterms:modified xsi:type="dcterms:W3CDTF">2023-12-12T18:21:00Z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0x0101006B8B54C188BBC64296D45930E871EB27</vt:lpwstr>
  </property>
  <property fmtid="{D5CDD505-2E9C-101B-9397-08002B2CF9AE}" pid="3" name="MTEquationNumber2">
    <vt:lpwstr>(#E1)</vt:lpwstr>
  </property>
  <property fmtid="{D5CDD505-2E9C-101B-9397-08002B2CF9AE}" pid="4" name="MTEquationSection">
    <vt:lpwstr>1</vt:lpwstr>
  </property>
  <property fmtid="{D5CDD505-2E9C-101B-9397-08002B2CF9AE}" pid="5" name="MTWinEqns">
    <vt:bool>true</vt:bool>
  </property>
</Properties>
</file>