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sectPr>
          <w:footerReference r:id="rId10"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According to whom? Intrahousehold differences in reporting on adoption of improved cassava varieties and related resources</w:t>
      </w:r>
    </w:p>
    <w:p w:rsidR="00000000" w:rsidDel="00000000" w:rsidP="00000000" w:rsidRDefault="00000000" w:rsidRPr="00000000" w14:paraId="0000000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According to whom? Intrahousehold differences in reporting on adoption of improved cassava varieties and related resources</w:t>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research has examined gender gaps in technology as well as differences in spousal reporting. However, little research has compared reporting on adoption between household members. This paper uses the case of improved cassava varieties (ICV) in Nigeria to examine intrahousehold differences in reporting on adoption and the related resources. We use difference of means testing to find significant differences in reporting of ICV-related assets as well as plot management. We further identify significant differences between husbands and wives in reporting adoption; however, this difference is only at the household-level and not in individual reporting of adoption. By comparing responses of husbands and wives of the same household, we have a richer concept of reporting related to technology adoption, as well as important insights for adoption data collection methods.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Intrahousehold differences; survey methodologies; improved cassava; Nigeria; technology adoption; agriculture and rural development</w:t>
      </w:r>
    </w:p>
    <w:p w:rsidR="00000000" w:rsidDel="00000000" w:rsidP="00000000" w:rsidRDefault="00000000" w:rsidRPr="00000000" w14:paraId="0000000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JEL Codes:</w:t>
      </w:r>
      <w:r w:rsidDel="00000000" w:rsidR="00000000" w:rsidRPr="00000000">
        <w:rPr>
          <w:rFonts w:ascii="Times New Roman" w:cs="Times New Roman" w:eastAsia="Times New Roman" w:hAnsi="Times New Roman"/>
          <w:sz w:val="24"/>
          <w:szCs w:val="24"/>
          <w:rtl w:val="0"/>
        </w:rPr>
        <w:t xml:space="preserve"> D13 (household production and intrahousehold allocation); O13 (agriculture+); Q55 (tech innovation)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scientific understanding of the use of technologies are important for agricultural policy in addressing constraints to adoption as well as assessing its “distributional impacts” (Cheryl R. Doss 2006). As such, there is substantial interest and importance in understanding the gender gap in technology adoption. The consideration of gendered roles, responsibilities, differences, and inequities are essential to technological uptake as well as achieving rural research and development goals. While sex-disaggregated analysis can provide insight into gender gaps, there remain limitations to a respondent’s ability to answer for the whole household or other household members. In addition, responses can differ between household members. Previous comparisons of spousal and intrahousehold responses have looked at decision-making, assets, income reporting, and sharing of extension knowledge. These resources and assets are generally positively associated with ICV adoption, building the case to look at gender-related differences in reporting access to these assets as well as ICV adoption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itself</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Cassava (</w:t>
      </w:r>
      <w:r w:rsidDel="00000000" w:rsidR="00000000" w:rsidRPr="00000000">
        <w:rPr>
          <w:rFonts w:ascii="Times New Roman" w:cs="Times New Roman" w:eastAsia="Times New Roman" w:hAnsi="Times New Roman"/>
          <w:i w:val="1"/>
          <w:sz w:val="24"/>
          <w:szCs w:val="24"/>
          <w:rtl w:val="0"/>
        </w:rPr>
        <w:t xml:space="preserve">Manihot esculenta</w:t>
      </w:r>
      <w:r w:rsidDel="00000000" w:rsidR="00000000" w:rsidRPr="00000000">
        <w:rPr>
          <w:rFonts w:ascii="Times New Roman" w:cs="Times New Roman" w:eastAsia="Times New Roman" w:hAnsi="Times New Roman"/>
          <w:sz w:val="24"/>
          <w:szCs w:val="24"/>
          <w:rtl w:val="0"/>
        </w:rPr>
        <w:t xml:space="preserve">), a major staple crop, is the main source of calories for 500 million people across the globe. It can be grown with minimally purchased inputs due to its tolerance to environmental stresses, in particular drought (EL-Sharkawy, 2003). This minimal care, along with being an energy-dense food, make cassava central to food security and resilience strategies (Montagnac, Davis, and Tanumihardjo 2009). The majority of the countries with the highest daily rates of per capita cassava consumption are in Africa, with Nigeria being the world’s largest producer (FAOSTAT n.d.). In Nigeria, cassava is predominantly cultivated by men and women small holders (1-5 hectares) (Joyce Ahmadu and P. O. Idisi 2014). It is also the most important source of carbohydrates after maize and rice, and plays a principal role in the food economy (Udensi E Udensi et al. 2011). Given its importance, major efforts aim to improve cassava through global, regional and national crop improvement programs, leading to new cassava varieties released for adoption (Tahirou Abdoulaye et al. 2014). However, little is known about intrahousehold differences in adoption of these technologies and gendered rates of adoption remain unclear.</w:t>
      </w:r>
    </w:p>
    <w:p w:rsidR="00000000" w:rsidDel="00000000" w:rsidP="00000000" w:rsidRDefault="00000000" w:rsidRPr="00000000" w14:paraId="0000000A">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Improved Cassava Variety and Technology Adoption in Nigeria</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research explores the many factors that could influence cassava-related technology adoption in Nigeria. Extension programing is an approach to enhancing adoption of agricultural technologies, including weeding and fertilizer application in intercropping with maize and yam (A. E. Agwu, J. N. Ekwueme, and A. C. Anyanwu 2008). While adoption rates remained low, factors that influenced technology adoption were age, farming experience, and social participation (Agwu, Ekwueme, and Anyanwu 2008). Among other factors, land area cultivated, cassava yield, access to credit, and level of education were found to significantly influence the level of adoption of improved cassava production technology; being a male increased the likelihood of adoption by 13.83% (Adekemi Obisesan 2014). In regards to improved cassava processing technologies, adoption was affected by not just access to information, but also access to credit as well as education and raw material, while cost and knowledge were among the barriers (Southwest Nigeria; Ehinmowo and Fatuase 2016). However, knowledge is not the only factor for technology adoption. Men had higher knowledge about recommended practices for improved cassava varieties, but women adopted the practices at a higher rate; both genders saw factors outside of the technologies as major constraints to adoption (e.g. cost of fertilizer or cuttings) (S. N. Odurukwe 2003).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emphasis on improved cassava varieties and interest in its adoption come from previous studies looking at its potential impacts. In Nigeria, increases in yield and income were both positively associated with ICV adoption (Udensi et al. 2011). There was both a direct positive and significant relationship between adoption of ICV and farmers’ income in Abia State, Nigeria (U. Apu and I. Nwachukwu 2011), as well as the implication that higher cassava yields represented an increased productivity that would reduce poverty (Abdoulaye et al. 2014). In addition to annual income, adoption of improved cassava varieties can also increase annual consumption (Osun and Ogun States in Southwest, Nigeria; Afolami et al., 2015).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report that they adopt improved varieties because they prefer cassava with traits such as low hydrogen cyanide (HCN) in products, pests and disease resistance, early maturity, late maturity, ability to suppress weeds, high yield, resistant to drought, ease of harvest, storage capabilities, palatability of tubers, color of tubers and high product qualities (A. E. Agwu and C. L. Anyaeche 2007). In Nigeria, cassava trait preferences relate not only to gender, but also to one’s role in the value chain (Béla Teeken et al. 2018), which is also shaped by gender, as well to the processed foods </w:t>
      </w:r>
      <w:r w:rsidDel="00000000" w:rsidR="00000000" w:rsidRPr="00000000">
        <w:rPr>
          <w:rFonts w:ascii="Times New Roman" w:cs="Times New Roman" w:eastAsia="Times New Roman" w:hAnsi="Times New Roman"/>
          <w:i w:val="1"/>
          <w:sz w:val="24"/>
          <w:szCs w:val="24"/>
          <w:rtl w:val="0"/>
        </w:rPr>
        <w:t xml:space="preserve">gari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eba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fufu</w:t>
      </w:r>
      <w:r w:rsidDel="00000000" w:rsidR="00000000" w:rsidRPr="00000000">
        <w:rPr>
          <w:rFonts w:ascii="Times New Roman" w:cs="Times New Roman" w:eastAsia="Times New Roman" w:hAnsi="Times New Roman"/>
          <w:sz w:val="24"/>
          <w:szCs w:val="24"/>
          <w:rtl w:val="0"/>
        </w:rPr>
        <w:t xml:space="preserve"> that are produced from it (Béla Teeken et al. 2020). However, for farmers to adopt innovations, they must respond to their conditions, needs, and preferences (Agwu and Anyaeche 2007). As Wossen et al. (2017) find, not only are there significant differences in trait preferences between spouses, but that also that trait preferences can have a significant effect on adoption. In addition to understanding the factors that influence adoption, social differences among these farmers is also important to understanding the conditions for adoption. Further, these studies did not distinguish benefits within the household, limiting our understanding of both adoption and its potential impacts beyond the household level.</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consistently found that hired labor, owned farmland, age (adoption would increase to certain level then start to decrease), and access to credit were all significant determinants of ICV adoption (B. A. Awotide et al. 2014). Additional significant factors positively associated with adoption included education status, adaptability, and compatibility; however, complexity of technology was a barrier to adoption (F.N Nwakor et al. 2011). Off-farm income has a negative and significant decision to adopt ICV (Awotide et al. 2014), as did marital status, household size, farm size, and land ownership (Udensi et al. 2011). Those with access to processing machines, grating machines in particular, as well as membership in community or cooperative organizations were more likely to use improved varieties (Abdoulaye et al. 2014).</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studies looked specifically at the role of gender in adoption of improved cassava variety adoption. However, those that did present mixed results. Table 1 provides a non-systematic summary of previous research studies in relation to ICV, noting that this summary is limited to each article’s description of its own method. An examination of the reported methods demonstrates the different approaches taken to capture gender. Aside from reference to household heads, most of this research on technology adoption related to improved cassava does not report who in the household responded to the survey or how a household participant was selected a household participant. In addition, two did not report sex-disaggregation of their sample (Apu and Nwachukwu 2011; Awotide et al. 2014). Three of these studies were vast majority male respondents (Agwu, Ekwueme, and Anyanwu 2008; Abdoulaye et al. 2014), including a study focused on analyzing gender differences (Obisesan 2014). Two studies were split more evenly between male- and female- respondents (Nwakor et al. 2011; Udensi et al. 2011). </w:t>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 near here]</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Abdoulaye et al. (2014) found that gender was not a significant determinant in the adoption of improved cassava varieties. Udensi et al. (2011) also found that gender was not significantly correlated, but it was negative suggesting that women have a higher adoption rate than men do. In another study in the same state (Abia), gender was a positive and significant factor of adoption, with more women farmers adopting ICV than men (Nwakor et al. 2011). This was consistent with Awotide et al. (2014) who found that female-headed household adoption of ICVs was higher than male-headed households. However, Wossen et al. (2017) found that heads of households, which they interpret as men, were more likely to adopt ICV than spouses (or women); however, there was no significant differences between men and women when adoption was measured through DNA fingerprinting. The lack of evidence regarding gender behaviors among these crops has important implications for technology development, as preferences remain unknown and cannot be accounted for (Thiele et al. 2020). Consistent with previous explorations of the role of gender in technology adoption, the gender gap in improved cassava variety adoption in Nigeria varies. As a result, there is both a call for a greater policy focus on men due to women’s higher rates of adoptions (Nwakor et al. 2011) as well as an increased focus on women (Obisesan 2014).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some of these studies disaggregate and analyze by sex, and two are achieving equal representation, they do lack the other recommended practices, such as interviewing individual plot managers. In addition, they do not address intrahousehold differences that could provide greater insight into technology adoption in Nigeria. </w:t>
      </w:r>
      <w:r w:rsidDel="00000000" w:rsidR="00000000" w:rsidRPr="00000000">
        <w:rPr>
          <w:rFonts w:ascii="Times New Roman" w:cs="Times New Roman" w:eastAsia="Times New Roman" w:hAnsi="Times New Roman"/>
          <w:sz w:val="24"/>
          <w:szCs w:val="24"/>
          <w:highlight w:val="yellow"/>
          <w:rtl w:val="0"/>
        </w:rPr>
        <w:t xml:space="preserve">To look more closely at this, we outline the intrahousehold differences in reporting on various resources that influence technology adoption, the potential benefits of improved cassava variety adoption, and the limitations of the research methods used to examine this question in the past.</w:t>
      </w: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Intrahousehold differences in reporting</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growing body of work has moved beyond a neutral understanding of adoption of agricultural and rural technologies to consider gender differences (Cheryl R. Doss and Michael L. Morris 2000; Amber Peterman, Julia A. Behrman, and Agnes R. Quisumbing 2014; Catherine Ragasa et al. 2014; Girma Gezimu Gebre et al. 2019). While a general review finds that female heads of households and female plot managers are less likely to adopt technologies (Ragasa et al. 2014), specific reviews of these results are mixed (see for discussion (Gebre et al. 2019). However, these studies also differ in how they examine gender, with the majority focusing on differences between female- and male- headed households. An intrahousehold analysis sheds light on the methods that can improve our understanding of adoption reporting and potential gender differences of adoption within the household.</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Headship is one approach to understanding gendered experiences, but the position of household head does not necessarily reflect the true decision-maker (Peterman, Behrman, and Quisumbing 2014). Further, measurements comparing between female-headed households and male-headed households often confound marital status and assume heterogeneity in household demographics. This has implications for measuring assets, as well as economies of scale in consumption (Caitlin Brown and Dominique van de Walle 2021). It also does not account for the role of women in decision-making (Cheryl Doss 2013) or the joint and sole control of assets by women in male-headed households (Carmen Diana Deere, Gina E. Alvarado, and Jennifer Twyman 2010).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the decision to use female plot manager as the gendered unit of measurement may reveal different results than using female head of household or female plot holder, as was the case when looking at gender gaps in agricultural productivity in Uganda (Ana Paula de la O Campos, Katia Alejandra Covarrubias, and Alberto Prieto Patron 2016). While it depends on the type of information needed (Jeffrey Alwang, Catherine Larochelle, and Victor Barrera 2017), best practice in data collection recommends that not only should data be sex-disaggregated, but they should also be collected at the individual level (Deere, Alvarado, and Twyman 2010), or the plot-manager in the case of agricultural research (Doss, 2013).</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to interview individuals at the plot level follows increasing acceptance that the household is not a single unit (Harold Alderman et al. 1995; Christopher Udry 1996; Monica Fisher, Jeffrey J. Reimer, and Edward R. Carr 2010) and a shift to the collective model of the household, which allows for different decision makers to have different preferences (Chiappori 1992 cited by Doss and Quisumbing, 2020). However, the collective approach may miss “key elements” of household dynamics where individuals make decisions that minimize the household’s ability to maximize efficiency, or where household members may jointly own or control resources (Doss and Quisumbing, 2020, p. 49</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While interviewing one person may reduce time and expense of a household survey, they can lead to incorrect conclusions and be less accurate about the household (Fisher, Reimer, and Carr 2010), as well as limit the ability to capture intrahousehold dynamics (J. Twyman, P. Useche, and C. D. Deere 2015; C. Leigh Anderson, Travis W. Reynolds, and Mary Kay Gugerty 2017) or important comparisons between spouses (e.g., relative empowerment, (Sabina Alkire et al. 2013)..</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studies of spousal agreement confirm the significance of conflicting responses in studies where the married or partnered male and female of the same house are interviewed, and their responses are compared. The results demonstrate both systematic differences as well as important implications for program and policy. However, patterns of gendered biases in reporting can vary by context, and possibly by specific asset (Cheryl R. Doss et al. 2018). Many of these examples evaluate patterns in couple responses to asset ownership. In addition to varied results of the extent to which women undervalued their assets while men overvalued them, there can also be significant differences in responding to questions, with men more likely to respond to questions about property value in Karnataka, India (C. R. Doss et al. 2018). Couples may also respond differently in who owns the asset, as demonstrated by research in Ecuador where women considered themselves joint owners of agricultural plots more often than men do (Twyman, Useche, and Deere 2015).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also reflected in reports of decision-making with men more likely to claim sole responsibility for decisions, such as farm management and sales, while women were more likely to claim responsibility themselves or joint decision-making (Alwang, Larochelle, and Barrera 2017). Anderson et al. (2017) find that husbands and wives in Tanzania frequently disagree about who holds authority over key farming, family, and livelihood decisions. In Bangladesh, women were more likely than men to say that women own assets and are involved in decision-making, suggesting asymmetric information in the household, and possibly hidden assets or decisions (Kate Ambler et al. 2020). However, this is yet to be examined in relation to gendered designation of plot management, in particular when that plot could be perceived to be of higher value due to planting of ICV.</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addition, knowledge about household resources can also be asymmetrical within the household. In Paraguay, they found significant differences between men’s and women’s knowledge of financial markets, with women being less likely to be informed about institutions in their community, despite training programs’ assumptions that knowledge would be shared across the household (Diana Fletschner and Dina Mesbah 2011). Knowledge of household members’ activities may also differ, as proxy reports instead of self-reports had no effect on female labor statistics, but substantially lowered male employment rates in Tanzania; this also related to the type of work, with underreporting of agricultural activity (Elena Bardasi et al. 2011). Differences in responses could also relate to gendered social roles, as husbands under-reported their wives earnings on average in 66% of households in Malawi, which may have been strategic to reinforce himself as the breadwinner (Fisher, Reimer, and Carr 2010).</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important is the level at which the questions are asked. While asset ownership is often used as a proxy for intrahousehold bargaining ability, few adoption studies distinguish between household, male, female, and joint ownership. Most asset ownership is collected at the household level even when the data are collected at the individual-level and by only one household member (Cheryl Doss, Caitlin Kieran, and Talip Kilic 2017). For example, in the Philippines, Lee and Bellemare (2013) found that household-level ownership of cell phones had no impact on the price agricultural producers received for their cash crop, but there was a 5-8% increase when spouses owned the phone. Spousal differences in reporting demonstrate not only asymmetric information within most households, but also that this information is shaped by gender and household position.</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attention to gender and technology adoption, previous spousal agreement studies have largely not compared intrahousehold reporting on the topic of technology adoption, specifically of improved cassava. To provide more insight into spousal differences in reporting on adoption, this paper analyses survey data collected on improved cassava adoption in Nigeria (Wossen et al, 2017) to contribute to three important lines of research: 1) a comparison of household adoption-related resources and whether those resources are owned or accessed by only men, only women, or jointly; 2) comparison of spousal reporting on plot management and differences related to improved cassava production; and, 3) gender gaps in adoption explored through spousal differences in reporting. By comparing responses of husbands and wives of the same household, we not only have a richer concept of reporting related to technology adoption, but also important insights for the related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methods</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here draws from a subset of data compiled through the Cassava Monitoring Survey in Nigeria conducted, reviewed for ethics regarding human subject participation (IRB) and published by the International Institute of Tropical Agriculture (IITA) (Wossen et al., 2017).  The 16 states that contributed at least 80% of the total production of cassava comprise the enumeration areas (EA) across four regions (Southwest, Southeast, South-South, and North) were obtained from the National Population Commission of Nigeria. Sample frames of all cassava growing households were developed through agricultural development programs in the targeted states, from which at least 50 cassava growing households were drawn per state for sample size of 125 EAs. In each EA, five household heads and two spouses were interviewed for a total of 625 households in each region. In sum, interviews were conducted with 2500 randomly selected cassava growing households in the major cassava growing states in the four geopolitical regions of Nigeria that together account for over 80% of the annual total cassava production.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total survey, interviews were conducted with both the identified head of household and an additional member of the household to create a subset of 758 households. From this subset, only those households where both respondents met the following criteria are included in this analysis: the recorded relationship to the household head was self or spouse; status was married; and, both members reported living with spouse. This eliminated 29 households for a sample of 729 households (1,458 men and women). Also note that we use the terms husband and wife intentionally, and refrain from using the terms household head and spouse. In this analysis, 13 household heads are women, and 3 spouses are men. Among these responses, the wife of one household responded as the household head and the husband responded as the spouse. For the others, both respondents in 12 households reported being the household head, and both participants from two households reported being the spouse. Table 2 below details the descriptive statistics of the spousal subset analyzed here, including age, education, number of household members, and region. </w:t>
      </w:r>
    </w:p>
    <w:p w:rsidR="00000000" w:rsidDel="00000000" w:rsidP="00000000" w:rsidRDefault="00000000" w:rsidRPr="00000000" w14:paraId="0000002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near here]</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differences in reporting the adoption of improved cassava varieties as a technology, we compared the means of reporting on various related assets (household and productive), access to cassava-related processing machines, participation or engagement with organizations and extension, fertilizer application, and use of cassava. For each of these areas, they were analyzed as overall measurements for the household, as well as its different components. Further, for each resource and aspect, survey responses were recorded to disaggregate its ownership or access among women in the household, men in the household, and joint. For example, in measuring household assets, responses were captured regarding the following categories: whether the household has that asset (yes or no); the number of that asset in the household as a total; the number of that asset owned by women of the household; the number owned by men in the household; the estimated value of that asset in Naira; the total Naira value of that asset for the whole household; the total Naira value of the asset owned by women in the household; and, the total Naira value of the asset owned by men. The responses of husbands and wives were compared using SPSS and Independent Samples T-Test to look for statistical differences between means. </w:t>
      </w:r>
      <w:r w:rsidDel="00000000" w:rsidR="00000000" w:rsidRPr="00000000">
        <w:rPr>
          <w:rFonts w:ascii="Times New Roman" w:cs="Times New Roman" w:eastAsia="Times New Roman" w:hAnsi="Times New Roman"/>
          <w:sz w:val="24"/>
          <w:szCs w:val="24"/>
          <w:highlight w:val="yellow"/>
          <w:rtl w:val="0"/>
        </w:rPr>
        <w:t xml:space="preserve">In addition, correlations were conducted analyzing the relationship between the reporting of assets and ICV adoption. Correlations were also used to examine differences between spouses in reporting on ICV adoption, cassava plots, and their management.</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research regarding improved cassava adoption emphasizes the importance of access to assets, knowledge, and markets. While previous research has already presented these resources in relation to adoption, few studies shed light on the intrahousehold distribution and sharing of those resources - in other words, whether men, women or both access and/or own the resources. As such, understanding each the reporting of those resources more deeply and the distribution of those resources within the household provide more context to the adoption of cassava and the inconsistent reporting of potential gender gaps in adoption. Further, consistent with other research looking at differences between spouses on reporting, we see that for most resources, a comparison between the positions of “husband” and “wife” result in significant differences in reporting, not just for sex-disaggregated ownership but also for the household overall. Finally, this analysis also looks at plot ownership and management as a resource that are both recorded at the household level and disaggregated as well. The resulting significant differences provide insight both into differences on reporting of ICV adoption as well as the identification of plot manager.</w:t>
      </w:r>
    </w:p>
    <w:p w:rsidR="00000000" w:rsidDel="00000000" w:rsidP="00000000" w:rsidRDefault="00000000" w:rsidRPr="00000000" w14:paraId="00000024">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Household Assets</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household assets relates to the potential resources and connections to resources, as well as safety nets for risk taking, in adopting improved cassava varieties. In addition, the assets measured are often used to determine household poverty level and could influence an understanding of the potential impacts of ICV adoption. Table 3 displays the results of the t-test comparing responses between husbands and wives regarding total asset reporting for the household and for the intrahousehold allocation of those resources.</w:t>
      </w:r>
    </w:p>
    <w:p w:rsidR="00000000" w:rsidDel="00000000" w:rsidP="00000000" w:rsidRDefault="00000000" w:rsidRPr="00000000" w14:paraId="0000002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3 near here]</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previous research (C. R. Doss et al. 2018), there are significant differences in husbands’ and wives’ reporting of total household assets (naira value) with husbands reporting 19 times the value than wives on average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This holds true for total assets owned by men, but there is no significant difference in the reporting of household assets owned by women in the household. The result is that almost all difference in reporting would be from men’s reporting on male-owned resources, suggesting that men may not be communicating these assets with their wives, that men are over-reporting these assets, or that women are under-reporting these assets as well. It can also reflect a difference in knowledge or understanding in the value of different household assets. In general, for reporting household assets, husbands reported more than wives on average.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Radios and cellphones are noted as important sources of information, especially regarding markets and production. While no significant difference in numbers of phones reported owned by household, men, or women, husbands still report more phones owned than wives do. Husbands and wives both reported similar number of radios owned by household or by women, but wives report fewer number of radios owned by men than men do.</w:t>
      </w:r>
    </w:p>
    <w:p w:rsidR="00000000" w:rsidDel="00000000" w:rsidP="00000000" w:rsidRDefault="00000000" w:rsidRPr="00000000" w14:paraId="00000029">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Productive assets</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differences in household assets, there were no significant differences in reporting on total production assets (Table 4). When looking more closely, there were significant differences in reporting between husbands and wives reporting on ownership of hoes, with wives reporting that females own more hoes than men, and husbands reporting that men own more hoes than women. This suggests that there could be a dispute over ownership rather than the number household assets. There were additional differences in the value of the hoe, with husbands reporting higher values than wives. There was no significant difference in reporting of total livestock units owned, an asset that was found to be significant in the adoption of ICV for “household heads” but not “spouses” (Wossen et al. 2017).</w:t>
      </w:r>
    </w:p>
    <w:p w:rsidR="00000000" w:rsidDel="00000000" w:rsidP="00000000" w:rsidRDefault="00000000" w:rsidRPr="00000000" w14:paraId="0000002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4 near here]</w:t>
      </w:r>
    </w:p>
    <w:p w:rsidR="00000000" w:rsidDel="00000000" w:rsidP="00000000" w:rsidRDefault="00000000" w:rsidRPr="00000000" w14:paraId="0000002C">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Access to processing tools</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reported on household access to processing tools, as well as classified that access as to whether it was by men only, by women only, or if the access was joint (Table 5). Regardless of the tool, there were no significant differences between husbands and wives on whether access was by men only. However, when husbands were asked to report male access to these tools, they reported joint access more than wives did, and wives reported female access more than husbands did. Further, the differences in the reporting were similar between husbands reporting joint access and wives reporting female access. This suggests that husbands report wives’ access as joint access, while wives perceived access to processing tools not as joint access, but rather sole access. There were also differences in reporting general household access in terms of the total number of machines, the presser, and the grater with husbands on average reporting higher access than wives did. However, there were not differences in reporting on general access for the sieve and the fryer.</w:t>
      </w:r>
    </w:p>
    <w:p w:rsidR="00000000" w:rsidDel="00000000" w:rsidP="00000000" w:rsidRDefault="00000000" w:rsidRPr="00000000" w14:paraId="0000002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5 near here]</w:t>
      </w:r>
    </w:p>
    <w:p w:rsidR="00000000" w:rsidDel="00000000" w:rsidP="00000000" w:rsidRDefault="00000000" w:rsidRPr="00000000" w14:paraId="0000002F">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Access to extension, organizations, and institutions</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household’s relationship to social networks, production knowledge, and financial resources, respondents were asked a series of questions regarding their membership to cooperatives, access to extension, as well as access to credit and membership in credit groups (Table 6). In response to household membership in cooperatives, wives reported higher but insignificant membership at the household level and across the gendered divisions of membership. However, in terms of access to extension, husbands reported significantly higher general household access than wives did, as well as that this access was by men only or by both men and women. While not significantly different, wives reported women only access to extension higher than husbands did. </w:t>
      </w:r>
    </w:p>
    <w:p w:rsidR="00000000" w:rsidDel="00000000" w:rsidP="00000000" w:rsidRDefault="00000000" w:rsidRPr="00000000" w14:paraId="0000003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6 near here]</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men only membership to credit groups was reported similarly by wives and husbands, husbands reported less general household membership, and that women only and both men and women membership was lower than wives did with significant difference. Wives also reported that women only access to credit was higher than husbands, as well as men only access, while husbands reported higher household access to credit than wives did. Reports that both had access was to credit was not significantly different and the most frequent response for both husbands and wives.</w:t>
      </w:r>
    </w:p>
    <w:p w:rsidR="00000000" w:rsidDel="00000000" w:rsidP="00000000" w:rsidRDefault="00000000" w:rsidRPr="00000000" w14:paraId="00000033">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Fertilizer application and use of cassava</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questions reviewed the use of cassava in the household, as well as application of fertilizer (Table 7). Interestingly, there are no reported differences between husbands and wives on the percentage of household income comes from cassava, the percentage of women’s income from cassava, or the percentage of household food that comes from cassava. This is surprising given the disparities reported on asset ownership and access to memberships, for example. However, it is worth noting that wives reported higher household and women’s income from cassava than husbands did. The significant difference between “other” uses of cassava could come from different understandings of what that other use is, and whether that other use is different from sales or consumption, particularly given the prevalence of processing cassava for both consumption and sale in Nigeria. </w:t>
      </w:r>
    </w:p>
    <w:p w:rsidR="00000000" w:rsidDel="00000000" w:rsidP="00000000" w:rsidRDefault="00000000" w:rsidRPr="00000000" w14:paraId="00000035">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Cassava plot size</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size is significantly, although negatively, correlated with ICV adoption (Udensi et al. 2011), while land ownership is a significant determinant of adoption both negatively (Udensi et al. 2011) and positively (Awotide et al. 2014). Therefore, understanding more the reporting on land and how it is divided within the household as well as across non-ICV and ICV plots provides more insight. In reporting on the average cassava plot size and the total land of plots dedicated to cassava (non-ICV and ICV) respondents also reported intrahousehold management of this land between men, women, or jointly (Table 7).</w:t>
      </w:r>
    </w:p>
    <w:p w:rsidR="00000000" w:rsidDel="00000000" w:rsidP="00000000" w:rsidRDefault="00000000" w:rsidRPr="00000000" w14:paraId="0000003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7 near here]</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husbands generally reported a larger amount of land dedicated to growing cassava than wives did, with a significant difference on reporting the average cassava plot. While this difference was not significant for most reporting on non-ICV plots, other than those that were managed by women, they were substantially and significantly different for reporting ICV plot sizes. While husbands reported on average significantly larger plots than wives for total ICV plot size across the whole household by more than double, the difference for plots managed by men was almost three times. While wives reported larger women managed ICV plots than husbands did, by more than double, the difference was not significant. When looking at whether the land used for cassava was operated or owned, women reported the percentage of the land as higher for both, but only significantly higher percentage for the land that was owned.</w:t>
      </w:r>
    </w:p>
    <w:p w:rsidR="00000000" w:rsidDel="00000000" w:rsidP="00000000" w:rsidRDefault="00000000" w:rsidRPr="00000000" w14:paraId="00000039">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Plot management and ICV adoption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asked each respondent to identify each plot on which cassava was grown and then to report whether that plot 1) was managed by a man or a woman in the household, and 2) if the plot included an ICV (Table 8).  In responses, husbands reported more male-managed ICV plots than wives do on average of .335 plots per household, while wives reported .104 more female managed and .108 joint managed plots ICV plots per household than husbands.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wives significantly reported more total non-ICV cassava plots for the household than husbands do. Of the total plots for the households, wives report that 54% are ICV compared with 46% non-ICV, while husbands divide between ICV and non-ICV as 61% and 39%, respectively. Interestingly, there was no significant difference between husbands and wives reporting of male managed or jointly managed non-ICV cassava plots, however husbands still report fewer plots managed by women then wives do by .08 plots on average. Husbands in general reported that women managed fewer plots than wives do, including the total number of plots for the household (on average .181 plots less than wives). Further, husbands and wives only significantly differ on reporting joint managed plots for the total cassava plots, although consistently husbands report fewer jointly managed plots than wives do.</w:t>
      </w:r>
    </w:p>
    <w:p w:rsidR="00000000" w:rsidDel="00000000" w:rsidP="00000000" w:rsidRDefault="00000000" w:rsidRPr="00000000" w14:paraId="0000003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8 near here]</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differences between reporting plot management between men and women also provides insight into adoption reporting differences. Husbands report managing more plots than wives when ICV are grown. Though, there is no significant difference between husband and wife reporting of male managed plots on non-ICV cassava plots. While in general, husbands report that women manage fewer plots, either solely or jointly, than wives report for the household overall, and for both non-ICV and ICV plots.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looking at household reporting on ICV adoption (Table 9), we first looked at differences between household reporting on whether the household was currently growing ICV and if so, on how many plots. In this case, we found statistically significant differences between husbands and wives reporting that the household had adopted, with men reporting higher rates of ICV adoption than wives. However, this survey also asked participants to report on whether they had ever planted ICV. In this case, husbands and wives did not report statistically significant differences in adoption.</w:t>
      </w:r>
    </w:p>
    <w:p w:rsidR="00000000" w:rsidDel="00000000" w:rsidP="00000000" w:rsidRDefault="00000000" w:rsidRPr="00000000" w14:paraId="0000003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9 near here]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Discussion</w:t>
      </w: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the difference of means tests comparing responses between husbands and wives on reporting sex-disaggregation of resources and asset ownership and access within the household demonstrate two important summary findings. First, intrahousehold data collection and spousal comparison research methods need to be expanded to technology adoption, as exemplified by improved cassava. Similarly, technology adoption studies, including crop varietal analysis, need to consider intrahousehold dynamics in their research. This will improve our understanding of the second implication of these findings, which is that gendered perceptions of ownership can influence reporting on both assets related to adoption as well as adoption itself.</w:t>
      </w:r>
    </w:p>
    <w:p w:rsidR="00000000" w:rsidDel="00000000" w:rsidP="00000000" w:rsidRDefault="00000000" w:rsidRPr="00000000" w14:paraId="00000042">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Improving intrahousehold research methods in adoption studies</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here both build on and expand previous findings on intrahousehold differences in reporting access to and control of resources related to technology adoption. In particular, these findings reinforce the need to re-examine varietal adoption study design to not only sex-disaggregate data, but intentionally capture perspectives of members of households and not just heads of households (Maricelis Acevedo et al. 2020). Consistent with the literature (Fisher, Reimer, and Carr 2010; C. R. Doss et al. 2018; Ambler et al. 2020), we find that there are aspects of differences in reporting that directly respond to one’s gendered identity and household position. These reflect situated knowledges that both contextualize the knowledge that one has obtained through their socialized experience as well as can reinforce one’s social position. This was most seen in areas where husbands and wives significantly differed on whether assets or resources were women-only or jointly accessed or owned. This is similar to findings by (Alwang, Larochelle, and Barrera 2017) where men were more likely to claim sole responsibility, and women were more likely to claim sole or joint responsibility.  Further, social differences matter in adoption decisions. The results of this study are aligned with the literature showing poverty level, marital status, education, and age, in combination with gender, shaped adoption decisions around crop varieties (S.J. Staal et al. 2002; Monica Fisher and Vongai Kandiwa 2014).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further, this study shows that beyond study design and sampling, the intention, phrasing, and measurement of survey questions are critical. In this research, adoption rates were observed in two ways. First, was a direct question to the respondent as to whether they had ever adopted ICV. The second was using plot reporting information, and whether any current casava plot under cultivation had ICVs on it. The result was no significant difference between men and women in the self-reporting on whether they had ever adopted the technology. However, using plot level data did result in a significant difference between gendered respondents. </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to the gender differences, husbands consistently reported significantly higher numbers and sizes of plots that were both managed by men and on which they were growing ICV. Similarly, wives reported significantly more female managed plots and larger female managed plots than husbands. However, this was consistent for both ICV and non-ICV plots. In sum, men are reporting higher numbers of and larger ICV plots that are male-managed than women do. Recognizing that adoption studies continue to employ a “unitary household” model dependent on responses from the household head, a male respondent on behalf of the household may result in the reporting of higher adoption rates than a female respondent.</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raises questions as to whether these factors could account for the mixed results of past reports of ICV adoption (Nwakor et al. 2011; Udensi et al. 2011; Abdoulaye et al. 2014; Awotide et al. 2014; Wossen et al. 2017). The answer requires future reporting on adoption, especially in relation to agricultural technologies, to be more specific about their unit of analysis (i.e., individual-, plot, or household- level), as well as the way that adoption was measured. Further research is also needed comparing spousal responses of adoption and ensuring the equal inclusion of male and female respondents for all research.</w:t>
      </w:r>
    </w:p>
    <w:p w:rsidR="00000000" w:rsidDel="00000000" w:rsidP="00000000" w:rsidRDefault="00000000" w:rsidRPr="00000000" w14:paraId="00000047">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appropriation of assets</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finding explores the gendered perceptions of asset access or ownership as related to technologies. Differences on reporting access to cassava processing machines is the clearest example of this. While husbands and wives did not significantly differ on men’s access to processing machines, husbands reported that accessing these machines was higher among men in their households than wives did. Cassava processing related tasks are mostly performed by women in Nigeria (Sara Curran et al. 2009; Tom Walker et al. 2014), where women leading cassava related enterprises are even described as “cassava queens” (Chima J. Korieh 2010). It could therefore be expected that couples would give consistent responses in relation to cassava processing assets, making the discord observed in this study notable. These results suggests husbands are over reporting their access to processing assets out of a sense of appropriation of their wives’ cassava processing related enterprises. </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 line with the literature (C. R. Doss et al. 2018), as well as other asset-related indicators in this study. Husbands reported significantly higher household assets than wives did, as well as those owned by men, but there were no differences between husbands and wives on women-owned assets. Access to credit, credit group membership, and extension access were also points of significant difference, with husbands reporting lower access especially for categories that included women than wives did. There were also differences in reporting on the ownership of dishes. Husbands reported that men owned dishes higher than those of women, while reporting lower number of dishes owned by the household and by women than wives did. In general, this is consistent with previous spousal differences, with men reporting male-owned assets higher and more frequently than women (Twyman, Useche, and Deere 2015). However, breaking down assets into typically female-owned or related to women’s intrahousehold responsibilities, like dishes, demonstrates that this trend is not limited to cash or male-dominated assets. The difference in reporting on these assets provide insight into areas where husbands might report more than women, in particular where there are assets or resources that reinforce their position as the connection to or owner of resources. </w:t>
      </w:r>
    </w:p>
    <w:p w:rsidR="00000000" w:rsidDel="00000000" w:rsidP="00000000" w:rsidRDefault="00000000" w:rsidRPr="00000000" w14:paraId="0000004A">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Conclusion</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work have bearing for future research on technology studies, such as improved crop varieties. We demonstrate that adoption related results will vary by who is chosen as a respondent within a household, as well as how adoption related questions are asked. The comparison of intrahousehold differences in reporting shed light on the different aspects that contribute to adoption, as well as to rates of technology adoption itself. While gender gaps in technology have been the focus of much literature in the past, little has looked at intrahousehold differences and how reporting on adoption may differ between two decision-makers of the same household. Similarly, the literature looking at spousal differences in survey responses has provided insight into assets and decision-making that could relate to technology adoption but has not looked at the area of varietal adoption specifically. As a result, this research makes a significant contribution to both streams of literature by systematically analyzing intrahousehold differences in reporting on technology adoption and its related assets.</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also contribute to the continued conversation on improving best practice in gender and technology studies. That respondents disputed whether the plot manager was male or female challenges the established best practice to interview the plot manager, as men may be more likely to claim management over plots where improved varieties are grown and less likely to acknowledge women- and jointly-managed plots. This introduces doubt that the intended participant is included in the study or that plot manager was identified without bias. Further, gender gaps in adoption could be partially explained by men reporting more adoption than women or in how the question is asked (e.g., ever versus right now). Further analysis of the methods of the studies as well as their results can provide thoughtful insight into their findings, as well as continually improve approaches to understanding who to ask about experiences in technology and why.</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such as improved varieties of crops have the potential to provide substantial benefits to adopters, including food security, income, and climate adaptation. This study contributes to unpacking the “to who and how” these benefits accrue. Focusing on intrahousehold dynamics surrounding cassava adoption provides this opportunity and insight into differences in reporting both the related assets as well as adoption itself. Only through adoption studies with more nuanced examination of these dynamics, and critically re-thought research design can claim around the impacts of varietal adoption on women be authenticated. </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Acknowledgments</w:t>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Disclosure Statement</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financial interest or benefit from the direct applications of this research was reported by the author(s).</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Notes on contributors</w:t>
      </w: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ORCID</w:t>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Abdoulaye, Tahirou, Adebayo Abass, Busie Maziya-Dixon, G. Tarawali, R. Okechukwu, Joseph Rusike, Arega Alene, Victor M. Manyong, and Bamikole Ayedun. 2014. “Awareness and Adoption of Improved Cassava Varieties and Processing Technologies in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Development and Agricultural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(2): 67–75. doi:10.5897/JDAE2013.006.</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Acevedo, Maricelis, Kevin Pixley, Nkulumo Zinyengere, Sisi Meng, Hale Tufan, Karen Cichy, Livia Bizikova, Krista Isaacs, Kate Ghezzi-Kopel, and Jaron Porciello. 2020. “A Scoping Review of Adoption of Climate-Resilient Crops by Small-Scale Producers in Low- and Middle-Income Countries.”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Nature Plants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(10): 1231–1241. doi:10.1038/s41477-020-00783-z.</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Afolami, Carolyn A., Abiodun E. Obayelu, and Ignatius I. Vaughan. 2015. “Welfare Impact of Adoption of Improved Cassava Varieties by Rural Households in South Western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Agricultural and Food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(1): 1–17. doi:10.1186/s40100-015-0037-2.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Agwu, A. E., and C. L. Anyaeche. 2007. “Adoption of Improved Cassava Varieties in Six Rural Communities in Anambra State,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African Journal of Biotechnology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(2): 089–098.</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Agwu, A. E., J. N. Ekwueme, and A. C. Anyanwu. 2008. “Adoption of Improved Agricultural Technologies Disseminated via Radio Farmer Programme by Farmers in Enugu State,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African Journal of Biotechnology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 (9): 1277–1286.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Ahmadu, Joyce, and P. O. Idisi. 2014. “Gendered Participation in Cassava Value Chain in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Merit Research Journal of Agricultural Science and Soil Sciences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(11): 147–153.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Alderman, Harold, Pierre-Andre Chiappori, Lawrence Haddad, John Hoddinot, and Ravi Kanbur. 1995. “Unitary Versus Collective Models of the Household: Is It Time to Shift the Burden of Proof?”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World Bank Research Observer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(1): 1–19.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Alkire, Sabina, Ruth Meinzen-Dick, Amber Peterman, Agnes Quisumbing, Greg Seymour, and Ana Vaz. 2013. “The Women’s Empowerment in Agriculture Index.”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52 (December): 71–91. doi:10.1016/j.worlddev.2013.06.007.</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Alwang, Jeffrey, Catherine Larochelle, and Victor Barrera. 2017. “Farm Decision Making and Gender: Results from a Randomized Experiment in Ecuador.”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92 (April): 117–129. doi:10.1016/j.worlddev.2016.11.015.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Ambler, Kate, Cheryl Doss, Caitlin Kieran, and Simone Passarelli. 2020. “He Says, She Says: Spousal Disagreement in Survey Measures of Bargaining Power.”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Economic Development and Cultural Change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November, 000–000. doi:10.1086/703082.</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Anderson, C. Leigh, Travis W. Reynolds, and Mary Kay Gugerty. 2017. “Husband and Wife Perspectives on Farm Household Decision-Making Authority and Evidence on Intra-Household Accord in Rural Tanzania.”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90 (February): 169–183. doi:10.1016/j.worlddev.2016.09.005.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Apu, U., and I. Nwachukwu. 2011. “Effect of Adoption of Improved Cassava Varieties on Farmers’ Income in Abia State,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Agriculture and Social Research (JASR)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(2): 155–160.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Awotide, B. A., T. Abdoulaye, A. Alene, and V. M. Manyong. 2014. “Assessing the Extent and Determinants of Adoption of Improved Cassava Varieties in South-Western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Development and Agricultural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(9): 376–385. doi:10.5897/JDAE2014.0559.</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Bardasi, Elena, Kathleen Beegle, Andrew Dillon, and Pieter Serneels. 2011. “Do Labor Statistics Depend on How and to Whom the Questions Are Asked? Results from a Survey Experiment in Tanzania.”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World Bank Economic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 (3): 418–447. doi:10.1093/wber/lhr022.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Caitlin, and Dominique van de Walle. 2021. “Headship and Poverty in Africa.”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World Bank Economic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lhaa024 (January). doi:10.1093/wber/lhaa024.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Curran, Sara, C Leigh Anderson, Mary Kay Gugerty, Joelle Cook, Georgine Yorgey, and Ryan Gockel.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Gender and Cropping: Cassava in Sub- Saharan Africa. Evans School Policy Analysis and Research (EPAR) Brief No. 223. Prepared for the Agricultural Policy and Statistics Division of the Bill and Melinda Gates Foundation.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Seattle, WA: Evans School Policy Analysis and Research (EPAR), University of Washington.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la O Campos, Ana Paula, Katia Alejandra Covarrubias, and Alberto Prieto Patron. 2016. “How Does the Choice of the Gender Indicator Affect the Analysis of Gender Differences in Agricultural Productivity? Evidence from Uganda.”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77 (January): 17–33. doi:10.1016/j.worlddev.2015.08.008.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Deere, Carmen Diana, Gina E. Alvarado, and Jennifer Twyman. 2010. “Poverty, Headship, and Gender Inequality in Asset Ownership in Latin America.”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 Empoderamiento Economico de Las Mujeres: Accesso a Los Tecnologias y a Lost Activos Productivos y Financieros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Doss, Cheryl. 2013. “Intrahousehold Bargaining and Resource Allocation in Developing Countries.”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World Bank Research Observer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28 (1): 52–78. doi:10.1093/wbro/lkt001.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Doss, Cheryl, Caitlin Kieran, and Talip Kilic. 2017.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Measuring Ownership, Control, and Use of Assets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Policy Research Working Paper 8146. Washington, D.C.: World Bank Group.</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Doss, Cheryl R. 2006. “Analyzing Technology Adoption Using Microstudies: Limitations, Challenges, and Opportunities for Improvement.”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Agricultural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34 (3): 207–219. doi:10.1111/j.1574-0864.2006.00119.x.</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Doss, Cheryl R., Zachary Catanzarite, William Baah-Boateng, Hema Swaminathan, Carmen Diana Deere, Louis Boakye-Yiadom, and J.Y. Suchitra. 2018. “Do Men and Women Estimate Property Values Differently?”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107 (July): 75–86. doi:10.1016/j.worlddev.2018.02.012.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Doss, Cheryl R., and Michael L. Morris. 2000. “How Does Gender Affect the Adoption of Agricultural Innovations?: The Case of Improved Maize Technology in Ghana.”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Agricultural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 (1): 27–39. doi:10.1111/j.1574-0862.2001.tb00233.x.</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Doss, Cheryl R., and Agnes R. Quisumbing. 2020. “Understanding Rural Household Behavior: Beyond Boserup and Becker.”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Agricultural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51 (1): 47–58. doi:10.1111/agec.12540.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Ehinmowo, O. O., and A. I. Fatuase. 2016. “Adoption of Improved Cassava Processing Technologies by Women Entrepreneur in South –West,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Journal of Agricultural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(4): 109–113. doi:10.12691/wjar-4-4-2.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Fisher, Monica, and Vongai Kandiwa. 2014. “Can Agricultural Input Subsidies Reduce the Gender Gap in Modern Maize Adoption? Evidence from Malawi.”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Food 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45 (April): 101–111. doi:10.1016/j.foodpol.2014.01.007.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Fisher, Monica, Jeffrey J. Reimer, and Edward R. Carr. 2010. “Who Should Be Interviewed in Surveys of Household Income?”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38 (7): 966–973. doi:10.1016/j.worlddev.2009.11.024.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Fletschner, Diana, and Dina Mesbah. 2011. “Gender Disparity in Access to Information: Do Spouses Share What They Know?”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World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39 (8): 1422–1433. doi:10.1016/j.worlddev.2010.12.014.</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Gebre, Girma Gezimu, Hiroshi Isoda, Dil Bahadur Rahut, Yuichiro Amekawa, and Hisako Nomura. 2019. “Gender Differences in the Adoption of Agricultural Technology: The Case of Improved Maize Varieties in Southern Ethiopia.”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Women’s Studies International Forum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76 (September): 102264. doi:10.1016/j.wsif.2019.102264.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Korieh, Chima J. 2010.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Land Has Changed: History, Society and Gender in Colonial Eastern Nigeria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Calgary: University of Calgary Press.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Montagnac, Julie A., Christopher R. Davis, and Sherry A. Tanumihardjo. 2009. “Nutritional Value of Cassava for Use as a Staple Food and Recent Advances for Improvement.”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Comprehensive Reviews in Food Science and Food Safety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 (3): 181–194. doi:10.1111/j.1541-4337.2009.00077.x.</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Nwakor, F.N, G.E. Ifenkwe, B.C. Okoye, F.N. Onummadu, H.N. Anyaegbunam, T.O. Ekedo, and C.E. Onyia. 2011. “Socio-Economic Factors Affecting Adoption of Improved Cassava Varieties Among Farmers in Abia State.”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Agriculture and Social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(01): 63–71.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Obisesan, Adekemi. 2014. “Gender Differences In Technology Adoption And Welfare Impact Among Nigerian Farming Households.” Munich Personal RePEc Archive. https://mpra.ub.uni-muenchen.de/58920/.</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Odurukwe, S. N. 2003. “Gender Differences in Adoption of Recommended Improved Cassava Production Technologies in Imo State,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Agriculture and Social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(2): 126–134.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Peterman, Amber, Julia A. Behrman, and Agnes R. Quisumbing. 2014. “A Review of Empirical Evidence on Gender Differences in Nonland Agricultural Inputs, Technology, and Services in Developing Countries.”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Gender in Agriculture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edited by Agnes R. Quisumbing, Ruth Meinzen-Dick, Terri L. Raney, André Croppenstedt, Julia A. Behrman, and Amber Peterman, 145–186. Dordrecht: Springer Netherlands. doi:10.1007/978-94-017-8616-4_7.</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Ragasa, Catherine, Debdatta Sengupta, Martha Osorio, Nora OurabahHaddad, and Kirsten Mathieson. 2014.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Gender-Specific Approaches and Rural Institutions for Improving Access to and Adoption of Technological Innovations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Rome: Food and Agriculture Organization (FAO).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Staal, S.J., I. Baltenweck, M.M. Waithaka, T. deWolff, and L. Njoroge. 2002. “Location and Uptake: Integrated Household and GIS Analysis of Technology Adoption and Land Use, with Application to Smallholder Dairy Farms in Kenya.”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Agricultural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27 (3): 295–315. doi:10.1111/j.1574-0862.2002.tb00122.x.</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Teeken, Béla, Afolabi Agbona, Abolore Bello, Olamide Olaosebikan, Emmanuel Alamu, Michael Adesokan, Wasiu Awoyale, et al. 2020. “Understanding Cassava Varietal Preferences through Pairwise Ranking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Gari‐eba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Fufu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Prepared by Local Farmer–Processors.”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Food Science &amp;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1–20. doi:10.1111/ijfs.14862.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Teeken, Béla, Olamide Olaosebikan, Joyce Haleegoah, Elizabeth Oladejo, Tessy Madu, Abolore Bello, Elizabeth Parkes, et al. 2018. “Cassava Trait Preferences of Men and Women Farmers in Nigeria: Implications for Breeding.”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Economic Botany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72 (3): 263–277. doi:10.1007/s12231-018-9421-7.</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Twyman, J., P. Useche, and C. D. Deere. 2015. “Gendered Perceptions of Land Ownership and Agricultural Decision-Making in Ecuador: Who Are the Farm Managers?”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Land Economics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91 (3): 479–500. doi:10.3368/le.91.3.479.</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Udensi, Udensi E, Gbassey Tarawali, Ebere U Favour, Godwin Asumugha, Chuma Ezedinma, Benjamen C Okoye, Chyka Okarter, Paul Ilona, Richardson Okechukwu, and Alfred Dixon. 2011. “Adoption of Selected Improved Cassava Varieties among Smallholder Farmers in South-Eastern Nigeria.”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Food, Agriculture &amp;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 (1): 329–335.</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Udry, Christopher. 1996. “Gender, Agricultural Production, and the Theory of the Household.”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Political Economy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104 (5): 1010–1046.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Walker, Tom, Arega Alene, Jupiter Ndjeunga, Ricardo Labarta, Yigezu Yigezu, Aliou Diagne, Robert Andrade, et al. 2014.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Measuring the Effectiveness of Crop Improvement Research in Sub-Saharan Africa from the Perspectives of Varietal Output, Adoption, and Change: 20 Crops, 30 Countries, and 1150 Cultivars in Farmers’ Fields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Rome, Italy: CGIAR Independent Science and Partnership Council (ISPC) Secretariat. https://cas.cgiar.org/sites/default/files/ISPC_SPIA_DIIVA_Synthesis.pdf.</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Wossen, Tesfamicheal, Gezahegn Girma, Tahirou Abdoulaye, Ismail Rabbi, Adetunji Olanrewaju, Peter Kulakow, Godwin Asumugha, Adebayo Abass, Mark Tokula, and Victor Manyong. 2017.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Cassava Monitoring Survey in Nigeria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ISBN 978-978-8444-81-7. Ibadan, Nigeria: International Institute of Tropical Agriculture (IITA).</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954.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424"/>
        <w:gridCol w:w="1906"/>
        <w:gridCol w:w="2070"/>
        <w:gridCol w:w="2664"/>
        <w:tblGridChange w:id="0">
          <w:tblGrid>
            <w:gridCol w:w="1890"/>
            <w:gridCol w:w="1424"/>
            <w:gridCol w:w="1906"/>
            <w:gridCol w:w="2070"/>
            <w:gridCol w:w="2664"/>
          </w:tblGrid>
        </w:tblGridChange>
      </w:tblGrid>
      <w:tr>
        <w:trPr>
          <w:cantSplit w:val="0"/>
          <w:trHeight w:val="432" w:hRule="atLeast"/>
          <w:tblHeader w:val="0"/>
        </w:trPr>
        <w:tc>
          <w:tcPr>
            <w:gridSpan w:val="5"/>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Sampling and sex-disaggregation of previous studies of improved cassava-related technology adoption in Nigeria (non-systematic review)</w:t>
            </w:r>
          </w:p>
        </w:tc>
      </w:tr>
      <w:tr>
        <w:trPr>
          <w:cantSplit w:val="0"/>
          <w:trHeight w:val="432" w:hRule="atLeast"/>
          <w:tblHeader w:val="0"/>
        </w:trPr>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Size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8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frame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Sex Disaggregation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Gender-Related Results</w:t>
            </w:r>
          </w:p>
        </w:tc>
      </w:tr>
      <w:tr>
        <w:trPr>
          <w:cantSplit w:val="0"/>
          <w:trHeight w:val="1133"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(Awotide et al. 2014)</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841 households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and household”</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 specified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FHHs more likely to adopt</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(Apu and Nwachukwu 2011)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respondents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 specified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 specified</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(Abdoulaye et al. 2014)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 respondents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heads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male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female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married</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not significant</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(Agwu, Ekwueme, and Anyanwu 2008)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farmers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 specified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 male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female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73.3% married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 specified</w:t>
            </w:r>
            <w:r w:rsidDel="00000000" w:rsidR="00000000" w:rsidRPr="00000000">
              <w:rPr>
                <w:rtl w:val="0"/>
              </w:rPr>
            </w:r>
          </w:p>
        </w:tc>
      </w:tr>
      <w:tr>
        <w:trPr>
          <w:cantSplit w:val="0"/>
          <w:trHeight w:val="8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(Nwakor et al. 2011)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farmers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farmers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 male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54.7% female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 married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more likely to adopt</w:t>
            </w:r>
          </w:p>
        </w:tc>
      </w:tr>
      <w:tr>
        <w:trPr>
          <w:cantSplit w:val="0"/>
          <w:trHeight w:val="9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(Obisesan 2014)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 “completed surveys”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76.23% male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 female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more likely to adopt</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Udensi et al., 2011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farmers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list of farmers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 male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 female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 married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not significant in ICV adoption</w:t>
            </w:r>
          </w:p>
        </w:tc>
      </w:tr>
      <w:tr>
        <w:trPr>
          <w:cantSplit w:val="0"/>
          <w:trHeight w:val="4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Wossen et al. 2017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households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heads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 specified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more likely to adopt ICV; Gender not significant when ICV adoption is measured by DNA fingerprinting</w:t>
            </w:r>
          </w:p>
        </w:tc>
      </w:tr>
    </w:tbl>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
        <w:tblW w:w="825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50"/>
        <w:gridCol w:w="3244"/>
        <w:gridCol w:w="576"/>
        <w:gridCol w:w="956"/>
        <w:gridCol w:w="576"/>
        <w:gridCol w:w="956"/>
        <w:tblGridChange w:id="0">
          <w:tblGrid>
            <w:gridCol w:w="1950"/>
            <w:gridCol w:w="3244"/>
            <w:gridCol w:w="576"/>
            <w:gridCol w:w="956"/>
            <w:gridCol w:w="576"/>
            <w:gridCol w:w="956"/>
          </w:tblGrid>
        </w:tblGridChange>
      </w:tblGrid>
      <w:tr>
        <w:trPr>
          <w:cantSplit w:val="0"/>
          <w:trHeight w:val="300" w:hRule="atLeast"/>
          <w:tblHeader w:val="0"/>
        </w:trPr>
        <w:tc>
          <w:tcPr>
            <w:gridSpan w:val="6"/>
            <w:tcBorders>
              <w:bottom w:color="000000" w:space="0" w:sz="4" w:val="single"/>
            </w:tcBorders>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Descriptive statistics of spousal subset</w:t>
            </w:r>
          </w:p>
        </w:tc>
      </w:tr>
      <w:tr>
        <w:trPr>
          <w:cantSplit w:val="0"/>
          <w:trHeight w:val="300" w:hRule="atLeast"/>
          <w:tblHeader w:val="0"/>
        </w:trPr>
        <w:tc>
          <w:tcPr>
            <w:vMerge w:val="restart"/>
            <w:tcBorders>
              <w:top w:color="000000" w:space="0" w:sz="4" w:val="single"/>
            </w:tcBorders>
            <w:vAlign w:val="bottom"/>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tcBorders>
            <w:vAlign w:val="bottom"/>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Husbands</w:t>
            </w:r>
          </w:p>
        </w:tc>
        <w:tc>
          <w:tcPr>
            <w:gridSpan w:val="2"/>
            <w:tcBorders>
              <w:top w:color="000000" w:space="0" w:sz="4" w:val="single"/>
              <w:bottom w:color="000000" w:space="0" w:sz="4" w:val="single"/>
            </w:tcBorders>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Wives</w:t>
            </w:r>
          </w:p>
        </w:tc>
      </w:tr>
      <w:tr>
        <w:trPr>
          <w:cantSplit w:val="0"/>
          <w:trHeight w:val="305" w:hRule="atLeast"/>
          <w:tblHeader w:val="0"/>
        </w:trPr>
        <w:tc>
          <w:tcPr>
            <w:vMerge w:val="continue"/>
            <w:tcBorders>
              <w:top w:color="000000" w:space="0" w:sz="4" w:val="single"/>
            </w:tcBorders>
            <w:vAlign w:val="bottom"/>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tcBorders>
            <w:vAlign w:val="bottom"/>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bottom w:color="000000" w:space="0" w:sz="4" w:val="single"/>
            </w:tcBorders>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bottom w:color="000000" w:space="0" w:sz="4"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39" w:hRule="atLeast"/>
          <w:tblHeader w:val="0"/>
        </w:trPr>
        <w:tc>
          <w:tcPr>
            <w:tcBorders>
              <w:top w:color="000000" w:space="0" w:sz="4" w:val="single"/>
            </w:tcBorders>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Marital Status</w:t>
            </w:r>
          </w:p>
        </w:tc>
        <w:tc>
          <w:tcPr>
            <w:tcBorders>
              <w:top w:color="000000" w:space="0" w:sz="4" w:val="single"/>
            </w:tcBorders>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Married, living with spouse/s</w:t>
            </w:r>
          </w:p>
        </w:tc>
        <w:tc>
          <w:tcPr>
            <w:tcBorders>
              <w:top w:color="000000" w:space="0" w:sz="4" w:val="single"/>
            </w:tcBorders>
            <w:vAlign w:val="cente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729</w:t>
            </w:r>
          </w:p>
        </w:tc>
        <w:tc>
          <w:tcPr>
            <w:tcBorders>
              <w:top w:color="000000" w:space="0" w:sz="4" w:val="single"/>
            </w:tcBorders>
            <w:vAlign w:val="cente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tcBorders>
            <w:vAlign w:val="cente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729</w:t>
            </w:r>
          </w:p>
        </w:tc>
        <w:tc>
          <w:tcPr>
            <w:tcBorders>
              <w:top w:color="000000" w:space="0" w:sz="4" w:val="single"/>
            </w:tcBorders>
            <w:vAlign w:val="cente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52" w:hRule="atLeast"/>
          <w:tblHeader w:val="0"/>
        </w:trPr>
        <w:tc>
          <w:tcPr>
            <w:vMerge w:val="restart"/>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to Household Head</w:t>
            </w:r>
          </w:p>
        </w:tc>
        <w:tc>
          <w:tcP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w:t>
            </w:r>
          </w:p>
        </w:tc>
        <w:tc>
          <w:tcPr>
            <w:vAlign w:val="center"/>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w:t>
            </w:r>
          </w:p>
        </w:tc>
        <w:tc>
          <w:tcPr>
            <w:vAlign w:val="cente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99.59%</w:t>
            </w:r>
          </w:p>
        </w:tc>
        <w:tc>
          <w:tcPr>
            <w:vAlign w:val="cente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585" w:hRule="atLeast"/>
          <w:tblHeader w:val="0"/>
        </w:trPr>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Spouse</w:t>
            </w:r>
          </w:p>
        </w:tc>
        <w:tc>
          <w:tcPr>
            <w:vAlign w:val="cente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vAlign w:val="cente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716</w:t>
            </w:r>
          </w:p>
        </w:tc>
        <w:tc>
          <w:tcPr>
            <w:vAlign w:val="center"/>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98.20%</w:t>
            </w:r>
          </w:p>
        </w:tc>
      </w:tr>
      <w:tr>
        <w:trPr>
          <w:cantSplit w:val="0"/>
          <w:trHeight w:val="68" w:hRule="atLeast"/>
          <w:tblHeader w:val="0"/>
        </w:trPr>
        <w:tc>
          <w:tcPr>
            <w:vMerge w:val="restart"/>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Occupation</w:t>
            </w:r>
          </w:p>
        </w:tc>
        <w:tc>
          <w:tcP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 (crop &amp; livestock)</w:t>
            </w:r>
          </w:p>
        </w:tc>
        <w:tc>
          <w:tcPr>
            <w:vAlign w:val="cente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w:t>
            </w:r>
          </w:p>
        </w:tc>
        <w:tc>
          <w:tcPr>
            <w:vAlign w:val="cente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80.70%</w:t>
            </w:r>
          </w:p>
        </w:tc>
        <w:tc>
          <w:tcP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w:t>
            </w:r>
          </w:p>
        </w:tc>
        <w:tc>
          <w:tcPr>
            <w:vAlign w:val="cente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67.20%</w:t>
            </w:r>
          </w:p>
        </w:tc>
      </w:tr>
      <w:tr>
        <w:trPr>
          <w:cantSplit w:val="0"/>
          <w:trHeight w:val="300" w:hRule="atLeast"/>
          <w:tblHeader w:val="0"/>
        </w:trPr>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Self-employed off farm</w:t>
            </w:r>
          </w:p>
        </w:tc>
        <w:tc>
          <w:tcPr>
            <w:vAlign w:val="cente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vAlign w:val="center"/>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w:t>
            </w:r>
          </w:p>
        </w:tc>
        <w:tc>
          <w:tcPr>
            <w:vAlign w:val="cente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vAlign w:val="cente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21.90%</w:t>
            </w:r>
          </w:p>
        </w:tc>
      </w:tr>
      <w:tr>
        <w:trPr>
          <w:cantSplit w:val="0"/>
          <w:trHeight w:val="441" w:hRule="atLeast"/>
          <w:tblHeader w:val="0"/>
        </w:trPr>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vAlign w:val="cente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vAlign w:val="cente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c>
          <w:tcPr>
            <w:vAlign w:val="cente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vAlign w:val="cente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w:t>
            </w:r>
          </w:p>
        </w:tc>
      </w:tr>
      <w:tr>
        <w:trPr>
          <w:cantSplit w:val="0"/>
          <w:trHeight w:val="300" w:hRule="atLeast"/>
          <w:tblHeader w:val="0"/>
        </w:trPr>
        <w:tc>
          <w:tcPr>
            <w:vMerge w:val="restart"/>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c>
          <w:tcPr>
            <w:vAlign w:val="center"/>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25.50%</w:t>
            </w:r>
          </w:p>
        </w:tc>
        <w:tc>
          <w:tcP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c>
          <w:tcPr>
            <w:vAlign w:val="cente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25.50%</w:t>
            </w:r>
          </w:p>
        </w:tc>
      </w:tr>
      <w:tr>
        <w:trPr>
          <w:cantSplit w:val="0"/>
          <w:trHeight w:val="300" w:hRule="atLeast"/>
          <w:tblHeader w:val="0"/>
        </w:trPr>
        <w:tc>
          <w:tcPr>
            <w:vMerge w:val="continue"/>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w:t>
            </w:r>
          </w:p>
        </w:tc>
        <w:tc>
          <w:tcPr>
            <w:vAlign w:val="cente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32.60%</w:t>
            </w:r>
          </w:p>
        </w:tc>
        <w:tc>
          <w:tcP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w:t>
            </w:r>
          </w:p>
        </w:tc>
        <w:tc>
          <w:tcPr>
            <w:vAlign w:val="cente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32.60%</w:t>
            </w:r>
          </w:p>
        </w:tc>
      </w:tr>
      <w:tr>
        <w:trPr>
          <w:cantSplit w:val="0"/>
          <w:trHeight w:val="300" w:hRule="atLeast"/>
          <w:tblHeader w:val="0"/>
        </w:trPr>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vAlign w:val="cente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22.60%</w:t>
            </w:r>
          </w:p>
        </w:tc>
        <w:tc>
          <w:tcPr>
            <w:vAlign w:val="cente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vAlign w:val="cente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22.60%</w:t>
            </w:r>
          </w:p>
        </w:tc>
      </w:tr>
      <w:tr>
        <w:trPr>
          <w:cantSplit w:val="0"/>
          <w:trHeight w:val="300" w:hRule="atLeast"/>
          <w:tblHeader w:val="0"/>
        </w:trPr>
        <w:tc>
          <w:tcPr>
            <w:vMerge w:val="continue"/>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vAlign w:val="cente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w:t>
            </w:r>
          </w:p>
        </w:tc>
        <w:tc>
          <w:tcPr>
            <w:vAlign w:val="cente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vAlign w:val="cente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w:t>
            </w:r>
          </w:p>
        </w:tc>
      </w:tr>
      <w:tr>
        <w:trPr>
          <w:cantSplit w:val="0"/>
          <w:trHeight w:val="495" w:hRule="atLeast"/>
          <w:tblHeader w:val="0"/>
        </w:trPr>
        <w:tc>
          <w:tcPr>
            <w:gridSpan w:val="2"/>
            <w:vAlign w:val="cente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gridSpan w:val="2"/>
            <w:tcBorders>
              <w:bottom w:color="000000" w:space="0" w:sz="4" w:val="single"/>
            </w:tcBorders>
            <w:vAlign w:val="bottom"/>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r>
      <w:tr>
        <w:trPr>
          <w:cantSplit w:val="0"/>
          <w:trHeight w:val="300" w:hRule="atLeast"/>
          <w:tblHeader w:val="0"/>
        </w:trPr>
        <w:tc>
          <w:tcPr>
            <w:vMerge w:val="restart"/>
            <w:vAlign w:val="cente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Demographics (years)</w:t>
            </w:r>
          </w:p>
        </w:tc>
        <w:tc>
          <w:tcPr>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gridSpan w:val="2"/>
            <w:tcBorders>
              <w:top w:color="000000" w:space="0" w:sz="4" w:val="single"/>
            </w:tcBorders>
            <w:vAlign w:val="cente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50.54</w:t>
            </w:r>
          </w:p>
        </w:tc>
        <w:tc>
          <w:tcPr>
            <w:gridSpan w:val="2"/>
            <w:tcBorders>
              <w:top w:color="000000" w:space="0" w:sz="4" w:val="single"/>
            </w:tcBorders>
            <w:vAlign w:val="cente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40.43</w:t>
            </w:r>
          </w:p>
        </w:tc>
      </w:tr>
      <w:tr>
        <w:trPr>
          <w:cantSplit w:val="0"/>
          <w:trHeight w:val="477" w:hRule="atLeast"/>
          <w:tblHeader w:val="0"/>
        </w:trPr>
        <w:tc>
          <w:tcPr>
            <w:vMerge w:val="continue"/>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3">
            <w:pPr>
              <w:tabs>
                <w:tab w:val="center" w:leader="none" w:pos="151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completed</w:t>
            </w:r>
          </w:p>
        </w:tc>
        <w:tc>
          <w:tcPr>
            <w:gridSpan w:val="2"/>
            <w:vAlign w:val="cente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9.34</w:t>
            </w:r>
          </w:p>
        </w:tc>
        <w:tc>
          <w:tcPr>
            <w:gridSpan w:val="2"/>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8.03</w:t>
            </w:r>
          </w:p>
        </w:tc>
      </w:tr>
      <w:tr>
        <w:trPr>
          <w:cantSplit w:val="0"/>
          <w:trHeight w:val="300" w:hRule="atLeast"/>
          <w:tblHeader w:val="0"/>
        </w:trPr>
        <w:tc>
          <w:tcPr>
            <w:vMerge w:val="restart"/>
            <w:vAlign w:val="cente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 Members (number)</w:t>
            </w:r>
          </w:p>
        </w:tc>
        <w:tc>
          <w:tcPr>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gridSpan w:val="2"/>
            <w:vAlign w:val="cente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w:t>
            </w:r>
          </w:p>
        </w:tc>
        <w:tc>
          <w:tcPr>
            <w:gridSpan w:val="2"/>
            <w:vAlign w:val="cente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w:t>
            </w:r>
          </w:p>
        </w:tc>
      </w:tr>
      <w:tr>
        <w:trPr>
          <w:cantSplit w:val="0"/>
          <w:trHeight w:val="300" w:hRule="atLeast"/>
          <w:tblHeader w:val="0"/>
        </w:trPr>
        <w:tc>
          <w:tcPr>
            <w:vMerge w:val="continue"/>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in House over 12</w:t>
            </w:r>
          </w:p>
        </w:tc>
        <w:tc>
          <w:tcPr>
            <w:gridSpan w:val="2"/>
            <w:vAlign w:val="cente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gridSpan w:val="2"/>
            <w:vAlign w:val="cente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r>
      <w:tr>
        <w:trPr>
          <w:cantSplit w:val="0"/>
          <w:trHeight w:val="300" w:hRule="atLeast"/>
          <w:tblHeader w:val="0"/>
        </w:trPr>
        <w:tc>
          <w:tcPr>
            <w:vMerge w:val="continue"/>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in House over 12</w:t>
            </w:r>
          </w:p>
        </w:tc>
        <w:tc>
          <w:tcPr>
            <w:gridSpan w:val="2"/>
            <w:vAlign w:val="center"/>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gridSpan w:val="2"/>
            <w:vAlign w:val="center"/>
          </w:tcPr>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w:t>
            </w:r>
          </w:p>
        </w:tc>
      </w:tr>
      <w:tr>
        <w:trPr>
          <w:cantSplit w:val="0"/>
          <w:trHeight w:val="300" w:hRule="atLeast"/>
          <w:tblHeader w:val="0"/>
        </w:trPr>
        <w:tc>
          <w:tcPr>
            <w:vMerge w:val="continue"/>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w:t>
            </w:r>
          </w:p>
        </w:tc>
        <w:tc>
          <w:tcPr>
            <w:gridSpan w:val="2"/>
            <w:vAlign w:val="center"/>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gridSpan w:val="2"/>
            <w:vAlign w:val="center"/>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r>
    </w:tbl>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125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1716"/>
        <w:gridCol w:w="1716"/>
        <w:gridCol w:w="1476"/>
        <w:gridCol w:w="1596"/>
        <w:gridCol w:w="2076"/>
        <w:gridCol w:w="756"/>
        <w:tblGridChange w:id="0">
          <w:tblGrid>
            <w:gridCol w:w="3181"/>
            <w:gridCol w:w="1716"/>
            <w:gridCol w:w="1716"/>
            <w:gridCol w:w="1476"/>
            <w:gridCol w:w="1596"/>
            <w:gridCol w:w="2076"/>
            <w:gridCol w:w="756"/>
          </w:tblGrid>
        </w:tblGridChange>
      </w:tblGrid>
      <w:tr>
        <w:trPr>
          <w:cantSplit w:val="0"/>
          <w:trHeight w:val="300" w:hRule="atLeast"/>
          <w:tblHeader w:val="0"/>
        </w:trPr>
        <w:tc>
          <w:tcPr>
            <w:gridSpan w:val="7"/>
            <w:tcBorders>
              <w:top w:color="000000" w:space="0" w:sz="0" w:val="nil"/>
              <w:left w:color="000000" w:space="0" w:sz="0" w:val="nil"/>
              <w:right w:color="000000" w:space="0" w:sz="0" w:val="nil"/>
            </w:tcBorders>
            <w:vAlign w:val="center"/>
          </w:tcPr>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Spousal differences in reporting on total household assets</w:t>
            </w:r>
          </w:p>
        </w:tc>
      </w:tr>
      <w:tr>
        <w:trPr>
          <w:cantSplit w:val="0"/>
          <w:trHeight w:val="300" w:hRule="atLeast"/>
          <w:tblHeader w:val="0"/>
        </w:trPr>
        <w:tc>
          <w:tcPr>
            <w:vMerge w:val="restart"/>
            <w:tcBorders>
              <w:left w:color="000000" w:space="0" w:sz="0" w:val="nil"/>
              <w:right w:color="000000" w:space="0" w:sz="0" w:val="nil"/>
            </w:tcBorders>
            <w:vAlign w:val="bottom"/>
          </w:tcPr>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Distribution</w:t>
            </w:r>
          </w:p>
        </w:tc>
        <w:tc>
          <w:tcPr>
            <w:gridSpan w:val="2"/>
            <w:tcBorders>
              <w:left w:color="000000" w:space="0" w:sz="0" w:val="nil"/>
              <w:right w:color="000000" w:space="0" w:sz="0" w:val="nil"/>
            </w:tcBorders>
            <w:vAlign w:val="bottom"/>
          </w:tcPr>
          <w:p w:rsidR="00000000" w:rsidDel="00000000" w:rsidP="00000000" w:rsidRDefault="00000000" w:rsidRPr="00000000" w14:paraId="000001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2"/>
            <w:tcBorders>
              <w:left w:color="000000" w:space="0" w:sz="0" w:val="nil"/>
              <w:right w:color="000000" w:space="0" w:sz="0" w:val="nil"/>
            </w:tcBorders>
            <w:vAlign w:val="bottom"/>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vMerge w:val="restart"/>
            <w:tcBorders>
              <w:left w:color="000000" w:space="0" w:sz="0" w:val="nil"/>
              <w:right w:color="000000" w:space="0" w:sz="0" w:val="nil"/>
            </w:tcBorders>
            <w:vAlign w:val="bottom"/>
          </w:tcPr>
          <w:p w:rsidR="00000000" w:rsidDel="00000000" w:rsidP="00000000" w:rsidRDefault="00000000" w:rsidRPr="00000000" w14:paraId="000001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vMerge w:val="restart"/>
            <w:tcBorders>
              <w:left w:color="000000" w:space="0" w:sz="0" w:val="nil"/>
              <w:right w:color="000000" w:space="0" w:sz="0" w:val="nil"/>
            </w:tcBorders>
            <w:vAlign w:val="bottom"/>
          </w:tcPr>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300" w:hRule="atLeast"/>
          <w:tblHeader w:val="0"/>
        </w:trPr>
        <w:tc>
          <w:tcPr>
            <w:vMerge w:val="continue"/>
            <w:tcBorders>
              <w:left w:color="000000" w:space="0" w:sz="0" w:val="nil"/>
              <w:right w:color="000000" w:space="0" w:sz="0" w:val="nil"/>
            </w:tcBorders>
            <w:vAlign w:val="bottom"/>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left w:color="000000" w:space="0" w:sz="0" w:val="nil"/>
              <w:right w:color="000000" w:space="0" w:sz="0" w:val="nil"/>
            </w:tcBorders>
            <w:vAlign w:val="center"/>
          </w:tcPr>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tcBorders>
              <w:left w:color="000000" w:space="0" w:sz="0" w:val="nil"/>
              <w:right w:color="000000" w:space="0" w:sz="0" w:val="nil"/>
            </w:tcBorders>
            <w:vAlign w:val="center"/>
          </w:tcPr>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left w:color="000000" w:space="0" w:sz="0" w:val="nil"/>
              <w:right w:color="000000" w:space="0" w:sz="0" w:val="nil"/>
            </w:tcBorders>
            <w:vAlign w:val="center"/>
          </w:tcPr>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Merge w:val="continue"/>
            <w:tcBorders>
              <w:left w:color="000000" w:space="0" w:sz="0" w:val="nil"/>
              <w:right w:color="000000" w:space="0" w:sz="0" w:val="nil"/>
            </w:tcBorders>
            <w:vAlign w:val="bottom"/>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left w:color="000000" w:space="0" w:sz="0" w:val="nil"/>
              <w:right w:color="000000" w:space="0" w:sz="0" w:val="nil"/>
            </w:tcBorders>
            <w:vAlign w:val="bottom"/>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owned by household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113,067,418.45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731,196,392.56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5,504,918.88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47,276,845.50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107,562,499.57***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owned by men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108,519,916.75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70,6032,286.04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5,323,070.00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47,237,204.58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103,196,846.76***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owned by women only</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4,529,368.63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111,134,226.95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180,325.85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547,553.46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4,349,042.78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0.291</w:t>
            </w:r>
          </w:p>
        </w:tc>
      </w:tr>
      <w:tr>
        <w:trPr>
          <w:cantSplit w:val="0"/>
          <w:trHeight w:val="300" w:hRule="atLeast"/>
          <w:tblHeader w:val="0"/>
        </w:trPr>
        <w:tc>
          <w:tcPr>
            <w:gridSpan w:val="7"/>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values in Naira; estimated value of 1 Nigerian Naira equals USD $0.0024</w:t>
            </w:r>
          </w:p>
        </w:tc>
      </w:tr>
    </w:tbl>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1179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20"/>
        <w:gridCol w:w="1970"/>
        <w:gridCol w:w="151"/>
        <w:gridCol w:w="1325"/>
        <w:gridCol w:w="151"/>
        <w:gridCol w:w="1445"/>
        <w:gridCol w:w="151"/>
        <w:gridCol w:w="1145"/>
        <w:gridCol w:w="151"/>
        <w:gridCol w:w="1325"/>
        <w:gridCol w:w="151"/>
        <w:gridCol w:w="1325"/>
        <w:gridCol w:w="146"/>
        <w:gridCol w:w="610"/>
        <w:gridCol w:w="124"/>
        <w:tblGridChange w:id="0">
          <w:tblGrid>
            <w:gridCol w:w="1620"/>
            <w:gridCol w:w="1970"/>
            <w:gridCol w:w="151"/>
            <w:gridCol w:w="1325"/>
            <w:gridCol w:w="151"/>
            <w:gridCol w:w="1445"/>
            <w:gridCol w:w="151"/>
            <w:gridCol w:w="1145"/>
            <w:gridCol w:w="151"/>
            <w:gridCol w:w="1325"/>
            <w:gridCol w:w="151"/>
            <w:gridCol w:w="1325"/>
            <w:gridCol w:w="146"/>
            <w:gridCol w:w="610"/>
            <w:gridCol w:w="124"/>
          </w:tblGrid>
        </w:tblGridChange>
      </w:tblGrid>
      <w:tr>
        <w:trPr>
          <w:cantSplit w:val="0"/>
          <w:trHeight w:val="300" w:hRule="atLeast"/>
          <w:tblHeader w:val="0"/>
        </w:trPr>
        <w:tc>
          <w:tcPr>
            <w:gridSpan w:val="14"/>
            <w:tcBorders>
              <w:bottom w:color="000000" w:space="0" w:sz="4" w:val="single"/>
            </w:tcBorders>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Spousal differences in reporting on productive assets and livestock ownership</w:t>
            </w:r>
          </w:p>
        </w:tc>
      </w:tr>
      <w:tr>
        <w:trPr>
          <w:cantSplit w:val="0"/>
          <w:trHeight w:val="300" w:hRule="atLeast"/>
          <w:tblHeader w:val="0"/>
        </w:trPr>
        <w:tc>
          <w:tcPr>
            <w:vMerge w:val="restart"/>
            <w:tcBorders>
              <w:top w:color="000000" w:space="0" w:sz="4" w:val="single"/>
              <w:bottom w:color="000000" w:space="0" w:sz="4" w:val="single"/>
            </w:tcBorders>
            <w:vAlign w:val="bottom"/>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w:t>
            </w:r>
          </w:p>
        </w:tc>
        <w:tc>
          <w:tcPr>
            <w:gridSpan w:val="2"/>
            <w:vMerge w:val="restart"/>
            <w:tcBorders>
              <w:top w:color="000000" w:space="0" w:sz="4" w:val="single"/>
              <w:bottom w:color="000000" w:space="0" w:sz="4" w:val="single"/>
            </w:tcBorders>
            <w:vAlign w:val="bottom"/>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w:t>
            </w:r>
          </w:p>
        </w:tc>
        <w:tc>
          <w:tcPr>
            <w:gridSpan w:val="4"/>
            <w:tcBorders>
              <w:top w:color="000000" w:space="0" w:sz="4" w:val="single"/>
              <w:bottom w:color="000000" w:space="0" w:sz="4" w:val="single"/>
            </w:tcBorders>
            <w:vAlign w:val="bottom"/>
          </w:tcPr>
          <w:p w:rsidR="00000000" w:rsidDel="00000000" w:rsidP="00000000" w:rsidRDefault="00000000" w:rsidRPr="00000000" w14:paraId="000001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4"/>
            <w:tcBorders>
              <w:top w:color="000000" w:space="0" w:sz="4" w:val="single"/>
              <w:bottom w:color="000000" w:space="0" w:sz="4" w:val="single"/>
            </w:tcBorders>
            <w:vAlign w:val="bottom"/>
          </w:tcPr>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gridSpan w:val="2"/>
            <w:vMerge w:val="restart"/>
            <w:tcBorders>
              <w:top w:color="000000" w:space="0" w:sz="4" w:val="single"/>
              <w:bottom w:color="000000" w:space="0" w:sz="4" w:val="single"/>
            </w:tcBorders>
            <w:vAlign w:val="bottom"/>
          </w:tcPr>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gridSpan w:val="2"/>
            <w:vMerge w:val="restart"/>
            <w:tcBorders>
              <w:top w:color="000000" w:space="0" w:sz="4" w:val="single"/>
              <w:bottom w:color="000000" w:space="0" w:sz="4" w:val="single"/>
            </w:tcBorders>
            <w:vAlign w:val="bottom"/>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300" w:hRule="atLeast"/>
          <w:tblHeader w:val="0"/>
        </w:trPr>
        <w:tc>
          <w:tcPr>
            <w:vMerge w:val="continue"/>
            <w:tcBorders>
              <w:top w:color="000000" w:space="0" w:sz="4" w:val="single"/>
              <w:bottom w:color="000000" w:space="0" w:sz="4" w:val="single"/>
            </w:tcBorders>
            <w:vAlign w:val="bottom"/>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Merge w:val="continue"/>
            <w:tcBorders>
              <w:top w:color="000000" w:space="0" w:sz="4" w:val="single"/>
              <w:bottom w:color="000000" w:space="0" w:sz="4" w:val="single"/>
            </w:tcBorders>
            <w:vAlign w:val="bottom"/>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gridSpan w:val="2"/>
            <w:tcBorders>
              <w:top w:color="000000" w:space="0" w:sz="4" w:val="single"/>
              <w:bottom w:color="000000" w:space="0" w:sz="4" w:val="single"/>
            </w:tcBorders>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gridSpan w:val="2"/>
            <w:tcBorders>
              <w:top w:color="000000" w:space="0" w:sz="4" w:val="single"/>
              <w:bottom w:color="000000" w:space="0" w:sz="4" w:val="single"/>
            </w:tcBorders>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gridSpan w:val="2"/>
            <w:tcBorders>
              <w:top w:color="000000" w:space="0" w:sz="4" w:val="single"/>
              <w:bottom w:color="000000" w:space="0" w:sz="4" w:val="single"/>
            </w:tcBorders>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gridSpan w:val="2"/>
            <w:vMerge w:val="continue"/>
            <w:tcBorders>
              <w:top w:color="000000" w:space="0" w:sz="4" w:val="single"/>
              <w:bottom w:color="000000" w:space="0" w:sz="4" w:val="single"/>
            </w:tcBorders>
            <w:vAlign w:val="bottom"/>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Merge w:val="continue"/>
            <w:tcBorders>
              <w:top w:color="000000" w:space="0" w:sz="4" w:val="single"/>
              <w:bottom w:color="000000" w:space="0" w:sz="4" w:val="single"/>
            </w:tcBorders>
            <w:vAlign w:val="bottom"/>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vMerge w:val="restart"/>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Assets Value</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tc>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gridSpan w:val="2"/>
            <w:tcBorders>
              <w:top w:color="000000" w:space="0" w:sz="4" w:val="single"/>
            </w:tcBorders>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1,493,651.40</w:t>
            </w:r>
          </w:p>
        </w:tc>
        <w:tc>
          <w:tcPr>
            <w:gridSpan w:val="2"/>
            <w:tcBorders>
              <w:top w:color="000000" w:space="0" w:sz="4" w:val="single"/>
            </w:tcBorders>
          </w:tcPr>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37,075,640.38</w:t>
            </w:r>
          </w:p>
        </w:tc>
        <w:tc>
          <w:tcPr>
            <w:gridSpan w:val="2"/>
            <w:tcBorders>
              <w:top w:color="000000" w:space="0" w:sz="4" w:val="single"/>
            </w:tcBorders>
          </w:tcPr>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260,541.36</w:t>
            </w:r>
          </w:p>
        </w:tc>
        <w:tc>
          <w:tcPr>
            <w:gridSpan w:val="2"/>
            <w:tcBorders>
              <w:top w:color="000000" w:space="0" w:sz="4" w:val="single"/>
            </w:tcBorders>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5,570,781.83</w:t>
            </w:r>
          </w:p>
        </w:tc>
        <w:tc>
          <w:tcPr>
            <w:gridSpan w:val="2"/>
          </w:tcPr>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1,233,110.04</w:t>
            </w:r>
          </w:p>
        </w:tc>
        <w:tc>
          <w:tcPr>
            <w:gridSpan w:val="2"/>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0.375</w:t>
            </w:r>
          </w:p>
        </w:tc>
      </w:tr>
      <w:tr>
        <w:trPr>
          <w:cantSplit w:val="0"/>
          <w:trHeight w:val="288" w:hRule="atLeast"/>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gridSpan w:val="2"/>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1,4847,78.88</w:t>
            </w:r>
          </w:p>
        </w:tc>
        <w:tc>
          <w:tcPr>
            <w:gridSpan w:val="2"/>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37,075,537.75</w:t>
            </w:r>
          </w:p>
        </w:tc>
        <w:tc>
          <w:tcPr>
            <w:gridSpan w:val="2"/>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359,289.62</w:t>
            </w:r>
          </w:p>
        </w:tc>
        <w:tc>
          <w:tcPr>
            <w:gridSpan w:val="2"/>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6,304,735.26</w:t>
            </w:r>
          </w:p>
        </w:tc>
        <w:tc>
          <w:tcPr>
            <w:gridSpan w:val="2"/>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1,125,489.25</w:t>
            </w:r>
          </w:p>
        </w:tc>
        <w:tc>
          <w:tcPr>
            <w:gridSpan w:val="2"/>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0.419</w:t>
            </w:r>
          </w:p>
        </w:tc>
      </w:tr>
      <w:tr>
        <w:trPr>
          <w:cantSplit w:val="0"/>
          <w:trHeight w:val="666" w:hRule="atLeast"/>
          <w:tblHeader w:val="0"/>
        </w:trPr>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gridSpan w:val="2"/>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6,732.58</w:t>
            </w:r>
          </w:p>
        </w:tc>
        <w:tc>
          <w:tcPr>
            <w:gridSpan w:val="2"/>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3,9960.67</w:t>
            </w:r>
          </w:p>
        </w:tc>
        <w:tc>
          <w:tcPr>
            <w:gridSpan w:val="2"/>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8,178.54</w:t>
            </w:r>
          </w:p>
        </w:tc>
        <w:tc>
          <w:tcPr>
            <w:gridSpan w:val="2"/>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58,578.06</w:t>
            </w:r>
          </w:p>
        </w:tc>
        <w:tc>
          <w:tcPr>
            <w:gridSpan w:val="2"/>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-1,445.96</w:t>
            </w:r>
          </w:p>
        </w:tc>
        <w:tc>
          <w:tcPr>
            <w:gridSpan w:val="2"/>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0.582</w:t>
            </w:r>
          </w:p>
        </w:tc>
      </w:tr>
      <w:tr>
        <w:trPr>
          <w:cantSplit w:val="0"/>
          <w:trHeight w:val="288" w:hRule="atLeast"/>
          <w:tblHeader w:val="0"/>
        </w:trPr>
        <w:tc>
          <w:tcPr>
            <w:vMerge w:val="restart"/>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Units</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gridSpan w:val="2"/>
          </w:tcPr>
          <w:p w:rsidR="00000000" w:rsidDel="00000000" w:rsidP="00000000" w:rsidRDefault="00000000" w:rsidRPr="00000000" w14:paraId="000001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gridSpan w:val="2"/>
          </w:tcPr>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w:t>
            </w:r>
          </w:p>
        </w:tc>
        <w:tc>
          <w:tcPr>
            <w:gridSpan w:val="2"/>
          </w:tcPr>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gridSpan w:val="2"/>
          </w:tcPr>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19.17</w:t>
            </w:r>
          </w:p>
        </w:tc>
        <w:tc>
          <w:tcPr>
            <w:gridSpan w:val="2"/>
          </w:tcPr>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gridSpan w:val="2"/>
          </w:tcPr>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0.882</w:t>
            </w:r>
          </w:p>
        </w:tc>
      </w:tr>
      <w:tr>
        <w:trPr>
          <w:cantSplit w:val="0"/>
          <w:trHeight w:val="288" w:hRule="atLeast"/>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gridSpan w:val="2"/>
          </w:tcPr>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gridSpan w:val="2"/>
          </w:tcPr>
          <w:p w:rsidR="00000000" w:rsidDel="00000000" w:rsidP="00000000" w:rsidRDefault="00000000" w:rsidRPr="00000000" w14:paraId="000001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w:t>
            </w:r>
          </w:p>
        </w:tc>
        <w:tc>
          <w:tcPr>
            <w:gridSpan w:val="2"/>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gridSpan w:val="2"/>
          </w:tcPr>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gridSpan w:val="2"/>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w:t>
            </w:r>
          </w:p>
        </w:tc>
        <w:tc>
          <w:tcPr>
            <w:gridSpan w:val="2"/>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0.142</w:t>
            </w:r>
          </w:p>
        </w:tc>
      </w:tr>
      <w:tr>
        <w:trPr>
          <w:cantSplit w:val="0"/>
          <w:trHeight w:val="300" w:hRule="atLeast"/>
          <w:tblHeader w:val="0"/>
        </w:trPr>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gridSpan w:val="2"/>
            <w:tcBorders>
              <w:bottom w:color="000000" w:space="0" w:sz="4" w:val="single"/>
            </w:tcBorders>
          </w:tcPr>
          <w:p w:rsidR="00000000" w:rsidDel="00000000" w:rsidP="00000000" w:rsidRDefault="00000000" w:rsidRPr="00000000" w14:paraId="000001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gridSpan w:val="2"/>
            <w:tcBorders>
              <w:bottom w:color="000000" w:space="0" w:sz="4" w:val="single"/>
            </w:tcBorders>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gridSpan w:val="2"/>
            <w:tcBorders>
              <w:bottom w:color="000000" w:space="0" w:sz="4" w:val="single"/>
            </w:tcBorders>
          </w:tcPr>
          <w:p w:rsidR="00000000" w:rsidDel="00000000" w:rsidP="00000000" w:rsidRDefault="00000000" w:rsidRPr="00000000" w14:paraId="000002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gridSpan w:val="2"/>
            <w:tcBorders>
              <w:bottom w:color="000000" w:space="0" w:sz="4" w:val="single"/>
            </w:tcBorders>
          </w:tcPr>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14.93</w:t>
            </w:r>
          </w:p>
        </w:tc>
        <w:tc>
          <w:tcPr>
            <w:gridSpan w:val="2"/>
            <w:tcBorders>
              <w:bottom w:color="000000" w:space="0" w:sz="4" w:val="single"/>
            </w:tcBorders>
          </w:tcPr>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gridSpan w:val="2"/>
            <w:tcBorders>
              <w:bottom w:color="000000" w:space="0" w:sz="4" w:val="single"/>
            </w:tcBorders>
          </w:tcPr>
          <w:p w:rsidR="00000000" w:rsidDel="00000000" w:rsidP="00000000" w:rsidRDefault="00000000" w:rsidRPr="00000000" w14:paraId="000002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w:t>
            </w:r>
          </w:p>
        </w:tc>
      </w:tr>
      <w:tr>
        <w:trPr>
          <w:cantSplit w:val="0"/>
          <w:trHeight w:val="300" w:hRule="atLeast"/>
          <w:tblHeader w:val="0"/>
        </w:trPr>
        <w:tc>
          <w:tcPr>
            <w:gridSpan w:val="14"/>
            <w:tcBorders>
              <w:top w:color="000000" w:space="0" w:sz="4" w:val="single"/>
            </w:tcBorders>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in Nigerian Naira (estimated value 1 Nigerian Naira equals USD $0.0024)</w:t>
            </w:r>
          </w:p>
        </w:tc>
      </w:tr>
    </w:tbl>
    <w:p w:rsidR="00000000" w:rsidDel="00000000" w:rsidP="00000000" w:rsidRDefault="00000000" w:rsidRPr="00000000" w14:paraId="00000219">
      <w:pPr>
        <w:spacing w:line="36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838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2070"/>
        <w:gridCol w:w="1007"/>
        <w:gridCol w:w="636"/>
        <w:gridCol w:w="763"/>
        <w:gridCol w:w="639"/>
        <w:gridCol w:w="1343"/>
        <w:gridCol w:w="756"/>
        <w:tblGridChange w:id="0">
          <w:tblGrid>
            <w:gridCol w:w="1170"/>
            <w:gridCol w:w="2070"/>
            <w:gridCol w:w="1007"/>
            <w:gridCol w:w="636"/>
            <w:gridCol w:w="763"/>
            <w:gridCol w:w="639"/>
            <w:gridCol w:w="1343"/>
            <w:gridCol w:w="756"/>
          </w:tblGrid>
        </w:tblGridChange>
      </w:tblGrid>
      <w:tr>
        <w:trPr>
          <w:cantSplit w:val="0"/>
          <w:trHeight w:val="300" w:hRule="atLeast"/>
          <w:tblHeader w:val="0"/>
        </w:trPr>
        <w:tc>
          <w:tcPr>
            <w:gridSpan w:val="8"/>
            <w:tcBorders>
              <w:bottom w:color="000000" w:space="0" w:sz="4" w:val="single"/>
            </w:tcBorders>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Spousal differences in reporting access to cassava processing tools </w:t>
            </w:r>
          </w:p>
        </w:tc>
      </w:tr>
      <w:tr>
        <w:trPr>
          <w:cantSplit w:val="0"/>
          <w:trHeight w:val="314" w:hRule="atLeast"/>
          <w:tblHeader w:val="0"/>
        </w:trPr>
        <w:tc>
          <w:tcPr>
            <w:vMerge w:val="restart"/>
            <w:tcBorders>
              <w:top w:color="000000" w:space="0" w:sz="4" w:val="single"/>
              <w:bottom w:color="000000" w:space="0" w:sz="4" w:val="single"/>
            </w:tcBorders>
            <w:vAlign w:val="bottom"/>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w:t>
            </w:r>
          </w:p>
        </w:tc>
        <w:tc>
          <w:tcPr>
            <w:gridSpan w:val="2"/>
            <w:tcBorders>
              <w:top w:color="000000" w:space="0" w:sz="4" w:val="single"/>
              <w:bottom w:color="000000" w:space="0" w:sz="4" w:val="single"/>
            </w:tcBorders>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2"/>
            <w:tcBorders>
              <w:top w:color="000000" w:space="0" w:sz="4" w:val="single"/>
              <w:bottom w:color="000000" w:space="0" w:sz="4" w:val="single"/>
            </w:tcBorders>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2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288" w:hRule="atLeast"/>
          <w:tblHeader w:val="0"/>
        </w:trPr>
        <w:tc>
          <w:tcPr>
            <w:vMerge w:val="continue"/>
            <w:tcBorders>
              <w:top w:color="000000" w:space="0" w:sz="4" w:val="single"/>
              <w:bottom w:color="000000" w:space="0" w:sz="4" w:val="single"/>
            </w:tcBorders>
            <w:vAlign w:val="bottom"/>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bottom w:color="000000" w:space="0" w:sz="4" w:val="single"/>
            </w:tcBorders>
            <w:vAlign w:val="bottom"/>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tcBorders>
              <w:top w:color="000000" w:space="0" w:sz="4" w:val="single"/>
              <w:bottom w:color="000000" w:space="0" w:sz="4" w:val="single"/>
            </w:tcBorders>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Merge w:val="continue"/>
            <w:tcBorders>
              <w:top w:color="000000" w:space="0" w:sz="4" w:val="single"/>
              <w:bottom w:color="000000" w:space="0" w:sz="4" w:val="single"/>
            </w:tcBorders>
            <w:vAlign w:val="bottom"/>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bottom w:color="000000" w:space="0" w:sz="4" w:val="single"/>
            </w:tcBorders>
            <w:vAlign w:val="bottom"/>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13" w:hRule="atLeast"/>
          <w:tblHeader w:val="0"/>
        </w:trPr>
        <w:tc>
          <w:tcPr>
            <w:tcBorders>
              <w:top w:color="000000" w:space="0" w:sz="4" w:val="single"/>
            </w:tcBorders>
            <w:vAlign w:val="bottom"/>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tcBorders>
              <w:top w:color="000000" w:space="0" w:sz="4" w:val="single"/>
            </w:tcBorders>
            <w:vAlign w:val="bottom"/>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tcBorders>
              <w:top w:color="000000" w:space="0" w:sz="4" w:val="single"/>
            </w:tcBorders>
            <w:vAlign w:val="bottom"/>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c>
          <w:tcPr>
            <w:tcBorders>
              <w:top w:color="000000" w:space="0" w:sz="4" w:val="single"/>
            </w:tcBorders>
            <w:vAlign w:val="bottom"/>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c>
          <w:tcPr>
            <w:tcBorders>
              <w:top w:color="000000" w:space="0" w:sz="4" w:val="single"/>
            </w:tcBorders>
            <w:vAlign w:val="bottom"/>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c>
          <w:tcPr>
            <w:tcBorders>
              <w:top w:color="000000" w:space="0" w:sz="4" w:val="single"/>
            </w:tcBorders>
            <w:vAlign w:val="bottom"/>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0.213**</w:t>
            </w:r>
          </w:p>
        </w:tc>
        <w:tc>
          <w:tcPr>
            <w:tcBorders>
              <w:top w:color="000000" w:space="0" w:sz="4" w:val="single"/>
            </w:tcBorders>
            <w:vAlign w:val="bottom"/>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w:t>
            </w:r>
          </w:p>
        </w:tc>
      </w:tr>
      <w:tr>
        <w:trPr>
          <w:cantSplit w:val="0"/>
          <w:trHeight w:val="288" w:hRule="atLeast"/>
          <w:tblHeader w:val="0"/>
        </w:trPr>
        <w:tc>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w:t>
            </w:r>
          </w:p>
        </w:tc>
        <w:tc>
          <w:tcPr/>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w:t>
            </w:r>
          </w:p>
        </w:tc>
        <w:tc>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0.517</w:t>
            </w:r>
          </w:p>
        </w:tc>
      </w:tr>
      <w:tr>
        <w:trPr>
          <w:cantSplit w:val="0"/>
          <w:trHeight w:val="315" w:hRule="atLeast"/>
          <w:tblHeader w:val="0"/>
        </w:trPr>
        <w:tc>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2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c>
          <w:tcPr/>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p w:rsidR="00000000" w:rsidDel="00000000" w:rsidP="00000000" w:rsidRDefault="00000000" w:rsidRPr="00000000" w14:paraId="000002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c>
          <w:tcPr/>
          <w:p w:rsidR="00000000" w:rsidDel="00000000" w:rsidP="00000000" w:rsidRDefault="00000000" w:rsidRPr="00000000" w14:paraId="000002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-0.383***</w:t>
            </w:r>
          </w:p>
        </w:tc>
        <w:tc>
          <w:tcPr/>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387" w:hRule="atLeast"/>
          <w:tblHeader w:val="0"/>
        </w:trPr>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w:t>
            </w:r>
          </w:p>
        </w:tc>
        <w:tc>
          <w:tcPr/>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p w:rsidR="00000000" w:rsidDel="00000000" w:rsidP="00000000" w:rsidRDefault="00000000" w:rsidRPr="00000000" w14:paraId="00000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0.617***</w:t>
            </w:r>
          </w:p>
        </w:tc>
        <w:tc>
          <w:tcPr/>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Sieve</w:t>
            </w:r>
          </w:p>
        </w:tc>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w:t>
            </w:r>
          </w:p>
        </w:tc>
        <w:tc>
          <w:tcPr/>
          <w:p w:rsidR="00000000" w:rsidDel="00000000" w:rsidP="00000000" w:rsidRDefault="00000000" w:rsidRPr="00000000" w14:paraId="000002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0.116</w:t>
            </w:r>
          </w:p>
        </w:tc>
      </w:tr>
      <w:tr>
        <w:trPr>
          <w:cantSplit w:val="0"/>
          <w:trHeight w:val="288" w:hRule="atLeast"/>
          <w:tblHeader w:val="0"/>
        </w:trPr>
        <w:tc>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p w:rsidR="00000000" w:rsidDel="00000000" w:rsidP="00000000" w:rsidRDefault="00000000" w:rsidRPr="00000000" w14:paraId="000002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p w:rsidR="00000000" w:rsidDel="00000000" w:rsidP="00000000" w:rsidRDefault="00000000" w:rsidRPr="00000000" w14:paraId="000002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w:t>
            </w:r>
          </w:p>
        </w:tc>
        <w:tc>
          <w:tcPr/>
          <w:p w:rsidR="00000000" w:rsidDel="00000000" w:rsidP="00000000" w:rsidRDefault="00000000" w:rsidRPr="00000000" w14:paraId="000002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0.272</w:t>
            </w:r>
          </w:p>
        </w:tc>
      </w:tr>
      <w:tr>
        <w:trPr>
          <w:cantSplit w:val="0"/>
          <w:trHeight w:val="288" w:hRule="atLeast"/>
          <w:tblHeader w:val="0"/>
        </w:trPr>
        <w:tc>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r>
      <w:tr>
        <w:trPr>
          <w:cantSplit w:val="0"/>
          <w:trHeight w:val="405" w:hRule="atLeast"/>
          <w:tblHeader w:val="0"/>
        </w:trPr>
        <w:tc>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w:t>
            </w:r>
          </w:p>
        </w:tc>
        <w:tc>
          <w:tcPr/>
          <w:p w:rsidR="00000000" w:rsidDel="00000000" w:rsidP="00000000" w:rsidRDefault="00000000" w:rsidRPr="00000000" w14:paraId="000002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p w:rsidR="00000000" w:rsidDel="00000000" w:rsidP="00000000" w:rsidRDefault="00000000" w:rsidRPr="00000000" w14:paraId="000002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w:t>
            </w:r>
          </w:p>
        </w:tc>
        <w:tc>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w:t>
            </w:r>
          </w:p>
        </w:tc>
        <w:tc>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c>
          <w:tcPr/>
          <w:p w:rsidR="00000000" w:rsidDel="00000000" w:rsidP="00000000" w:rsidRDefault="00000000" w:rsidRPr="00000000" w14:paraId="000002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0.114***</w:t>
            </w:r>
          </w:p>
        </w:tc>
        <w:tc>
          <w:tcPr/>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Fryer</w:t>
            </w:r>
          </w:p>
        </w:tc>
        <w:tc>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p w:rsidR="00000000" w:rsidDel="00000000" w:rsidP="00000000" w:rsidRDefault="00000000" w:rsidRPr="00000000" w14:paraId="000002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0.051</w:t>
            </w:r>
          </w:p>
        </w:tc>
        <w:tc>
          <w:tcPr/>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w:t>
            </w:r>
          </w:p>
        </w:tc>
      </w:tr>
      <w:tr>
        <w:trPr>
          <w:cantSplit w:val="0"/>
          <w:trHeight w:val="288" w:hRule="atLeast"/>
          <w:tblHeader w:val="0"/>
        </w:trPr>
        <w:tc>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2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0.762</w:t>
            </w:r>
          </w:p>
        </w:tc>
      </w:tr>
      <w:tr>
        <w:trPr>
          <w:cantSplit w:val="0"/>
          <w:trHeight w:val="288" w:hRule="atLeast"/>
          <w:tblHeader w:val="0"/>
        </w:trPr>
        <w:tc>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2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p w:rsidR="00000000" w:rsidDel="00000000" w:rsidP="00000000" w:rsidRDefault="00000000" w:rsidRPr="00000000" w14:paraId="000002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w:t>
            </w:r>
          </w:p>
        </w:tc>
        <w:tc>
          <w:tcPr/>
          <w:p w:rsidR="00000000" w:rsidDel="00000000" w:rsidP="00000000" w:rsidRDefault="00000000" w:rsidRPr="00000000" w14:paraId="000002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p w:rsidR="00000000" w:rsidDel="00000000" w:rsidP="00000000" w:rsidRDefault="00000000" w:rsidRPr="00000000" w14:paraId="000002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p w:rsidR="00000000" w:rsidDel="00000000" w:rsidP="00000000" w:rsidRDefault="00000000" w:rsidRPr="00000000" w14:paraId="000002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-0.085***</w:t>
            </w:r>
          </w:p>
        </w:tc>
        <w:tc>
          <w:tcPr/>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387" w:hRule="atLeast"/>
          <w:tblHeader w:val="0"/>
        </w:trPr>
        <w:tc>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w:t>
            </w:r>
          </w:p>
        </w:tc>
        <w:tc>
          <w:tcPr/>
          <w:p w:rsidR="00000000" w:rsidDel="00000000" w:rsidP="00000000" w:rsidRDefault="00000000" w:rsidRPr="00000000" w14:paraId="000002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p w:rsidR="00000000" w:rsidDel="00000000" w:rsidP="00000000" w:rsidRDefault="00000000" w:rsidRPr="00000000" w14:paraId="000002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w:t>
            </w:r>
          </w:p>
        </w:tc>
        <w:tc>
          <w:tcPr/>
          <w:p w:rsidR="00000000" w:rsidDel="00000000" w:rsidP="00000000" w:rsidRDefault="00000000" w:rsidRPr="00000000" w14:paraId="000002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p w:rsidR="00000000" w:rsidDel="00000000" w:rsidP="00000000" w:rsidRDefault="00000000" w:rsidRPr="00000000" w14:paraId="000002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w:t>
            </w:r>
          </w:p>
        </w:tc>
        <w:tc>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0.133***</w:t>
            </w:r>
          </w:p>
        </w:tc>
        <w:tc>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Presser</w:t>
            </w:r>
          </w:p>
        </w:tc>
        <w:tc>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p w:rsidR="00000000" w:rsidDel="00000000" w:rsidP="00000000" w:rsidRDefault="00000000" w:rsidRPr="00000000" w14:paraId="000002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c>
          <w:tcPr/>
          <w:p w:rsidR="00000000" w:rsidDel="00000000" w:rsidP="00000000" w:rsidRDefault="00000000" w:rsidRPr="00000000" w14:paraId="000002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0.080***</w:t>
            </w:r>
          </w:p>
        </w:tc>
        <w:tc>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0.298</w:t>
            </w:r>
          </w:p>
        </w:tc>
      </w:tr>
      <w:tr>
        <w:trPr>
          <w:cantSplit w:val="0"/>
          <w:trHeight w:val="288" w:hRule="atLeast"/>
          <w:tblHeader w:val="0"/>
        </w:trPr>
        <w:tc>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p w:rsidR="00000000" w:rsidDel="00000000" w:rsidP="00000000" w:rsidRDefault="00000000" w:rsidRPr="00000000" w14:paraId="000002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w:t>
            </w:r>
          </w:p>
        </w:tc>
        <w:tc>
          <w:tcPr/>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w:t>
            </w:r>
          </w:p>
        </w:tc>
        <w:tc>
          <w:tcPr/>
          <w:p w:rsidR="00000000" w:rsidDel="00000000" w:rsidP="00000000" w:rsidRDefault="00000000" w:rsidRPr="00000000" w14:paraId="000002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405" w:hRule="atLeast"/>
          <w:tblHeader w:val="0"/>
        </w:trPr>
        <w:tc>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w:t>
            </w:r>
          </w:p>
        </w:tc>
        <w:tc>
          <w:tcPr/>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p w:rsidR="00000000" w:rsidDel="00000000" w:rsidP="00000000" w:rsidRDefault="00000000" w:rsidRPr="00000000" w14:paraId="000002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w:t>
            </w:r>
          </w:p>
        </w:tc>
        <w:tc>
          <w:tcPr/>
          <w:p w:rsidR="00000000" w:rsidDel="00000000" w:rsidP="00000000" w:rsidRDefault="00000000" w:rsidRPr="00000000" w14:paraId="000002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0.170***</w:t>
            </w:r>
          </w:p>
        </w:tc>
        <w:tc>
          <w:tcPr/>
          <w:p w:rsidR="00000000" w:rsidDel="00000000" w:rsidP="00000000" w:rsidRDefault="00000000" w:rsidRPr="00000000" w14:paraId="000002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Grater</w:t>
            </w:r>
          </w:p>
        </w:tc>
        <w:tc>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p w:rsidR="00000000" w:rsidDel="00000000" w:rsidP="00000000" w:rsidRDefault="00000000" w:rsidRPr="00000000" w14:paraId="000002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p w:rsidR="00000000" w:rsidDel="00000000" w:rsidP="00000000" w:rsidRDefault="00000000" w:rsidRPr="00000000" w14:paraId="000002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c>
          <w:tcPr/>
          <w:p w:rsidR="00000000" w:rsidDel="00000000" w:rsidP="00000000" w:rsidRDefault="00000000" w:rsidRPr="00000000" w14:paraId="000002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p w:rsidR="00000000" w:rsidDel="00000000" w:rsidP="00000000" w:rsidRDefault="00000000" w:rsidRPr="00000000" w14:paraId="000002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p w:rsidR="00000000" w:rsidDel="00000000" w:rsidP="00000000" w:rsidRDefault="00000000" w:rsidRPr="00000000" w14:paraId="000002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0.055**</w:t>
            </w:r>
          </w:p>
        </w:tc>
        <w:tc>
          <w:tcPr/>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r>
      <w:tr>
        <w:trPr>
          <w:cantSplit w:val="0"/>
          <w:trHeight w:val="288" w:hRule="atLeast"/>
          <w:tblHeader w:val="0"/>
        </w:trPr>
        <w:tc>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2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p w:rsidR="00000000" w:rsidDel="00000000" w:rsidP="00000000" w:rsidRDefault="00000000" w:rsidRPr="00000000" w14:paraId="000002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p w:rsidR="00000000" w:rsidDel="00000000" w:rsidP="00000000" w:rsidRDefault="00000000" w:rsidRPr="00000000" w14:paraId="000002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p w:rsidR="00000000" w:rsidDel="00000000" w:rsidP="00000000" w:rsidRDefault="00000000" w:rsidRPr="00000000" w14:paraId="000002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w:t>
            </w:r>
          </w:p>
        </w:tc>
        <w:tc>
          <w:tcPr/>
          <w:p w:rsidR="00000000" w:rsidDel="00000000" w:rsidP="00000000" w:rsidRDefault="00000000" w:rsidRPr="00000000" w14:paraId="000002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0.053</w:t>
            </w:r>
          </w:p>
        </w:tc>
      </w:tr>
      <w:tr>
        <w:trPr>
          <w:cantSplit w:val="0"/>
          <w:trHeight w:val="288" w:hRule="atLeast"/>
          <w:tblHeader w:val="0"/>
        </w:trPr>
        <w:tc>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2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p w:rsidR="00000000" w:rsidDel="00000000" w:rsidP="00000000" w:rsidRDefault="00000000" w:rsidRPr="00000000" w14:paraId="000002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c>
          <w:tcPr/>
          <w:p w:rsidR="00000000" w:rsidDel="00000000" w:rsidP="00000000" w:rsidRDefault="00000000" w:rsidRPr="00000000" w14:paraId="000002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w:t>
            </w:r>
          </w:p>
        </w:tc>
        <w:tc>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-0.118***</w:t>
            </w:r>
          </w:p>
        </w:tc>
        <w:tc>
          <w:tcPr/>
          <w:p w:rsidR="00000000" w:rsidDel="00000000" w:rsidP="00000000" w:rsidRDefault="00000000" w:rsidRPr="00000000" w14:paraId="000002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4" w:val="single"/>
            </w:tcBorders>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w:t>
            </w:r>
          </w:p>
        </w:tc>
        <w:tc>
          <w:tcPr>
            <w:tcBorders>
              <w:bottom w:color="000000" w:space="0" w:sz="4" w:val="single"/>
            </w:tcBorders>
          </w:tcPr>
          <w:p w:rsidR="00000000" w:rsidDel="00000000" w:rsidP="00000000" w:rsidRDefault="00000000" w:rsidRPr="00000000" w14:paraId="000002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tcBorders>
              <w:bottom w:color="000000" w:space="0" w:sz="4" w:val="single"/>
            </w:tcBorders>
          </w:tcPr>
          <w:p w:rsidR="00000000" w:rsidDel="00000000" w:rsidP="00000000" w:rsidRDefault="00000000" w:rsidRPr="00000000" w14:paraId="000002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w:t>
            </w:r>
          </w:p>
        </w:tc>
        <w:tc>
          <w:tcPr>
            <w:tcBorders>
              <w:bottom w:color="000000" w:space="0" w:sz="4" w:val="single"/>
            </w:tcBorders>
          </w:tcPr>
          <w:p w:rsidR="00000000" w:rsidDel="00000000" w:rsidP="00000000" w:rsidRDefault="00000000" w:rsidRPr="00000000" w14:paraId="000002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bottom w:color="000000" w:space="0" w:sz="4" w:val="single"/>
            </w:tcBorders>
          </w:tcPr>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w:t>
            </w:r>
          </w:p>
        </w:tc>
        <w:tc>
          <w:tcPr>
            <w:tcBorders>
              <w:bottom w:color="000000" w:space="0" w:sz="4" w:val="single"/>
            </w:tcBorders>
          </w:tcPr>
          <w:p w:rsidR="00000000" w:rsidDel="00000000" w:rsidP="00000000" w:rsidRDefault="00000000" w:rsidRPr="00000000" w14:paraId="000002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bottom w:color="000000" w:space="0" w:sz="4" w:val="single"/>
            </w:tcBorders>
          </w:tcPr>
          <w:p w:rsidR="00000000" w:rsidDel="00000000" w:rsidP="00000000" w:rsidRDefault="00000000" w:rsidRPr="00000000" w14:paraId="000002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gridSpan w:val="8"/>
            <w:tcBorders>
              <w:top w:color="000000" w:space="0" w:sz="4" w:val="single"/>
            </w:tcBorders>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 </w:t>
            </w:r>
          </w:p>
        </w:tc>
      </w:tr>
      <w:tr>
        <w:trPr>
          <w:cantSplit w:val="0"/>
          <w:trHeight w:val="333" w:hRule="atLeast"/>
          <w:tblHeader w:val="0"/>
        </w:trPr>
        <w:tc>
          <w:tcPr>
            <w:gridSpan w:val="8"/>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access to processing machines is a cumulative score of access to the tools listed in the table (0 to 4). All other tools are reported as 0=no or 1=yes</w:t>
            </w:r>
          </w:p>
        </w:tc>
      </w:tr>
    </w:tbl>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6"/>
        <w:tblW w:w="8550.000000000002"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6"/>
        <w:gridCol w:w="2535"/>
        <w:gridCol w:w="796"/>
        <w:gridCol w:w="636"/>
        <w:gridCol w:w="796"/>
        <w:gridCol w:w="636"/>
        <w:gridCol w:w="1346"/>
        <w:gridCol w:w="1529"/>
        <w:tblGridChange w:id="0">
          <w:tblGrid>
            <w:gridCol w:w="276"/>
            <w:gridCol w:w="2535"/>
            <w:gridCol w:w="796"/>
            <w:gridCol w:w="636"/>
            <w:gridCol w:w="796"/>
            <w:gridCol w:w="636"/>
            <w:gridCol w:w="1346"/>
            <w:gridCol w:w="1529"/>
          </w:tblGrid>
        </w:tblGridChange>
      </w:tblGrid>
      <w:tr>
        <w:trPr>
          <w:cantSplit w:val="0"/>
          <w:trHeight w:val="300" w:hRule="atLeast"/>
          <w:tblHeader w:val="0"/>
        </w:trPr>
        <w:tc>
          <w:tcPr>
            <w:gridSpan w:val="8"/>
            <w:tcBorders>
              <w:bottom w:color="000000" w:space="0" w:sz="4" w:val="single"/>
            </w:tcBorders>
          </w:tcPr>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Spousal differences in reporting access to extension, organizations, and credit</w:t>
            </w:r>
          </w:p>
        </w:tc>
      </w:tr>
      <w:tr>
        <w:trPr>
          <w:cantSplit w:val="0"/>
          <w:trHeight w:val="300" w:hRule="atLeast"/>
          <w:tblHeader w:val="0"/>
        </w:trPr>
        <w:tc>
          <w:tcPr>
            <w:gridSpan w:val="2"/>
            <w:vMerge w:val="restart"/>
            <w:tcBorders>
              <w:top w:color="000000" w:space="0" w:sz="4" w:val="single"/>
              <w:bottom w:color="000000" w:space="0" w:sz="4" w:val="single"/>
            </w:tcBorders>
            <w:vAlign w:val="bottom"/>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vAlign w:val="bottom"/>
          </w:tcPr>
          <w:p w:rsidR="00000000" w:rsidDel="00000000" w:rsidP="00000000" w:rsidRDefault="00000000" w:rsidRPr="00000000" w14:paraId="000002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2"/>
            <w:tcBorders>
              <w:top w:color="000000" w:space="0" w:sz="4" w:val="single"/>
              <w:bottom w:color="000000" w:space="0" w:sz="4" w:val="single"/>
            </w:tcBorders>
            <w:vAlign w:val="bottom"/>
          </w:tcPr>
          <w:p w:rsidR="00000000" w:rsidDel="00000000" w:rsidP="00000000" w:rsidRDefault="00000000" w:rsidRPr="00000000" w14:paraId="000002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2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300" w:hRule="atLeast"/>
          <w:tblHeader w:val="0"/>
        </w:trPr>
        <w:tc>
          <w:tcPr>
            <w:gridSpan w:val="2"/>
            <w:vMerge w:val="continue"/>
            <w:tcBorders>
              <w:top w:color="000000" w:space="0" w:sz="4" w:val="single"/>
              <w:bottom w:color="000000" w:space="0" w:sz="4" w:val="single"/>
            </w:tcBorders>
            <w:vAlign w:val="bottom"/>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tcBorders>
              <w:top w:color="000000" w:space="0" w:sz="4" w:val="single"/>
              <w:bottom w:color="000000" w:space="0" w:sz="4" w:val="single"/>
            </w:tcBorders>
          </w:tcPr>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2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Merge w:val="continue"/>
            <w:tcBorders>
              <w:top w:color="000000" w:space="0" w:sz="4" w:val="single"/>
              <w:bottom w:color="000000" w:space="0" w:sz="4" w:val="single"/>
            </w:tcBorders>
            <w:vAlign w:val="bottom"/>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bottom w:color="000000" w:space="0" w:sz="4" w:val="single"/>
            </w:tcBorders>
            <w:vAlign w:val="bottom"/>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gridSpan w:val="2"/>
            <w:tcBorders>
              <w:top w:color="000000" w:space="0" w:sz="4" w:val="single"/>
            </w:tcBorders>
          </w:tcPr>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Agent Access</w:t>
            </w:r>
          </w:p>
        </w:tc>
        <w:tc>
          <w:tcPr>
            <w:tcBorders>
              <w:top w:color="000000" w:space="0" w:sz="4" w:val="single"/>
            </w:tcBorders>
          </w:tcPr>
          <w:p w:rsidR="00000000" w:rsidDel="00000000" w:rsidP="00000000" w:rsidRDefault="00000000" w:rsidRPr="00000000" w14:paraId="0000030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0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0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0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0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0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Household</w:t>
            </w:r>
          </w:p>
        </w:tc>
        <w:tc>
          <w:tcPr/>
          <w:p w:rsidR="00000000" w:rsidDel="00000000" w:rsidP="00000000" w:rsidRDefault="00000000" w:rsidRPr="00000000" w14:paraId="000003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3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3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p w:rsidR="00000000" w:rsidDel="00000000" w:rsidP="00000000" w:rsidRDefault="00000000" w:rsidRPr="00000000" w14:paraId="000003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0.158***</w:t>
            </w:r>
          </w:p>
        </w:tc>
        <w:tc>
          <w:tcPr/>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3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p w:rsidR="00000000" w:rsidDel="00000000" w:rsidP="00000000" w:rsidRDefault="00000000" w:rsidRPr="00000000" w14:paraId="000003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w:t>
            </w:r>
          </w:p>
        </w:tc>
        <w:tc>
          <w:tcPr/>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3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p w:rsidR="00000000" w:rsidDel="00000000" w:rsidP="00000000" w:rsidRDefault="00000000" w:rsidRPr="00000000" w14:paraId="000003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w:t>
            </w:r>
          </w:p>
        </w:tc>
        <w:tc>
          <w:tcPr/>
          <w:p w:rsidR="00000000" w:rsidDel="00000000" w:rsidP="00000000" w:rsidRDefault="00000000" w:rsidRPr="00000000" w14:paraId="000003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3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p w:rsidR="00000000" w:rsidDel="00000000" w:rsidP="00000000" w:rsidRDefault="00000000" w:rsidRPr="00000000" w14:paraId="000003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p w:rsidR="00000000" w:rsidDel="00000000" w:rsidP="00000000" w:rsidRDefault="00000000" w:rsidRPr="00000000" w14:paraId="000003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p w:rsidR="00000000" w:rsidDel="00000000" w:rsidP="00000000" w:rsidRDefault="00000000" w:rsidRPr="00000000" w14:paraId="000003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p w:rsidR="00000000" w:rsidDel="00000000" w:rsidP="00000000" w:rsidRDefault="00000000" w:rsidRPr="00000000" w14:paraId="000003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0.762</w:t>
            </w:r>
          </w:p>
        </w:tc>
      </w:tr>
      <w:tr>
        <w:trPr>
          <w:cantSplit w:val="0"/>
          <w:trHeight w:val="300" w:hRule="atLeast"/>
          <w:tblHeader w:val="0"/>
        </w:trPr>
        <w:tc>
          <w:tcPr/>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0.096***</w:t>
            </w:r>
          </w:p>
        </w:tc>
        <w:tc>
          <w:tcPr/>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gridSpan w:val="2"/>
          </w:tcPr>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 Membership</w:t>
            </w:r>
          </w:p>
        </w:tc>
        <w:tc>
          <w:tcPr/>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D">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Household</w:t>
            </w:r>
          </w:p>
        </w:tc>
        <w:tc>
          <w:tcPr/>
          <w:p w:rsidR="00000000" w:rsidDel="00000000" w:rsidP="00000000" w:rsidRDefault="00000000" w:rsidRPr="00000000" w14:paraId="000003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c>
          <w:tcPr/>
          <w:p w:rsidR="00000000" w:rsidDel="00000000" w:rsidP="00000000" w:rsidRDefault="00000000" w:rsidRPr="00000000" w14:paraId="000003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3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p w:rsidR="00000000" w:rsidDel="00000000" w:rsidP="00000000" w:rsidRDefault="00000000" w:rsidRPr="00000000" w14:paraId="000003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w:t>
            </w:r>
          </w:p>
        </w:tc>
        <w:tc>
          <w:tcPr/>
          <w:p w:rsidR="00000000" w:rsidDel="00000000" w:rsidP="00000000" w:rsidRDefault="00000000" w:rsidRPr="00000000" w14:paraId="000003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w:t>
            </w:r>
          </w:p>
        </w:tc>
        <w:tc>
          <w:tcPr/>
          <w:p w:rsidR="00000000" w:rsidDel="00000000" w:rsidP="00000000" w:rsidRDefault="00000000" w:rsidRPr="00000000" w14:paraId="000003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0.167</w:t>
            </w:r>
          </w:p>
        </w:tc>
      </w:tr>
      <w:tr>
        <w:trPr>
          <w:cantSplit w:val="0"/>
          <w:trHeight w:val="288" w:hRule="atLeast"/>
          <w:tblHeader w:val="0"/>
        </w:trPr>
        <w:tc>
          <w:tcPr/>
          <w:p w:rsidR="00000000" w:rsidDel="00000000" w:rsidP="00000000" w:rsidRDefault="00000000" w:rsidRPr="00000000" w14:paraId="000003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3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p w:rsidR="00000000" w:rsidDel="00000000" w:rsidP="00000000" w:rsidRDefault="00000000" w:rsidRPr="00000000" w14:paraId="000003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p w:rsidR="00000000" w:rsidDel="00000000" w:rsidP="00000000" w:rsidRDefault="00000000" w:rsidRPr="00000000" w14:paraId="000003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p w:rsidR="00000000" w:rsidDel="00000000" w:rsidP="00000000" w:rsidRDefault="00000000" w:rsidRPr="00000000" w14:paraId="000003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3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w:t>
            </w:r>
          </w:p>
        </w:tc>
        <w:tc>
          <w:tcPr/>
          <w:p w:rsidR="00000000" w:rsidDel="00000000" w:rsidP="00000000" w:rsidRDefault="00000000" w:rsidRPr="00000000" w14:paraId="000003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0.099</w:t>
            </w:r>
          </w:p>
        </w:tc>
      </w:tr>
      <w:tr>
        <w:trPr>
          <w:cantSplit w:val="0"/>
          <w:trHeight w:val="288" w:hRule="atLeast"/>
          <w:tblHeader w:val="0"/>
        </w:trPr>
        <w:tc>
          <w:tcPr/>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3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p w:rsidR="00000000" w:rsidDel="00000000" w:rsidP="00000000" w:rsidRDefault="00000000" w:rsidRPr="00000000" w14:paraId="000003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p w:rsidR="00000000" w:rsidDel="00000000" w:rsidP="00000000" w:rsidRDefault="00000000" w:rsidRPr="00000000" w14:paraId="000003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w:t>
            </w:r>
          </w:p>
        </w:tc>
        <w:tc>
          <w:tcPr/>
          <w:p w:rsidR="00000000" w:rsidDel="00000000" w:rsidP="00000000" w:rsidRDefault="00000000" w:rsidRPr="00000000" w14:paraId="000003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0.113</w:t>
            </w:r>
          </w:p>
        </w:tc>
      </w:tr>
      <w:tr>
        <w:trPr>
          <w:cantSplit w:val="0"/>
          <w:trHeight w:val="300" w:hRule="atLeast"/>
          <w:tblHeader w:val="0"/>
        </w:trPr>
        <w:tc>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p w:rsidR="00000000" w:rsidDel="00000000" w:rsidP="00000000" w:rsidRDefault="00000000" w:rsidRPr="00000000" w14:paraId="000003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p w:rsidR="00000000" w:rsidDel="00000000" w:rsidP="00000000" w:rsidRDefault="00000000" w:rsidRPr="00000000" w14:paraId="000003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p w:rsidR="00000000" w:rsidDel="00000000" w:rsidP="00000000" w:rsidRDefault="00000000" w:rsidRPr="00000000" w14:paraId="000003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0.891</w:t>
            </w:r>
          </w:p>
        </w:tc>
      </w:tr>
      <w:tr>
        <w:trPr>
          <w:cantSplit w:val="0"/>
          <w:trHeight w:val="288" w:hRule="atLeast"/>
          <w:tblHeader w:val="0"/>
        </w:trPr>
        <w:tc>
          <w:tcPr>
            <w:gridSpan w:val="2"/>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Group Membership</w:t>
            </w:r>
          </w:p>
        </w:tc>
        <w:tc>
          <w:tcPr/>
          <w:p w:rsidR="00000000" w:rsidDel="00000000" w:rsidP="00000000" w:rsidRDefault="00000000" w:rsidRPr="00000000" w14:paraId="0000035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Household</w:t>
            </w:r>
          </w:p>
        </w:tc>
        <w:tc>
          <w:tcPr/>
          <w:p w:rsidR="00000000" w:rsidDel="00000000" w:rsidP="00000000" w:rsidRDefault="00000000" w:rsidRPr="00000000" w14:paraId="000003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p w:rsidR="00000000" w:rsidDel="00000000" w:rsidP="00000000" w:rsidRDefault="00000000" w:rsidRPr="00000000" w14:paraId="000003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3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3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w:t>
            </w:r>
          </w:p>
        </w:tc>
        <w:tc>
          <w:tcPr/>
          <w:p w:rsidR="00000000" w:rsidDel="00000000" w:rsidP="00000000" w:rsidRDefault="00000000" w:rsidRPr="00000000" w14:paraId="000003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w:t>
            </w:r>
          </w:p>
        </w:tc>
        <w:tc>
          <w:tcPr/>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p w:rsidR="00000000" w:rsidDel="00000000" w:rsidP="00000000" w:rsidRDefault="00000000" w:rsidRPr="00000000" w14:paraId="000003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p w:rsidR="00000000" w:rsidDel="00000000" w:rsidP="00000000" w:rsidRDefault="00000000" w:rsidRPr="00000000" w14:paraId="000003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p w:rsidR="00000000" w:rsidDel="00000000" w:rsidP="00000000" w:rsidRDefault="00000000" w:rsidRPr="00000000" w14:paraId="000003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0.896</w:t>
            </w:r>
          </w:p>
        </w:tc>
      </w:tr>
      <w:tr>
        <w:trPr>
          <w:cantSplit w:val="0"/>
          <w:trHeight w:val="288" w:hRule="atLeast"/>
          <w:tblHeader w:val="0"/>
        </w:trPr>
        <w:tc>
          <w:tcPr/>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3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p w:rsidR="00000000" w:rsidDel="00000000" w:rsidP="00000000" w:rsidRDefault="00000000" w:rsidRPr="00000000" w14:paraId="000003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p w:rsidR="00000000" w:rsidDel="00000000" w:rsidP="00000000" w:rsidRDefault="00000000" w:rsidRPr="00000000" w14:paraId="000003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p w:rsidR="00000000" w:rsidDel="00000000" w:rsidP="00000000" w:rsidRDefault="00000000" w:rsidRPr="00000000" w14:paraId="000003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w:t>
            </w:r>
          </w:p>
        </w:tc>
        <w:tc>
          <w:tcPr/>
          <w:p w:rsidR="00000000" w:rsidDel="00000000" w:rsidP="00000000" w:rsidRDefault="00000000" w:rsidRPr="00000000" w14:paraId="000003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300" w:hRule="atLeast"/>
          <w:tblHeader w:val="0"/>
        </w:trPr>
        <w:tc>
          <w:tcPr/>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p w:rsidR="00000000" w:rsidDel="00000000" w:rsidP="00000000" w:rsidRDefault="00000000" w:rsidRPr="00000000" w14:paraId="000003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c>
          <w:tcPr/>
          <w:p w:rsidR="00000000" w:rsidDel="00000000" w:rsidP="00000000" w:rsidRDefault="00000000" w:rsidRPr="00000000" w14:paraId="000003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c>
          <w:tcPr/>
          <w:p w:rsidR="00000000" w:rsidDel="00000000" w:rsidP="00000000" w:rsidRDefault="00000000" w:rsidRPr="00000000" w14:paraId="000003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p w:rsidR="00000000" w:rsidDel="00000000" w:rsidP="00000000" w:rsidRDefault="00000000" w:rsidRPr="00000000" w14:paraId="000003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-0.025***</w:t>
            </w:r>
          </w:p>
        </w:tc>
        <w:tc>
          <w:tcPr/>
          <w:p w:rsidR="00000000" w:rsidDel="00000000" w:rsidP="00000000" w:rsidRDefault="00000000" w:rsidRPr="00000000" w14:paraId="000003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-0.053</w:t>
            </w:r>
          </w:p>
        </w:tc>
      </w:tr>
      <w:tr>
        <w:trPr>
          <w:cantSplit w:val="0"/>
          <w:trHeight w:val="288" w:hRule="atLeast"/>
          <w:tblHeader w:val="0"/>
        </w:trPr>
        <w:tc>
          <w:tcPr>
            <w:gridSpan w:val="2"/>
          </w:tcPr>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Credit</w:t>
            </w:r>
          </w:p>
        </w:tc>
        <w:tc>
          <w:tcPr/>
          <w:p w:rsidR="00000000" w:rsidDel="00000000" w:rsidP="00000000" w:rsidRDefault="00000000" w:rsidRPr="00000000" w14:paraId="0000037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D">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Household</w:t>
            </w:r>
          </w:p>
        </w:tc>
        <w:tc>
          <w:tcPr/>
          <w:p w:rsidR="00000000" w:rsidDel="00000000" w:rsidP="00000000" w:rsidRDefault="00000000" w:rsidRPr="00000000" w14:paraId="000003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p w:rsidR="00000000" w:rsidDel="00000000" w:rsidP="00000000" w:rsidRDefault="00000000" w:rsidRPr="00000000" w14:paraId="000003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3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p w:rsidR="00000000" w:rsidDel="00000000" w:rsidP="00000000" w:rsidRDefault="00000000" w:rsidRPr="00000000" w14:paraId="000003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w:t>
            </w:r>
          </w:p>
        </w:tc>
        <w:tc>
          <w:tcPr/>
          <w:p w:rsidR="00000000" w:rsidDel="00000000" w:rsidP="00000000" w:rsidRDefault="00000000" w:rsidRPr="00000000" w14:paraId="000003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0.073**</w:t>
            </w:r>
          </w:p>
        </w:tc>
        <w:tc>
          <w:tcPr/>
          <w:p w:rsidR="00000000" w:rsidDel="00000000" w:rsidP="00000000" w:rsidRDefault="00000000" w:rsidRPr="00000000" w14:paraId="000003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r>
      <w:tr>
        <w:trPr>
          <w:cantSplit w:val="0"/>
          <w:trHeight w:val="288" w:hRule="atLeast"/>
          <w:tblHeader w:val="0"/>
        </w:trPr>
        <w:tc>
          <w:tcPr/>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only </w:t>
            </w:r>
          </w:p>
        </w:tc>
        <w:tc>
          <w:tcPr/>
          <w:p w:rsidR="00000000" w:rsidDel="00000000" w:rsidP="00000000" w:rsidRDefault="00000000" w:rsidRPr="00000000" w14:paraId="000003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p w:rsidR="00000000" w:rsidDel="00000000" w:rsidP="00000000" w:rsidRDefault="00000000" w:rsidRPr="00000000" w14:paraId="000003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c>
          <w:tcPr/>
          <w:p w:rsidR="00000000" w:rsidDel="00000000" w:rsidP="00000000" w:rsidRDefault="00000000" w:rsidRPr="00000000" w14:paraId="000003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p w:rsidR="00000000" w:rsidDel="00000000" w:rsidP="00000000" w:rsidRDefault="00000000" w:rsidRPr="00000000" w14:paraId="000003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p w:rsidR="00000000" w:rsidDel="00000000" w:rsidP="00000000" w:rsidRDefault="00000000" w:rsidRPr="00000000" w14:paraId="000003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-0.070***</w:t>
            </w:r>
          </w:p>
        </w:tc>
        <w:tc>
          <w:tcPr/>
          <w:p w:rsidR="00000000" w:rsidDel="00000000" w:rsidP="00000000" w:rsidRDefault="00000000" w:rsidRPr="00000000" w14:paraId="000003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only</w:t>
            </w:r>
          </w:p>
        </w:tc>
        <w:tc>
          <w:tcPr/>
          <w:p w:rsidR="00000000" w:rsidDel="00000000" w:rsidP="00000000" w:rsidRDefault="00000000" w:rsidRPr="00000000" w14:paraId="000003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p w:rsidR="00000000" w:rsidDel="00000000" w:rsidP="00000000" w:rsidRDefault="00000000" w:rsidRPr="00000000" w14:paraId="000003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p w:rsidR="00000000" w:rsidDel="00000000" w:rsidP="00000000" w:rsidRDefault="00000000" w:rsidRPr="00000000" w14:paraId="000003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p w:rsidR="00000000" w:rsidDel="00000000" w:rsidP="00000000" w:rsidRDefault="00000000" w:rsidRPr="00000000" w14:paraId="000003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p w:rsidR="00000000" w:rsidDel="00000000" w:rsidP="00000000" w:rsidRDefault="00000000" w:rsidRPr="00000000" w14:paraId="000003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p w:rsidR="00000000" w:rsidDel="00000000" w:rsidP="00000000" w:rsidRDefault="00000000" w:rsidRPr="00000000" w14:paraId="000003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4" w:val="single"/>
            </w:tcBorders>
          </w:tcPr>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bottom w:color="000000" w:space="0" w:sz="4" w:val="single"/>
            </w:tcBorders>
          </w:tcPr>
          <w:p w:rsidR="00000000" w:rsidDel="00000000" w:rsidP="00000000" w:rsidRDefault="00000000" w:rsidRPr="00000000" w14:paraId="000003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c>
          <w:tcPr>
            <w:tcBorders>
              <w:bottom w:color="000000" w:space="0" w:sz="4" w:val="single"/>
            </w:tcBorders>
          </w:tcPr>
          <w:p w:rsidR="00000000" w:rsidDel="00000000" w:rsidP="00000000" w:rsidRDefault="00000000" w:rsidRPr="00000000" w14:paraId="000003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tcBorders>
              <w:bottom w:color="000000" w:space="0" w:sz="4" w:val="single"/>
            </w:tcBorders>
          </w:tcPr>
          <w:p w:rsidR="00000000" w:rsidDel="00000000" w:rsidP="00000000" w:rsidRDefault="00000000" w:rsidRPr="00000000" w14:paraId="000003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bottom w:color="000000" w:space="0" w:sz="4" w:val="single"/>
            </w:tcBorders>
          </w:tcPr>
          <w:p w:rsidR="00000000" w:rsidDel="00000000" w:rsidP="00000000" w:rsidRDefault="00000000" w:rsidRPr="00000000" w14:paraId="000003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w:t>
            </w:r>
          </w:p>
        </w:tc>
        <w:tc>
          <w:tcPr>
            <w:tcBorders>
              <w:bottom w:color="000000" w:space="0" w:sz="4" w:val="single"/>
            </w:tcBorders>
          </w:tcPr>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w:t>
            </w:r>
          </w:p>
        </w:tc>
        <w:tc>
          <w:tcPr>
            <w:tcBorders>
              <w:bottom w:color="000000" w:space="0" w:sz="4" w:val="single"/>
            </w:tcBorders>
          </w:tcPr>
          <w:p w:rsidR="00000000" w:rsidDel="00000000" w:rsidP="00000000" w:rsidRDefault="00000000" w:rsidRPr="00000000" w14:paraId="000003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0.463</w:t>
            </w:r>
          </w:p>
        </w:tc>
      </w:tr>
      <w:tr>
        <w:trPr>
          <w:cantSplit w:val="0"/>
          <w:trHeight w:val="300" w:hRule="atLeast"/>
          <w:tblHeader w:val="0"/>
        </w:trPr>
        <w:tc>
          <w:tcPr>
            <w:gridSpan w:val="8"/>
          </w:tcPr>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 0=no, 1=yes for all</w:t>
            </w:r>
          </w:p>
        </w:tc>
      </w:tr>
    </w:tbl>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10263.0" w:type="dxa"/>
        <w:jc w:val="left"/>
        <w:tblInd w:w="-7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0"/>
        <w:gridCol w:w="1890"/>
        <w:gridCol w:w="85"/>
        <w:gridCol w:w="275"/>
        <w:gridCol w:w="174"/>
        <w:gridCol w:w="642"/>
        <w:gridCol w:w="324"/>
        <w:gridCol w:w="162"/>
        <w:gridCol w:w="711"/>
        <w:gridCol w:w="324"/>
        <w:gridCol w:w="162"/>
        <w:gridCol w:w="570"/>
        <w:gridCol w:w="324"/>
        <w:gridCol w:w="162"/>
        <w:gridCol w:w="690"/>
        <w:gridCol w:w="324"/>
        <w:gridCol w:w="162"/>
        <w:gridCol w:w="1050"/>
        <w:gridCol w:w="324"/>
        <w:gridCol w:w="162"/>
        <w:gridCol w:w="270"/>
        <w:gridCol w:w="208"/>
        <w:gridCol w:w="116"/>
        <w:gridCol w:w="162"/>
        <w:tblGridChange w:id="0">
          <w:tblGrid>
            <w:gridCol w:w="990"/>
            <w:gridCol w:w="1890"/>
            <w:gridCol w:w="85"/>
            <w:gridCol w:w="275"/>
            <w:gridCol w:w="174"/>
            <w:gridCol w:w="642"/>
            <w:gridCol w:w="324"/>
            <w:gridCol w:w="162"/>
            <w:gridCol w:w="711"/>
            <w:gridCol w:w="324"/>
            <w:gridCol w:w="162"/>
            <w:gridCol w:w="570"/>
            <w:gridCol w:w="324"/>
            <w:gridCol w:w="162"/>
            <w:gridCol w:w="690"/>
            <w:gridCol w:w="324"/>
            <w:gridCol w:w="162"/>
            <w:gridCol w:w="1050"/>
            <w:gridCol w:w="324"/>
            <w:gridCol w:w="162"/>
            <w:gridCol w:w="270"/>
            <w:gridCol w:w="208"/>
            <w:gridCol w:w="116"/>
            <w:gridCol w:w="162"/>
          </w:tblGrid>
        </w:tblGridChange>
      </w:tblGrid>
      <w:tr>
        <w:trPr>
          <w:cantSplit w:val="0"/>
          <w:trHeight w:val="300" w:hRule="atLeast"/>
          <w:tblHeader w:val="0"/>
        </w:trPr>
        <w:tc>
          <w:tcPr>
            <w:gridSpan w:val="22"/>
            <w:tcBorders>
              <w:bottom w:color="000000" w:space="0" w:sz="4" w:val="single"/>
            </w:tcBorders>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Spousal differences in reporting cassava plot size and land use</w:t>
            </w:r>
          </w:p>
        </w:tc>
      </w:tr>
      <w:tr>
        <w:trPr>
          <w:cantSplit w:val="0"/>
          <w:trHeight w:val="300" w:hRule="atLeast"/>
          <w:tblHeader w:val="0"/>
        </w:trPr>
        <w:tc>
          <w:tcPr>
            <w:gridSpan w:val="3"/>
            <w:vMerge w:val="restart"/>
            <w:tcBorders>
              <w:top w:color="000000" w:space="0" w:sz="4" w:val="single"/>
              <w:bottom w:color="000000" w:space="0" w:sz="4" w:val="single"/>
            </w:tcBorders>
            <w:vAlign w:val="bottom"/>
          </w:tcPr>
          <w:p w:rsidR="00000000" w:rsidDel="00000000" w:rsidP="00000000" w:rsidRDefault="00000000" w:rsidRPr="00000000" w14:paraId="000003BF">
            <w:pPr>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3C2">
            <w:pPr>
              <w:jc w:val="center"/>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3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6"/>
            <w:tcBorders>
              <w:top w:color="000000" w:space="0" w:sz="4" w:val="single"/>
              <w:bottom w:color="000000" w:space="0" w:sz="4" w:val="single"/>
            </w:tcBorders>
          </w:tcPr>
          <w:p w:rsidR="00000000" w:rsidDel="00000000" w:rsidP="00000000" w:rsidRDefault="00000000" w:rsidRPr="00000000" w14:paraId="000003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gridSpan w:val="3"/>
            <w:vMerge w:val="restart"/>
            <w:tcBorders>
              <w:top w:color="000000" w:space="0" w:sz="4" w:val="single"/>
              <w:bottom w:color="000000" w:space="0" w:sz="4" w:val="single"/>
            </w:tcBorders>
            <w:vAlign w:val="bottom"/>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gridSpan w:val="4"/>
            <w:vMerge w:val="restart"/>
            <w:tcBorders>
              <w:top w:color="000000" w:space="0" w:sz="4" w:val="single"/>
              <w:bottom w:color="000000" w:space="0" w:sz="4" w:val="single"/>
            </w:tcBorders>
            <w:vAlign w:val="bottom"/>
          </w:tcPr>
          <w:p w:rsidR="00000000" w:rsidDel="00000000" w:rsidP="00000000" w:rsidRDefault="00000000" w:rsidRPr="00000000" w14:paraId="000003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288" w:hRule="atLeast"/>
          <w:tblHeader w:val="0"/>
        </w:trPr>
        <w:tc>
          <w:tcPr>
            <w:gridSpan w:val="3"/>
            <w:vMerge w:val="continue"/>
            <w:tcBorders>
              <w:top w:color="000000" w:space="0" w:sz="4" w:val="single"/>
              <w:bottom w:color="000000" w:space="0" w:sz="4" w:val="single"/>
            </w:tcBorders>
            <w:vAlign w:val="bottom"/>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3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gridSpan w:val="3"/>
            <w:tcBorders>
              <w:top w:color="000000" w:space="0" w:sz="4" w:val="single"/>
              <w:bottom w:color="000000" w:space="0" w:sz="4" w:val="single"/>
            </w:tcBorders>
          </w:tcPr>
          <w:p w:rsidR="00000000" w:rsidDel="00000000" w:rsidP="00000000" w:rsidRDefault="00000000" w:rsidRPr="00000000" w14:paraId="000003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gridSpan w:val="3"/>
            <w:tcBorders>
              <w:top w:color="000000" w:space="0" w:sz="4" w:val="single"/>
              <w:bottom w:color="000000" w:space="0" w:sz="4" w:val="single"/>
            </w:tcBorders>
          </w:tcPr>
          <w:p w:rsidR="00000000" w:rsidDel="00000000" w:rsidP="00000000" w:rsidRDefault="00000000" w:rsidRPr="00000000" w14:paraId="000003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gridSpan w:val="3"/>
            <w:tcBorders>
              <w:top w:color="000000" w:space="0" w:sz="4" w:val="single"/>
              <w:bottom w:color="000000" w:space="0" w:sz="4" w:val="single"/>
            </w:tcBorders>
          </w:tcPr>
          <w:p w:rsidR="00000000" w:rsidDel="00000000" w:rsidP="00000000" w:rsidRDefault="00000000" w:rsidRPr="00000000" w14:paraId="000003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gridSpan w:val="3"/>
            <w:vMerge w:val="continue"/>
            <w:tcBorders>
              <w:top w:color="000000" w:space="0" w:sz="4" w:val="single"/>
              <w:bottom w:color="000000" w:space="0" w:sz="4" w:val="single"/>
            </w:tcBorders>
            <w:vAlign w:val="bottom"/>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vMerge w:val="continue"/>
            <w:tcBorders>
              <w:top w:color="000000" w:space="0" w:sz="4" w:val="single"/>
              <w:bottom w:color="000000" w:space="0" w:sz="4" w:val="single"/>
            </w:tcBorders>
            <w:vAlign w:val="bottom"/>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gridSpan w:val="4"/>
            <w:tcBorders>
              <w:top w:color="000000" w:space="0" w:sz="4" w:val="single"/>
            </w:tcBorders>
          </w:tcPr>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Cassava Plot (meters^2)</w:t>
            </w:r>
          </w:p>
        </w:tc>
        <w:tc>
          <w:tcPr>
            <w:gridSpan w:val="4"/>
            <w:tcBorders>
              <w:top w:color="000000" w:space="0" w:sz="4" w:val="single"/>
            </w:tcBorders>
          </w:tcPr>
          <w:p w:rsidR="00000000" w:rsidDel="00000000" w:rsidP="00000000" w:rsidRDefault="00000000" w:rsidRPr="00000000" w14:paraId="000003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5,988.40</w:t>
            </w:r>
          </w:p>
        </w:tc>
        <w:tc>
          <w:tcPr>
            <w:gridSpan w:val="3"/>
            <w:tcBorders>
              <w:top w:color="000000" w:space="0" w:sz="4" w:val="single"/>
            </w:tcBorders>
          </w:tcPr>
          <w:p w:rsidR="00000000" w:rsidDel="00000000" w:rsidP="00000000" w:rsidRDefault="00000000" w:rsidRPr="00000000" w14:paraId="000003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10,850.17</w:t>
            </w:r>
          </w:p>
        </w:tc>
        <w:tc>
          <w:tcPr>
            <w:gridSpan w:val="3"/>
            <w:tcBorders>
              <w:top w:color="000000" w:space="0" w:sz="4" w:val="single"/>
            </w:tcBorders>
          </w:tcPr>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3,524.42</w:t>
            </w:r>
          </w:p>
        </w:tc>
        <w:tc>
          <w:tcPr>
            <w:gridSpan w:val="3"/>
            <w:tcBorders>
              <w:top w:color="000000" w:space="0" w:sz="4" w:val="single"/>
            </w:tcBorders>
          </w:tcPr>
          <w:p w:rsidR="00000000" w:rsidDel="00000000" w:rsidP="00000000" w:rsidRDefault="00000000" w:rsidRPr="00000000" w14:paraId="000003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8,312.50</w:t>
            </w:r>
          </w:p>
        </w:tc>
        <w:tc>
          <w:tcPr>
            <w:gridSpan w:val="3"/>
            <w:tcBorders>
              <w:top w:color="000000" w:space="0" w:sz="4" w:val="single"/>
            </w:tcBorders>
          </w:tcPr>
          <w:p w:rsidR="00000000" w:rsidDel="00000000" w:rsidP="00000000" w:rsidRDefault="00000000" w:rsidRPr="00000000" w14:paraId="000003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2,463.976***</w:t>
            </w:r>
          </w:p>
        </w:tc>
        <w:tc>
          <w:tcPr>
            <w:gridSpan w:val="4"/>
            <w:tcBorders>
              <w:top w:color="000000" w:space="0" w:sz="4" w:val="single"/>
            </w:tcBorders>
          </w:tcPr>
          <w:p w:rsidR="00000000" w:rsidDel="00000000" w:rsidP="00000000" w:rsidRDefault="00000000" w:rsidRPr="00000000" w14:paraId="000004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423" w:hRule="atLeast"/>
          <w:tblHeader w:val="0"/>
        </w:trPr>
        <w:tc>
          <w:tcPr>
            <w:gridSpan w:val="4"/>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Cassava Plots (meters^2)</w:t>
            </w:r>
          </w:p>
        </w:tc>
        <w:tc>
          <w:tcPr>
            <w:gridSpan w:val="4"/>
          </w:tcPr>
          <w:p w:rsidR="00000000" w:rsidDel="00000000" w:rsidP="00000000" w:rsidRDefault="00000000" w:rsidRPr="00000000" w14:paraId="000004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12,683.99</w:t>
            </w:r>
          </w:p>
        </w:tc>
        <w:tc>
          <w:tcPr>
            <w:gridSpan w:val="3"/>
          </w:tcPr>
          <w:p w:rsidR="00000000" w:rsidDel="00000000" w:rsidP="00000000" w:rsidRDefault="00000000" w:rsidRPr="00000000" w14:paraId="000004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22,922.22</w:t>
            </w:r>
          </w:p>
        </w:tc>
        <w:tc>
          <w:tcPr>
            <w:gridSpan w:val="3"/>
          </w:tcPr>
          <w:p w:rsidR="00000000" w:rsidDel="00000000" w:rsidP="00000000" w:rsidRDefault="00000000" w:rsidRPr="00000000" w14:paraId="000004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7,680.67</w:t>
            </w:r>
          </w:p>
        </w:tc>
        <w:tc>
          <w:tcPr>
            <w:gridSpan w:val="3"/>
          </w:tcPr>
          <w:p w:rsidR="00000000" w:rsidDel="00000000" w:rsidP="00000000" w:rsidRDefault="00000000" w:rsidRPr="00000000" w14:paraId="000004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17,309.55</w:t>
            </w:r>
          </w:p>
        </w:tc>
        <w:tc>
          <w:tcPr>
            <w:gridSpan w:val="3"/>
          </w:tcPr>
          <w:p w:rsidR="00000000" w:rsidDel="00000000" w:rsidP="00000000" w:rsidRDefault="00000000" w:rsidRPr="00000000" w14:paraId="000004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5,003.318***</w:t>
            </w:r>
          </w:p>
        </w:tc>
        <w:tc>
          <w:tcPr>
            <w:gridSpan w:val="4"/>
          </w:tcPr>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gridSpan w:val="4"/>
          </w:tcPr>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ICV plots (meters^2)</w:t>
            </w:r>
          </w:p>
        </w:tc>
        <w:tc>
          <w:tcPr>
            <w:gridSpan w:val="4"/>
          </w:tcPr>
          <w:p w:rsidR="00000000" w:rsidDel="00000000" w:rsidP="00000000" w:rsidRDefault="00000000" w:rsidRPr="00000000" w14:paraId="00000421">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25">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28">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2B">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2E">
            <w:pPr>
              <w:jc w:val="center"/>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431">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5">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gridSpan w:val="4"/>
          </w:tcPr>
          <w:p w:rsidR="00000000" w:rsidDel="00000000" w:rsidP="00000000" w:rsidRDefault="00000000" w:rsidRPr="00000000" w14:paraId="000004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3,436.02</w:t>
            </w:r>
          </w:p>
        </w:tc>
        <w:tc>
          <w:tcPr>
            <w:gridSpan w:val="3"/>
          </w:tcPr>
          <w:p w:rsidR="00000000" w:rsidDel="00000000" w:rsidP="00000000" w:rsidRDefault="00000000" w:rsidRPr="00000000" w14:paraId="000004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8,018.66</w:t>
            </w:r>
          </w:p>
        </w:tc>
        <w:tc>
          <w:tcPr>
            <w:gridSpan w:val="3"/>
          </w:tcPr>
          <w:p w:rsidR="00000000" w:rsidDel="00000000" w:rsidP="00000000" w:rsidRDefault="00000000" w:rsidRPr="00000000" w14:paraId="000004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3,128.28</w:t>
            </w:r>
          </w:p>
        </w:tc>
        <w:tc>
          <w:tcPr>
            <w:gridSpan w:val="3"/>
          </w:tcPr>
          <w:p w:rsidR="00000000" w:rsidDel="00000000" w:rsidP="00000000" w:rsidRDefault="00000000" w:rsidRPr="00000000" w14:paraId="00000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9,499.33</w:t>
            </w:r>
          </w:p>
        </w:tc>
        <w:tc>
          <w:tcPr>
            <w:gridSpan w:val="3"/>
          </w:tcPr>
          <w:p w:rsidR="00000000" w:rsidDel="00000000" w:rsidP="00000000" w:rsidRDefault="00000000" w:rsidRPr="00000000" w14:paraId="000004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307.741</w:t>
            </w:r>
          </w:p>
        </w:tc>
        <w:tc>
          <w:tcPr>
            <w:gridSpan w:val="4"/>
          </w:tcPr>
          <w:p w:rsidR="00000000" w:rsidDel="00000000" w:rsidP="00000000" w:rsidRDefault="00000000" w:rsidRPr="00000000" w14:paraId="000004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0.504</w:t>
            </w:r>
          </w:p>
        </w:tc>
      </w:tr>
      <w:tr>
        <w:trPr>
          <w:cantSplit w:val="0"/>
          <w:trHeight w:val="288" w:hRule="atLeast"/>
          <w:tblHeader w:val="0"/>
        </w:trPr>
        <w:tc>
          <w:tcPr/>
          <w:p w:rsidR="00000000" w:rsidDel="00000000" w:rsidP="00000000" w:rsidRDefault="00000000" w:rsidRPr="00000000" w14:paraId="0000044D">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Male-Managed</w:t>
            </w:r>
          </w:p>
        </w:tc>
        <w:tc>
          <w:tcPr>
            <w:gridSpan w:val="4"/>
          </w:tcPr>
          <w:p w:rsidR="00000000" w:rsidDel="00000000" w:rsidP="00000000" w:rsidRDefault="00000000" w:rsidRPr="00000000" w14:paraId="000004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1,485.81</w:t>
            </w:r>
          </w:p>
        </w:tc>
        <w:tc>
          <w:tcPr>
            <w:gridSpan w:val="3"/>
          </w:tcPr>
          <w:p w:rsidR="00000000" w:rsidDel="00000000" w:rsidP="00000000" w:rsidRDefault="00000000" w:rsidRPr="00000000" w14:paraId="000004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6,256.14</w:t>
            </w:r>
          </w:p>
        </w:tc>
        <w:tc>
          <w:tcPr>
            <w:gridSpan w:val="3"/>
          </w:tcPr>
          <w:p w:rsidR="00000000" w:rsidDel="00000000" w:rsidP="00000000" w:rsidRDefault="00000000" w:rsidRPr="00000000" w14:paraId="000004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908.61</w:t>
            </w:r>
          </w:p>
        </w:tc>
        <w:tc>
          <w:tcPr>
            <w:gridSpan w:val="3"/>
          </w:tcPr>
          <w:p w:rsidR="00000000" w:rsidDel="00000000" w:rsidP="00000000" w:rsidRDefault="00000000" w:rsidRPr="00000000" w14:paraId="000004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5,827.88</w:t>
            </w:r>
          </w:p>
        </w:tc>
        <w:tc>
          <w:tcPr>
            <w:gridSpan w:val="3"/>
          </w:tcPr>
          <w:p w:rsidR="00000000" w:rsidDel="00000000" w:rsidP="00000000" w:rsidRDefault="00000000" w:rsidRPr="00000000" w14:paraId="000004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577.196</w:t>
            </w:r>
          </w:p>
        </w:tc>
        <w:tc>
          <w:tcPr>
            <w:gridSpan w:val="4"/>
          </w:tcPr>
          <w:p w:rsidR="00000000" w:rsidDel="00000000" w:rsidP="00000000" w:rsidRDefault="00000000" w:rsidRPr="00000000" w14:paraId="000004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0.069</w:t>
            </w:r>
          </w:p>
        </w:tc>
      </w:tr>
      <w:tr>
        <w:trPr>
          <w:cantSplit w:val="0"/>
          <w:trHeight w:val="288" w:hRule="atLeast"/>
          <w:tblHeader w:val="0"/>
        </w:trPr>
        <w:tc>
          <w:tcPr/>
          <w:p w:rsidR="00000000" w:rsidDel="00000000" w:rsidP="00000000" w:rsidRDefault="00000000" w:rsidRPr="00000000" w14:paraId="00000465">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Female-Managed</w:t>
            </w:r>
          </w:p>
        </w:tc>
        <w:tc>
          <w:tcPr>
            <w:gridSpan w:val="4"/>
          </w:tcPr>
          <w:p w:rsidR="00000000" w:rsidDel="00000000" w:rsidP="00000000" w:rsidRDefault="00000000" w:rsidRPr="00000000" w14:paraId="000004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52.45</w:t>
            </w:r>
          </w:p>
        </w:tc>
        <w:tc>
          <w:tcPr>
            <w:gridSpan w:val="3"/>
          </w:tcPr>
          <w:p w:rsidR="00000000" w:rsidDel="00000000" w:rsidP="00000000" w:rsidRDefault="00000000" w:rsidRPr="00000000" w14:paraId="00000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602.48</w:t>
            </w:r>
          </w:p>
        </w:tc>
        <w:tc>
          <w:tcPr>
            <w:gridSpan w:val="3"/>
          </w:tcPr>
          <w:p w:rsidR="00000000" w:rsidDel="00000000" w:rsidP="00000000" w:rsidRDefault="00000000" w:rsidRPr="00000000" w14:paraId="000004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321.89</w:t>
            </w:r>
          </w:p>
        </w:tc>
        <w:tc>
          <w:tcPr>
            <w:gridSpan w:val="3"/>
          </w:tcPr>
          <w:p w:rsidR="00000000" w:rsidDel="00000000" w:rsidP="00000000" w:rsidRDefault="00000000" w:rsidRPr="00000000" w14:paraId="000004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3,316.72</w:t>
            </w:r>
          </w:p>
        </w:tc>
        <w:tc>
          <w:tcPr>
            <w:gridSpan w:val="3"/>
          </w:tcPr>
          <w:p w:rsidR="00000000" w:rsidDel="00000000" w:rsidP="00000000" w:rsidRDefault="00000000" w:rsidRPr="00000000" w14:paraId="000004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-269.439*</w:t>
            </w:r>
          </w:p>
        </w:tc>
        <w:tc>
          <w:tcPr>
            <w:gridSpan w:val="4"/>
          </w:tcPr>
          <w:p w:rsidR="00000000" w:rsidDel="00000000" w:rsidP="00000000" w:rsidRDefault="00000000" w:rsidRPr="00000000" w14:paraId="000004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w:t>
            </w:r>
          </w:p>
        </w:tc>
      </w:tr>
      <w:tr>
        <w:trPr>
          <w:cantSplit w:val="0"/>
          <w:trHeight w:val="378" w:hRule="atLeast"/>
          <w:tblHeader w:val="0"/>
        </w:trPr>
        <w:tc>
          <w:tcPr/>
          <w:p w:rsidR="00000000" w:rsidDel="00000000" w:rsidP="00000000" w:rsidRDefault="00000000" w:rsidRPr="00000000" w14:paraId="0000047D">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Jointly Managed</w:t>
            </w:r>
          </w:p>
        </w:tc>
        <w:tc>
          <w:tcPr>
            <w:gridSpan w:val="4"/>
          </w:tcPr>
          <w:p w:rsidR="00000000" w:rsidDel="00000000" w:rsidP="00000000" w:rsidRDefault="00000000" w:rsidRPr="00000000" w14:paraId="000004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1,849.93</w:t>
            </w:r>
          </w:p>
        </w:tc>
        <w:tc>
          <w:tcPr>
            <w:gridSpan w:val="3"/>
          </w:tcPr>
          <w:p w:rsidR="00000000" w:rsidDel="00000000" w:rsidP="00000000" w:rsidRDefault="00000000" w:rsidRPr="00000000" w14:paraId="000004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5,386.64</w:t>
            </w:r>
          </w:p>
        </w:tc>
        <w:tc>
          <w:tcPr>
            <w:gridSpan w:val="3"/>
          </w:tcPr>
          <w:p w:rsidR="00000000" w:rsidDel="00000000" w:rsidP="00000000" w:rsidRDefault="00000000" w:rsidRPr="00000000" w14:paraId="000004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1,811.53</w:t>
            </w:r>
          </w:p>
        </w:tc>
        <w:tc>
          <w:tcPr>
            <w:gridSpan w:val="3"/>
          </w:tcPr>
          <w:p w:rsidR="00000000" w:rsidDel="00000000" w:rsidP="00000000" w:rsidRDefault="00000000" w:rsidRPr="00000000" w14:paraId="000004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6687.72</w:t>
            </w:r>
          </w:p>
        </w:tc>
        <w:tc>
          <w:tcPr>
            <w:gridSpan w:val="3"/>
          </w:tcPr>
          <w:p w:rsidR="00000000" w:rsidDel="00000000" w:rsidP="00000000" w:rsidRDefault="00000000" w:rsidRPr="00000000" w14:paraId="000004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38.410</w:t>
            </w:r>
          </w:p>
        </w:tc>
        <w:tc>
          <w:tcPr>
            <w:gridSpan w:val="4"/>
          </w:tcPr>
          <w:p w:rsidR="00000000" w:rsidDel="00000000" w:rsidP="00000000" w:rsidRDefault="00000000" w:rsidRPr="00000000" w14:paraId="000004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0.904</w:t>
            </w:r>
          </w:p>
        </w:tc>
      </w:tr>
      <w:tr>
        <w:trPr>
          <w:cantSplit w:val="0"/>
          <w:trHeight w:val="288" w:hRule="atLeast"/>
          <w:tblHeader w:val="0"/>
        </w:trPr>
        <w:tc>
          <w:tcPr>
            <w:gridSpan w:val="4"/>
          </w:tcPr>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ICV plots (meters^2)</w:t>
            </w:r>
          </w:p>
        </w:tc>
        <w:tc>
          <w:tcPr>
            <w:gridSpan w:val="4"/>
          </w:tcPr>
          <w:p w:rsidR="00000000" w:rsidDel="00000000" w:rsidP="00000000" w:rsidRDefault="00000000" w:rsidRPr="00000000" w14:paraId="00000499">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9D">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A0">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A3">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A6">
            <w:pPr>
              <w:jc w:val="center"/>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4A9">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AD">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gridSpan w:val="4"/>
          </w:tcPr>
          <w:p w:rsidR="00000000" w:rsidDel="00000000" w:rsidP="00000000" w:rsidRDefault="00000000" w:rsidRPr="00000000" w14:paraId="000004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9,247.97</w:t>
            </w:r>
          </w:p>
        </w:tc>
        <w:tc>
          <w:tcPr>
            <w:gridSpan w:val="3"/>
          </w:tcPr>
          <w:p w:rsidR="00000000" w:rsidDel="00000000" w:rsidP="00000000" w:rsidRDefault="00000000" w:rsidRPr="00000000" w14:paraId="000004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22,654.66</w:t>
            </w:r>
          </w:p>
        </w:tc>
        <w:tc>
          <w:tcPr>
            <w:gridSpan w:val="3"/>
          </w:tcPr>
          <w:p w:rsidR="00000000" w:rsidDel="00000000" w:rsidP="00000000" w:rsidRDefault="00000000" w:rsidRPr="00000000" w14:paraId="000004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4,552.40</w:t>
            </w:r>
          </w:p>
        </w:tc>
        <w:tc>
          <w:tcPr>
            <w:gridSpan w:val="3"/>
          </w:tcPr>
          <w:p w:rsidR="00000000" w:rsidDel="00000000" w:rsidP="00000000" w:rsidRDefault="00000000" w:rsidRPr="00000000" w14:paraId="000004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15,354.78</w:t>
            </w:r>
          </w:p>
        </w:tc>
        <w:tc>
          <w:tcPr>
            <w:gridSpan w:val="3"/>
          </w:tcPr>
          <w:p w:rsidR="00000000" w:rsidDel="00000000" w:rsidP="00000000" w:rsidRDefault="00000000" w:rsidRPr="00000000" w14:paraId="000004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4,695.577***</w:t>
            </w:r>
          </w:p>
        </w:tc>
        <w:tc>
          <w:tcPr>
            <w:gridSpan w:val="4"/>
          </w:tcPr>
          <w:p w:rsidR="00000000" w:rsidDel="00000000" w:rsidP="00000000" w:rsidRDefault="00000000" w:rsidRPr="00000000" w14:paraId="000004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4C5">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Male-Managed</w:t>
            </w:r>
          </w:p>
        </w:tc>
        <w:tc>
          <w:tcPr>
            <w:gridSpan w:val="4"/>
          </w:tcPr>
          <w:p w:rsidR="00000000" w:rsidDel="00000000" w:rsidP="00000000" w:rsidRDefault="00000000" w:rsidRPr="00000000" w14:paraId="000004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4,458.50</w:t>
            </w:r>
          </w:p>
        </w:tc>
        <w:tc>
          <w:tcPr>
            <w:gridSpan w:val="3"/>
          </w:tcPr>
          <w:p w:rsidR="00000000" w:rsidDel="00000000" w:rsidP="00000000" w:rsidRDefault="00000000" w:rsidRPr="00000000" w14:paraId="000004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15,841.38</w:t>
            </w:r>
          </w:p>
        </w:tc>
        <w:tc>
          <w:tcPr>
            <w:gridSpan w:val="3"/>
          </w:tcPr>
          <w:p w:rsidR="00000000" w:rsidDel="00000000" w:rsidP="00000000" w:rsidRDefault="00000000" w:rsidRPr="00000000" w14:paraId="000004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1,109.01</w:t>
            </w:r>
          </w:p>
        </w:tc>
        <w:tc>
          <w:tcPr>
            <w:gridSpan w:val="3"/>
          </w:tcPr>
          <w:p w:rsidR="00000000" w:rsidDel="00000000" w:rsidP="00000000" w:rsidRDefault="00000000" w:rsidRPr="00000000" w14:paraId="000004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8,817.61</w:t>
            </w:r>
          </w:p>
        </w:tc>
        <w:tc>
          <w:tcPr>
            <w:gridSpan w:val="3"/>
          </w:tcPr>
          <w:p w:rsidR="00000000" w:rsidDel="00000000" w:rsidP="00000000" w:rsidRDefault="00000000" w:rsidRPr="00000000" w14:paraId="000004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3,349.494***</w:t>
            </w:r>
          </w:p>
        </w:tc>
        <w:tc>
          <w:tcPr>
            <w:gridSpan w:val="4"/>
          </w:tcPr>
          <w:p w:rsidR="00000000" w:rsidDel="00000000" w:rsidP="00000000" w:rsidRDefault="00000000" w:rsidRPr="00000000" w14:paraId="000004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4DD">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Female-Managed</w:t>
            </w:r>
          </w:p>
        </w:tc>
        <w:tc>
          <w:tcPr>
            <w:gridSpan w:val="4"/>
          </w:tcPr>
          <w:p w:rsidR="00000000" w:rsidDel="00000000" w:rsidP="00000000" w:rsidRDefault="00000000" w:rsidRPr="00000000" w14:paraId="000004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214.77</w:t>
            </w:r>
          </w:p>
        </w:tc>
        <w:tc>
          <w:tcPr>
            <w:gridSpan w:val="3"/>
          </w:tcPr>
          <w:p w:rsidR="00000000" w:rsidDel="00000000" w:rsidP="00000000" w:rsidRDefault="00000000" w:rsidRPr="00000000" w14:paraId="000004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2,007.75</w:t>
            </w:r>
          </w:p>
        </w:tc>
        <w:tc>
          <w:tcPr>
            <w:gridSpan w:val="3"/>
          </w:tcPr>
          <w:p w:rsidR="00000000" w:rsidDel="00000000" w:rsidP="00000000" w:rsidRDefault="00000000" w:rsidRPr="00000000" w14:paraId="000004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429.75</w:t>
            </w:r>
          </w:p>
        </w:tc>
        <w:tc>
          <w:tcPr>
            <w:gridSpan w:val="3"/>
          </w:tcPr>
          <w:p w:rsidR="00000000" w:rsidDel="00000000" w:rsidP="00000000" w:rsidRDefault="00000000" w:rsidRPr="00000000" w14:paraId="000004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2,436.48</w:t>
            </w:r>
          </w:p>
        </w:tc>
        <w:tc>
          <w:tcPr>
            <w:gridSpan w:val="3"/>
          </w:tcPr>
          <w:p w:rsidR="00000000" w:rsidDel="00000000" w:rsidP="00000000" w:rsidRDefault="00000000" w:rsidRPr="00000000" w14:paraId="000004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-214.908</w:t>
            </w:r>
          </w:p>
        </w:tc>
        <w:tc>
          <w:tcPr>
            <w:gridSpan w:val="4"/>
          </w:tcPr>
          <w:p w:rsidR="00000000" w:rsidDel="00000000" w:rsidP="00000000" w:rsidRDefault="00000000" w:rsidRPr="00000000" w14:paraId="000004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w:t>
            </w:r>
          </w:p>
        </w:tc>
      </w:tr>
      <w:tr>
        <w:trPr>
          <w:cantSplit w:val="0"/>
          <w:trHeight w:val="459" w:hRule="atLeast"/>
          <w:tblHeader w:val="0"/>
        </w:trPr>
        <w:tc>
          <w:tcPr/>
          <w:p w:rsidR="00000000" w:rsidDel="00000000" w:rsidP="00000000" w:rsidRDefault="00000000" w:rsidRPr="00000000" w14:paraId="000004F5">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Jointly Managed</w:t>
            </w:r>
          </w:p>
        </w:tc>
        <w:tc>
          <w:tcPr>
            <w:gridSpan w:val="4"/>
          </w:tcPr>
          <w:p w:rsidR="00000000" w:rsidDel="00000000" w:rsidP="00000000" w:rsidRDefault="00000000" w:rsidRPr="00000000" w14:paraId="000004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4,555.91</w:t>
            </w:r>
          </w:p>
        </w:tc>
        <w:tc>
          <w:tcPr>
            <w:gridSpan w:val="3"/>
          </w:tcPr>
          <w:p w:rsidR="00000000" w:rsidDel="00000000" w:rsidP="00000000" w:rsidRDefault="00000000" w:rsidRPr="00000000" w14:paraId="000004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16,205.61</w:t>
            </w:r>
          </w:p>
        </w:tc>
        <w:tc>
          <w:tcPr>
            <w:gridSpan w:val="3"/>
          </w:tcPr>
          <w:p w:rsidR="00000000" w:rsidDel="00000000" w:rsidP="00000000" w:rsidRDefault="00000000" w:rsidRPr="00000000" w14:paraId="000005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3,013.65</w:t>
            </w:r>
          </w:p>
        </w:tc>
        <w:tc>
          <w:tcPr>
            <w:gridSpan w:val="3"/>
          </w:tcPr>
          <w:p w:rsidR="00000000" w:rsidDel="00000000" w:rsidP="00000000" w:rsidRDefault="00000000" w:rsidRPr="00000000" w14:paraId="000005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1,2641.13</w:t>
            </w:r>
          </w:p>
        </w:tc>
        <w:tc>
          <w:tcPr>
            <w:gridSpan w:val="3"/>
          </w:tcPr>
          <w:p w:rsidR="00000000" w:rsidDel="00000000" w:rsidP="00000000" w:rsidRDefault="00000000" w:rsidRPr="00000000" w14:paraId="000005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1,542.268*</w:t>
            </w:r>
          </w:p>
        </w:tc>
        <w:tc>
          <w:tcPr>
            <w:gridSpan w:val="4"/>
          </w:tcPr>
          <w:p w:rsidR="00000000" w:rsidDel="00000000" w:rsidP="00000000" w:rsidRDefault="00000000" w:rsidRPr="00000000" w14:paraId="000005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w:t>
            </w:r>
          </w:p>
        </w:tc>
      </w:tr>
      <w:tr>
        <w:trPr>
          <w:cantSplit w:val="0"/>
          <w:trHeight w:val="288" w:hRule="atLeast"/>
          <w:tblHeader w:val="0"/>
        </w:trPr>
        <w:tc>
          <w:tcPr>
            <w:gridSpan w:val="2"/>
          </w:tcPr>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Used for Cassava</w:t>
            </w:r>
          </w:p>
        </w:tc>
        <w:tc>
          <w:tcPr>
            <w:gridSpan w:val="4"/>
          </w:tcPr>
          <w:p w:rsidR="00000000" w:rsidDel="00000000" w:rsidP="00000000" w:rsidRDefault="00000000" w:rsidRPr="00000000" w14:paraId="0000050F">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13">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16">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19">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1C">
            <w:pPr>
              <w:jc w:val="cente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51F">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22">
            <w:pPr>
              <w:jc w:val="right"/>
              <w:rPr>
                <w:rFonts w:ascii="Times New Roman" w:cs="Times New Roman" w:eastAsia="Times New Roman" w:hAnsi="Times New Roman"/>
                <w:sz w:val="24"/>
                <w:szCs w:val="24"/>
              </w:rPr>
            </w:pPr>
            <w:r w:rsidDel="00000000" w:rsidR="00000000" w:rsidRPr="00000000">
              <w:rPr>
                <w:rtl w:val="0"/>
              </w:rPr>
            </w:r>
          </w:p>
        </w:tc>
        <w:tc>
          <w:tcPr>
            <w:gridSpan w:val="3"/>
            <w:vAlign w:val="center"/>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Operated (%)</w:t>
            </w:r>
          </w:p>
        </w:tc>
        <w:tc>
          <w:tcPr>
            <w:gridSpan w:val="4"/>
          </w:tcPr>
          <w:p w:rsidR="00000000" w:rsidDel="00000000" w:rsidP="00000000" w:rsidRDefault="00000000" w:rsidRPr="00000000" w14:paraId="000005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w:t>
            </w:r>
          </w:p>
        </w:tc>
        <w:tc>
          <w:tcPr>
            <w:gridSpan w:val="3"/>
          </w:tcPr>
          <w:p w:rsidR="00000000" w:rsidDel="00000000" w:rsidP="00000000" w:rsidRDefault="00000000" w:rsidRPr="00000000" w14:paraId="000005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gridSpan w:val="3"/>
          </w:tcPr>
          <w:p w:rsidR="00000000" w:rsidDel="00000000" w:rsidP="00000000" w:rsidRDefault="00000000" w:rsidRPr="00000000" w14:paraId="000005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gridSpan w:val="3"/>
          </w:tcPr>
          <w:p w:rsidR="00000000" w:rsidDel="00000000" w:rsidP="00000000" w:rsidRDefault="00000000" w:rsidRPr="00000000" w14:paraId="000005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gridSpan w:val="3"/>
          </w:tcPr>
          <w:p w:rsidR="00000000" w:rsidDel="00000000" w:rsidP="00000000" w:rsidRDefault="00000000" w:rsidRPr="00000000" w14:paraId="000005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c>
          <w:tcPr>
            <w:gridSpan w:val="4"/>
          </w:tcPr>
          <w:p w:rsidR="00000000" w:rsidDel="00000000" w:rsidP="00000000" w:rsidRDefault="00000000" w:rsidRPr="00000000" w14:paraId="000005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0.217</w:t>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53A">
            <w:pPr>
              <w:jc w:val="right"/>
              <w:rPr>
                <w:rFonts w:ascii="Times New Roman" w:cs="Times New Roman" w:eastAsia="Times New Roman" w:hAnsi="Times New Roman"/>
                <w:sz w:val="24"/>
                <w:szCs w:val="24"/>
              </w:rPr>
            </w:pP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 (%)</w:t>
            </w:r>
          </w:p>
        </w:tc>
        <w:tc>
          <w:tcPr>
            <w:gridSpan w:val="4"/>
            <w:tcBorders>
              <w:bottom w:color="000000" w:space="0" w:sz="4" w:val="single"/>
            </w:tcBorders>
          </w:tcPr>
          <w:p w:rsidR="00000000" w:rsidDel="00000000" w:rsidP="00000000" w:rsidRDefault="00000000" w:rsidRPr="00000000" w14:paraId="000005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gridSpan w:val="3"/>
            <w:tcBorders>
              <w:bottom w:color="000000" w:space="0" w:sz="4" w:val="single"/>
            </w:tcBorders>
          </w:tcPr>
          <w:p w:rsidR="00000000" w:rsidDel="00000000" w:rsidP="00000000" w:rsidRDefault="00000000" w:rsidRPr="00000000" w14:paraId="000005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gridSpan w:val="3"/>
            <w:tcBorders>
              <w:bottom w:color="000000" w:space="0" w:sz="4" w:val="single"/>
            </w:tcBorders>
          </w:tcPr>
          <w:p w:rsidR="00000000" w:rsidDel="00000000" w:rsidP="00000000" w:rsidRDefault="00000000" w:rsidRPr="00000000" w14:paraId="000005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gridSpan w:val="3"/>
            <w:tcBorders>
              <w:bottom w:color="000000" w:space="0" w:sz="4" w:val="single"/>
            </w:tcBorders>
          </w:tcPr>
          <w:p w:rsidR="00000000" w:rsidDel="00000000" w:rsidP="00000000" w:rsidRDefault="00000000" w:rsidRPr="00000000" w14:paraId="000005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gridSpan w:val="3"/>
            <w:tcBorders>
              <w:bottom w:color="000000" w:space="0" w:sz="4" w:val="single"/>
            </w:tcBorders>
          </w:tcPr>
          <w:p w:rsidR="00000000" w:rsidDel="00000000" w:rsidP="00000000" w:rsidRDefault="00000000" w:rsidRPr="00000000" w14:paraId="000005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-0.046*</w:t>
            </w:r>
          </w:p>
        </w:tc>
        <w:tc>
          <w:tcPr>
            <w:gridSpan w:val="4"/>
            <w:tcBorders>
              <w:bottom w:color="000000" w:space="0" w:sz="4" w:val="single"/>
            </w:tcBorders>
          </w:tcPr>
          <w:p w:rsidR="00000000" w:rsidDel="00000000" w:rsidP="00000000" w:rsidRDefault="00000000" w:rsidRPr="00000000" w14:paraId="000005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r>
      <w:tr>
        <w:trPr>
          <w:cantSplit w:val="0"/>
          <w:trHeight w:val="300" w:hRule="atLeast"/>
          <w:tblHeader w:val="0"/>
        </w:trPr>
        <w:tc>
          <w:tcPr>
            <w:gridSpan w:val="22"/>
            <w:tcBorders>
              <w:top w:color="000000" w:space="0" w:sz="4" w:val="single"/>
            </w:tcBorders>
          </w:tcPr>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w:t>
            </w:r>
          </w:p>
        </w:tc>
      </w:tr>
    </w:tbl>
    <w:p w:rsidR="00000000" w:rsidDel="00000000" w:rsidP="00000000" w:rsidRDefault="00000000" w:rsidRPr="00000000" w14:paraId="000005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8"/>
        <w:tblW w:w="887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75"/>
        <w:gridCol w:w="2070"/>
        <w:gridCol w:w="763"/>
        <w:gridCol w:w="636"/>
        <w:gridCol w:w="763"/>
        <w:gridCol w:w="636"/>
        <w:gridCol w:w="1262"/>
        <w:gridCol w:w="756"/>
        <w:gridCol w:w="9"/>
        <w:tblGridChange w:id="0">
          <w:tblGrid>
            <w:gridCol w:w="1975"/>
            <w:gridCol w:w="2070"/>
            <w:gridCol w:w="763"/>
            <w:gridCol w:w="636"/>
            <w:gridCol w:w="763"/>
            <w:gridCol w:w="636"/>
            <w:gridCol w:w="1262"/>
            <w:gridCol w:w="756"/>
            <w:gridCol w:w="9"/>
          </w:tblGrid>
        </w:tblGridChange>
      </w:tblGrid>
      <w:tr>
        <w:trPr>
          <w:cantSplit w:val="0"/>
          <w:trHeight w:val="300" w:hRule="atLeast"/>
          <w:tblHeader w:val="0"/>
        </w:trPr>
        <w:tc>
          <w:tcPr>
            <w:gridSpan w:val="9"/>
            <w:tcBorders>
              <w:bottom w:color="000000" w:space="0" w:sz="4" w:val="single"/>
            </w:tcBorders>
            <w:vAlign w:val="bottom"/>
          </w:tcPr>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Spousal differences in reporting plot management </w:t>
            </w:r>
          </w:p>
        </w:tc>
      </w:tr>
      <w:tr>
        <w:trPr>
          <w:cantSplit w:val="0"/>
          <w:trHeight w:val="300" w:hRule="atLeast"/>
          <w:tblHeader w:val="0"/>
        </w:trPr>
        <w:tc>
          <w:tcPr>
            <w:vMerge w:val="restart"/>
            <w:tcBorders>
              <w:bottom w:color="000000" w:space="0" w:sz="4" w:val="single"/>
            </w:tcBorders>
            <w:vAlign w:val="bottom"/>
          </w:tcPr>
          <w:p w:rsidR="00000000" w:rsidDel="00000000" w:rsidP="00000000" w:rsidRDefault="00000000" w:rsidRPr="00000000" w14:paraId="00000573">
            <w:pPr>
              <w:jc w:val="center"/>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tcBorders>
            <w:vAlign w:val="bottom"/>
          </w:tcPr>
          <w:p w:rsidR="00000000" w:rsidDel="00000000" w:rsidP="00000000" w:rsidRDefault="00000000" w:rsidRPr="00000000" w14:paraId="00000574">
            <w:pPr>
              <w:jc w:val="center"/>
              <w:rPr>
                <w:rFonts w:ascii="Times New Roman" w:cs="Times New Roman" w:eastAsia="Times New Roman" w:hAnsi="Times New Roman"/>
                <w:sz w:val="24"/>
                <w:szCs w:val="24"/>
              </w:rPr>
            </w:pP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5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2"/>
            <w:tcBorders>
              <w:bottom w:color="000000" w:space="0" w:sz="4" w:val="single"/>
            </w:tcBorders>
            <w:vAlign w:val="bottom"/>
          </w:tcPr>
          <w:p w:rsidR="00000000" w:rsidDel="00000000" w:rsidP="00000000" w:rsidRDefault="00000000" w:rsidRPr="00000000" w14:paraId="000005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vMerge w:val="restart"/>
            <w:tcBorders>
              <w:bottom w:color="000000" w:space="0" w:sz="4" w:val="single"/>
            </w:tcBorders>
            <w:vAlign w:val="bottom"/>
          </w:tcPr>
          <w:p w:rsidR="00000000" w:rsidDel="00000000" w:rsidP="00000000" w:rsidRDefault="00000000" w:rsidRPr="00000000" w14:paraId="000005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vMerge w:val="restart"/>
            <w:tcBorders>
              <w:bottom w:color="000000" w:space="0" w:sz="4" w:val="single"/>
            </w:tcBorders>
            <w:vAlign w:val="bottom"/>
          </w:tcPr>
          <w:p w:rsidR="00000000" w:rsidDel="00000000" w:rsidP="00000000" w:rsidRDefault="00000000" w:rsidRPr="00000000" w14:paraId="000005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300" w:hRule="atLeast"/>
          <w:tblHeader w:val="0"/>
        </w:trPr>
        <w:tc>
          <w:tcPr>
            <w:vMerge w:val="continue"/>
            <w:tcBorders>
              <w:bottom w:color="000000" w:space="0" w:sz="4" w:val="single"/>
            </w:tcBorders>
            <w:vAlign w:val="bottom"/>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tcBorders>
            <w:vAlign w:val="bottom"/>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tcBorders>
              <w:top w:color="000000" w:space="0" w:sz="4" w:val="single"/>
              <w:bottom w:color="000000" w:space="0" w:sz="4" w:val="single"/>
            </w:tcBorders>
          </w:tcPr>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Merge w:val="continue"/>
            <w:tcBorders>
              <w:bottom w:color="000000" w:space="0" w:sz="4" w:val="single"/>
            </w:tcBorders>
            <w:vAlign w:val="bottom"/>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tcBorders>
            <w:vAlign w:val="bottom"/>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gridSpan w:val="2"/>
            <w:tcBorders>
              <w:top w:color="000000" w:space="0" w:sz="4" w:val="single"/>
            </w:tcBorders>
          </w:tcPr>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Plots (total)</w:t>
            </w:r>
          </w:p>
        </w:tc>
        <w:tc>
          <w:tcPr>
            <w:tcBorders>
              <w:top w:color="000000" w:space="0" w:sz="4" w:val="single"/>
            </w:tcBorders>
          </w:tcPr>
          <w:p w:rsidR="00000000" w:rsidDel="00000000" w:rsidP="00000000" w:rsidRDefault="00000000" w:rsidRPr="00000000" w14:paraId="0000058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58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58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58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58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58A">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Total</w:t>
            </w:r>
          </w:p>
        </w:tc>
        <w:tc>
          <w:tcPr/>
          <w:p w:rsidR="00000000" w:rsidDel="00000000" w:rsidP="00000000" w:rsidRDefault="00000000" w:rsidRPr="00000000" w14:paraId="000005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c>
          <w:tcPr/>
          <w:p w:rsidR="00000000" w:rsidDel="00000000" w:rsidP="00000000" w:rsidRDefault="00000000" w:rsidRPr="00000000" w14:paraId="000005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p w:rsidR="00000000" w:rsidDel="00000000" w:rsidP="00000000" w:rsidRDefault="00000000" w:rsidRPr="00000000" w14:paraId="000005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p w:rsidR="00000000" w:rsidDel="00000000" w:rsidP="00000000" w:rsidRDefault="00000000" w:rsidRPr="00000000" w14:paraId="000005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c>
          <w:tcPr/>
          <w:p w:rsidR="00000000" w:rsidDel="00000000" w:rsidP="00000000" w:rsidRDefault="00000000" w:rsidRPr="00000000" w14:paraId="000005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w:t>
            </w:r>
          </w:p>
        </w:tc>
        <w:tc>
          <w:tcPr/>
          <w:p w:rsidR="00000000" w:rsidDel="00000000" w:rsidP="00000000" w:rsidRDefault="00000000" w:rsidRPr="00000000" w14:paraId="000005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0.469</w:t>
            </w:r>
          </w:p>
        </w:tc>
      </w:tr>
      <w:tr>
        <w:trPr>
          <w:cantSplit w:val="0"/>
          <w:trHeight w:val="288" w:hRule="atLeast"/>
          <w:tblHeader w:val="0"/>
        </w:trPr>
        <w:tc>
          <w:tcPr/>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Male-Managed</w:t>
            </w:r>
          </w:p>
        </w:tc>
        <w:tc>
          <w:tcPr/>
          <w:p w:rsidR="00000000" w:rsidDel="00000000" w:rsidP="00000000" w:rsidRDefault="00000000" w:rsidRPr="00000000" w14:paraId="000005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p w:rsidR="00000000" w:rsidDel="00000000" w:rsidP="00000000" w:rsidRDefault="00000000" w:rsidRPr="00000000" w14:paraId="000005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p w:rsidR="00000000" w:rsidDel="00000000" w:rsidP="00000000" w:rsidRDefault="00000000" w:rsidRPr="00000000" w14:paraId="000005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p w:rsidR="00000000" w:rsidDel="00000000" w:rsidP="00000000" w:rsidRDefault="00000000" w:rsidRPr="00000000" w14:paraId="000005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w:t>
            </w:r>
          </w:p>
        </w:tc>
        <w:tc>
          <w:tcPr/>
          <w:p w:rsidR="00000000" w:rsidDel="00000000" w:rsidP="00000000" w:rsidRDefault="00000000" w:rsidRPr="00000000" w14:paraId="000005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0.357***</w:t>
            </w:r>
          </w:p>
        </w:tc>
        <w:tc>
          <w:tcPr/>
          <w:p w:rsidR="00000000" w:rsidDel="00000000" w:rsidP="00000000" w:rsidRDefault="00000000" w:rsidRPr="00000000" w14:paraId="000005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Female-Managed</w:t>
            </w:r>
          </w:p>
        </w:tc>
        <w:tc>
          <w:tcPr/>
          <w:p w:rsidR="00000000" w:rsidDel="00000000" w:rsidP="00000000" w:rsidRDefault="00000000" w:rsidRPr="00000000" w14:paraId="000005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p w:rsidR="00000000" w:rsidDel="00000000" w:rsidP="00000000" w:rsidRDefault="00000000" w:rsidRPr="00000000" w14:paraId="000005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w:t>
            </w:r>
          </w:p>
        </w:tc>
        <w:tc>
          <w:tcPr/>
          <w:p w:rsidR="00000000" w:rsidDel="00000000" w:rsidP="00000000" w:rsidRDefault="00000000" w:rsidRPr="00000000" w14:paraId="000005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5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p w:rsidR="00000000" w:rsidDel="00000000" w:rsidP="00000000" w:rsidRDefault="00000000" w:rsidRPr="00000000" w14:paraId="000005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-0.181***</w:t>
            </w:r>
          </w:p>
        </w:tc>
        <w:tc>
          <w:tcPr/>
          <w:p w:rsidR="00000000" w:rsidDel="00000000" w:rsidP="00000000" w:rsidRDefault="00000000" w:rsidRPr="00000000" w14:paraId="000005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414" w:hRule="atLeast"/>
          <w:tblHeader w:val="0"/>
        </w:trPr>
        <w:tc>
          <w:tcPr/>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Joint-Managed</w:t>
            </w:r>
          </w:p>
        </w:tc>
        <w:tc>
          <w:tcPr/>
          <w:p w:rsidR="00000000" w:rsidDel="00000000" w:rsidP="00000000" w:rsidRDefault="00000000" w:rsidRPr="00000000" w14:paraId="000005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p w:rsidR="00000000" w:rsidDel="00000000" w:rsidP="00000000" w:rsidRDefault="00000000" w:rsidRPr="00000000" w14:paraId="000005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c>
          <w:tcPr/>
          <w:p w:rsidR="00000000" w:rsidDel="00000000" w:rsidP="00000000" w:rsidRDefault="00000000" w:rsidRPr="00000000" w14:paraId="000005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w:t>
            </w:r>
          </w:p>
        </w:tc>
        <w:tc>
          <w:tcPr/>
          <w:p w:rsidR="00000000" w:rsidDel="00000000" w:rsidP="00000000" w:rsidRDefault="00000000" w:rsidRPr="00000000" w14:paraId="000005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p w:rsidR="00000000" w:rsidDel="00000000" w:rsidP="00000000" w:rsidRDefault="00000000" w:rsidRPr="00000000" w14:paraId="000005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-0.241**</w:t>
            </w:r>
          </w:p>
        </w:tc>
        <w:tc>
          <w:tcPr/>
          <w:p w:rsidR="00000000" w:rsidDel="00000000" w:rsidP="00000000" w:rsidRDefault="00000000" w:rsidRPr="00000000" w14:paraId="000005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w:t>
            </w:r>
          </w:p>
        </w:tc>
      </w:tr>
      <w:tr>
        <w:trPr>
          <w:cantSplit w:val="0"/>
          <w:trHeight w:val="288" w:hRule="atLeast"/>
          <w:tblHeader w:val="0"/>
        </w:trPr>
        <w:tc>
          <w:tcPr>
            <w:gridSpan w:val="2"/>
          </w:tcPr>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plots with ICV</w:t>
            </w:r>
          </w:p>
        </w:tc>
        <w:tc>
          <w:tcPr/>
          <w:p w:rsidR="00000000" w:rsidDel="00000000" w:rsidP="00000000" w:rsidRDefault="00000000" w:rsidRPr="00000000" w14:paraId="000005A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Total</w:t>
            </w:r>
          </w:p>
        </w:tc>
        <w:tc>
          <w:tcPr/>
          <w:p w:rsidR="00000000" w:rsidDel="00000000" w:rsidP="00000000" w:rsidRDefault="00000000" w:rsidRPr="00000000" w14:paraId="000005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w:t>
            </w:r>
          </w:p>
        </w:tc>
        <w:tc>
          <w:tcPr/>
          <w:p w:rsidR="00000000" w:rsidDel="00000000" w:rsidP="00000000" w:rsidRDefault="00000000" w:rsidRPr="00000000" w14:paraId="000005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c>
          <w:tcPr/>
          <w:p w:rsidR="00000000" w:rsidDel="00000000" w:rsidP="00000000" w:rsidRDefault="00000000" w:rsidRPr="00000000" w14:paraId="000005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c>
          <w:tcPr/>
          <w:p w:rsidR="00000000" w:rsidDel="00000000" w:rsidP="00000000" w:rsidRDefault="00000000" w:rsidRPr="00000000" w14:paraId="000005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p w:rsidR="00000000" w:rsidDel="00000000" w:rsidP="00000000" w:rsidRDefault="00000000" w:rsidRPr="00000000" w14:paraId="000005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0.122</w:t>
            </w:r>
          </w:p>
        </w:tc>
        <w:tc>
          <w:tcPr/>
          <w:p w:rsidR="00000000" w:rsidDel="00000000" w:rsidP="00000000" w:rsidRDefault="00000000" w:rsidRPr="00000000" w14:paraId="000005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0.174</w:t>
            </w:r>
          </w:p>
        </w:tc>
      </w:tr>
      <w:tr>
        <w:trPr>
          <w:cantSplit w:val="0"/>
          <w:trHeight w:val="189" w:hRule="atLeast"/>
          <w:tblHeader w:val="0"/>
        </w:trPr>
        <w:tc>
          <w:tcPr/>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Male-Managed</w:t>
            </w:r>
          </w:p>
        </w:tc>
        <w:tc>
          <w:tcPr/>
          <w:p w:rsidR="00000000" w:rsidDel="00000000" w:rsidP="00000000" w:rsidRDefault="00000000" w:rsidRPr="00000000" w14:paraId="000005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p w:rsidR="00000000" w:rsidDel="00000000" w:rsidP="00000000" w:rsidRDefault="00000000" w:rsidRPr="00000000" w14:paraId="000005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p w:rsidR="00000000" w:rsidDel="00000000" w:rsidP="00000000" w:rsidRDefault="00000000" w:rsidRPr="00000000" w14:paraId="000005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p w:rsidR="00000000" w:rsidDel="00000000" w:rsidP="00000000" w:rsidRDefault="00000000" w:rsidRPr="00000000" w14:paraId="000005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p w:rsidR="00000000" w:rsidDel="00000000" w:rsidP="00000000" w:rsidRDefault="00000000" w:rsidRPr="00000000" w14:paraId="000005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0.335***</w:t>
            </w:r>
          </w:p>
        </w:tc>
        <w:tc>
          <w:tcPr/>
          <w:p w:rsidR="00000000" w:rsidDel="00000000" w:rsidP="00000000" w:rsidRDefault="00000000" w:rsidRPr="00000000" w14:paraId="000005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288" w:hRule="atLeast"/>
          <w:tblHeader w:val="0"/>
        </w:trPr>
        <w:tc>
          <w:tcPr/>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Female-Managed</w:t>
            </w:r>
          </w:p>
        </w:tc>
        <w:tc>
          <w:tcPr/>
          <w:p w:rsidR="00000000" w:rsidDel="00000000" w:rsidP="00000000" w:rsidRDefault="00000000" w:rsidRPr="00000000" w14:paraId="000005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p w:rsidR="00000000" w:rsidDel="00000000" w:rsidP="00000000" w:rsidRDefault="00000000" w:rsidRPr="00000000" w14:paraId="000005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p w:rsidR="00000000" w:rsidDel="00000000" w:rsidP="00000000" w:rsidRDefault="00000000" w:rsidRPr="00000000" w14:paraId="000005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w:t>
            </w:r>
          </w:p>
        </w:tc>
        <w:tc>
          <w:tcPr/>
          <w:p w:rsidR="00000000" w:rsidDel="00000000" w:rsidP="00000000" w:rsidRDefault="00000000" w:rsidRPr="00000000" w14:paraId="000005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c>
          <w:tcPr/>
          <w:p w:rsidR="00000000" w:rsidDel="00000000" w:rsidP="00000000" w:rsidRDefault="00000000" w:rsidRPr="00000000" w14:paraId="000005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w:t>
            </w:r>
          </w:p>
        </w:tc>
        <w:tc>
          <w:tcPr/>
          <w:p w:rsidR="00000000" w:rsidDel="00000000" w:rsidP="00000000" w:rsidRDefault="00000000" w:rsidRPr="00000000" w14:paraId="000005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r>
      <w:tr>
        <w:trPr>
          <w:cantSplit w:val="0"/>
          <w:trHeight w:val="405" w:hRule="atLeast"/>
          <w:tblHeader w:val="0"/>
        </w:trPr>
        <w:tc>
          <w:tcPr/>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Joint-Managed</w:t>
            </w:r>
          </w:p>
        </w:tc>
        <w:tc>
          <w:tcPr/>
          <w:p w:rsidR="00000000" w:rsidDel="00000000" w:rsidP="00000000" w:rsidRDefault="00000000" w:rsidRPr="00000000" w14:paraId="000005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p w:rsidR="00000000" w:rsidDel="00000000" w:rsidP="00000000" w:rsidRDefault="00000000" w:rsidRPr="00000000" w14:paraId="000005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p w:rsidR="00000000" w:rsidDel="00000000" w:rsidP="00000000" w:rsidRDefault="00000000" w:rsidRPr="00000000" w14:paraId="000005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p w:rsidR="00000000" w:rsidDel="00000000" w:rsidP="00000000" w:rsidRDefault="00000000" w:rsidRPr="00000000" w14:paraId="000005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p w:rsidR="00000000" w:rsidDel="00000000" w:rsidP="00000000" w:rsidRDefault="00000000" w:rsidRPr="00000000" w14:paraId="000005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w:t>
            </w:r>
          </w:p>
        </w:tc>
        <w:tc>
          <w:tcPr/>
          <w:p w:rsidR="00000000" w:rsidDel="00000000" w:rsidP="00000000" w:rsidRDefault="00000000" w:rsidRPr="00000000" w14:paraId="000005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w:t>
            </w:r>
          </w:p>
        </w:tc>
      </w:tr>
      <w:tr>
        <w:trPr>
          <w:cantSplit w:val="0"/>
          <w:trHeight w:val="288" w:hRule="atLeast"/>
          <w:tblHeader w:val="0"/>
        </w:trPr>
        <w:tc>
          <w:tcPr>
            <w:gridSpan w:val="2"/>
          </w:tcPr>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plots non-ICV</w:t>
            </w:r>
          </w:p>
        </w:tc>
        <w:tc>
          <w:tcPr/>
          <w:p w:rsidR="00000000" w:rsidDel="00000000" w:rsidP="00000000" w:rsidRDefault="00000000" w:rsidRPr="00000000" w14:paraId="000005D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A">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Total</w:t>
            </w:r>
          </w:p>
        </w:tc>
        <w:tc>
          <w:tcPr/>
          <w:p w:rsidR="00000000" w:rsidDel="00000000" w:rsidP="00000000" w:rsidRDefault="00000000" w:rsidRPr="00000000" w14:paraId="000005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p w:rsidR="00000000" w:rsidDel="00000000" w:rsidP="00000000" w:rsidRDefault="00000000" w:rsidRPr="00000000" w14:paraId="000005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p w:rsidR="00000000" w:rsidDel="00000000" w:rsidP="00000000" w:rsidRDefault="00000000" w:rsidRPr="00000000" w14:paraId="000005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p w:rsidR="00000000" w:rsidDel="00000000" w:rsidP="00000000" w:rsidRDefault="00000000" w:rsidRPr="00000000" w14:paraId="000005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p w:rsidR="00000000" w:rsidDel="00000000" w:rsidP="00000000" w:rsidRDefault="00000000" w:rsidRPr="00000000" w14:paraId="000005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-0.188*</w:t>
            </w:r>
          </w:p>
        </w:tc>
        <w:tc>
          <w:tcPr/>
          <w:p w:rsidR="00000000" w:rsidDel="00000000" w:rsidP="00000000" w:rsidRDefault="00000000" w:rsidRPr="00000000" w14:paraId="000005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w:t>
            </w:r>
          </w:p>
        </w:tc>
      </w:tr>
      <w:tr>
        <w:trPr>
          <w:cantSplit w:val="0"/>
          <w:trHeight w:val="288" w:hRule="atLeast"/>
          <w:tblHeader w:val="0"/>
        </w:trPr>
        <w:tc>
          <w:tcPr/>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Male-Managed</w:t>
            </w:r>
          </w:p>
        </w:tc>
        <w:tc>
          <w:tcPr/>
          <w:p w:rsidR="00000000" w:rsidDel="00000000" w:rsidP="00000000" w:rsidRDefault="00000000" w:rsidRPr="00000000" w14:paraId="000005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w:t>
            </w:r>
          </w:p>
        </w:tc>
        <w:tc>
          <w:tcPr/>
          <w:p w:rsidR="00000000" w:rsidDel="00000000" w:rsidP="00000000" w:rsidRDefault="00000000" w:rsidRPr="00000000" w14:paraId="000005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5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p w:rsidR="00000000" w:rsidDel="00000000" w:rsidP="00000000" w:rsidRDefault="00000000" w:rsidRPr="00000000" w14:paraId="000005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p w:rsidR="00000000" w:rsidDel="00000000" w:rsidP="00000000" w:rsidRDefault="00000000" w:rsidRPr="00000000" w14:paraId="000005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w:t>
            </w:r>
          </w:p>
        </w:tc>
        <w:tc>
          <w:tcPr/>
          <w:p w:rsidR="00000000" w:rsidDel="00000000" w:rsidP="00000000" w:rsidRDefault="00000000" w:rsidRPr="00000000" w14:paraId="000005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0.635</w:t>
            </w:r>
          </w:p>
        </w:tc>
      </w:tr>
      <w:tr>
        <w:trPr>
          <w:cantSplit w:val="0"/>
          <w:trHeight w:val="288" w:hRule="atLeast"/>
          <w:tblHeader w:val="0"/>
        </w:trPr>
        <w:tc>
          <w:tcPr/>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Female-Managed</w:t>
            </w:r>
          </w:p>
        </w:tc>
        <w:tc>
          <w:tcPr/>
          <w:p w:rsidR="00000000" w:rsidDel="00000000" w:rsidP="00000000" w:rsidRDefault="00000000" w:rsidRPr="00000000" w14:paraId="000005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p w:rsidR="00000000" w:rsidDel="00000000" w:rsidP="00000000" w:rsidRDefault="00000000" w:rsidRPr="00000000" w14:paraId="000005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c>
          <w:tcPr/>
          <w:p w:rsidR="00000000" w:rsidDel="00000000" w:rsidP="00000000" w:rsidRDefault="00000000" w:rsidRPr="00000000" w14:paraId="000005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p w:rsidR="00000000" w:rsidDel="00000000" w:rsidP="00000000" w:rsidRDefault="00000000" w:rsidRPr="00000000" w14:paraId="000005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p w:rsidR="00000000" w:rsidDel="00000000" w:rsidP="00000000" w:rsidRDefault="00000000" w:rsidRPr="00000000" w14:paraId="000005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5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4" w:val="single"/>
            </w:tcBorders>
          </w:tcPr>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Joint-Managed</w:t>
            </w:r>
          </w:p>
        </w:tc>
        <w:tc>
          <w:tcPr>
            <w:tcBorders>
              <w:bottom w:color="000000" w:space="0" w:sz="4" w:val="single"/>
            </w:tcBorders>
          </w:tcPr>
          <w:p w:rsidR="00000000" w:rsidDel="00000000" w:rsidP="00000000" w:rsidRDefault="00000000" w:rsidRPr="00000000" w14:paraId="000005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w:t>
            </w:r>
          </w:p>
        </w:tc>
        <w:tc>
          <w:tcPr>
            <w:tcBorders>
              <w:bottom w:color="000000" w:space="0" w:sz="4" w:val="single"/>
            </w:tcBorders>
          </w:tcPr>
          <w:p w:rsidR="00000000" w:rsidDel="00000000" w:rsidP="00000000" w:rsidRDefault="00000000" w:rsidRPr="00000000" w14:paraId="000005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bottom w:color="000000" w:space="0" w:sz="4" w:val="single"/>
            </w:tcBorders>
          </w:tcPr>
          <w:p w:rsidR="00000000" w:rsidDel="00000000" w:rsidP="00000000" w:rsidRDefault="00000000" w:rsidRPr="00000000" w14:paraId="000005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bottom w:color="000000" w:space="0" w:sz="4" w:val="single"/>
            </w:tcBorders>
          </w:tcPr>
          <w:p w:rsidR="00000000" w:rsidDel="00000000" w:rsidP="00000000" w:rsidRDefault="00000000" w:rsidRPr="00000000" w14:paraId="000005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tcBorders>
              <w:bottom w:color="000000" w:space="0" w:sz="4" w:val="single"/>
            </w:tcBorders>
          </w:tcPr>
          <w:p w:rsidR="00000000" w:rsidDel="00000000" w:rsidP="00000000" w:rsidRDefault="00000000" w:rsidRPr="00000000" w14:paraId="000005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-0.133</w:t>
            </w:r>
          </w:p>
        </w:tc>
        <w:tc>
          <w:tcPr>
            <w:tcBorders>
              <w:bottom w:color="000000" w:space="0" w:sz="4" w:val="single"/>
            </w:tcBorders>
          </w:tcPr>
          <w:p w:rsidR="00000000" w:rsidDel="00000000" w:rsidP="00000000" w:rsidRDefault="00000000" w:rsidRPr="00000000" w14:paraId="000005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0.054</w:t>
            </w:r>
          </w:p>
        </w:tc>
      </w:tr>
      <w:tr>
        <w:trPr>
          <w:cantSplit w:val="0"/>
          <w:trHeight w:val="288" w:hRule="atLeast"/>
          <w:tblHeader w:val="0"/>
        </w:trPr>
        <w:tc>
          <w:tcPr>
            <w:gridSpan w:val="9"/>
          </w:tcPr>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w:t>
            </w:r>
          </w:p>
        </w:tc>
      </w:tr>
    </w:tbl>
    <w:p w:rsidR="00000000" w:rsidDel="00000000" w:rsidP="00000000" w:rsidRDefault="00000000" w:rsidRPr="00000000" w14:paraId="000006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9"/>
        <w:tblW w:w="787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00"/>
        <w:gridCol w:w="785"/>
        <w:gridCol w:w="761"/>
        <w:gridCol w:w="785"/>
        <w:gridCol w:w="761"/>
        <w:gridCol w:w="1315"/>
        <w:gridCol w:w="765"/>
        <w:tblGridChange w:id="0">
          <w:tblGrid>
            <w:gridCol w:w="2700"/>
            <w:gridCol w:w="785"/>
            <w:gridCol w:w="761"/>
            <w:gridCol w:w="785"/>
            <w:gridCol w:w="761"/>
            <w:gridCol w:w="1315"/>
            <w:gridCol w:w="765"/>
          </w:tblGrid>
        </w:tblGridChange>
      </w:tblGrid>
      <w:tr>
        <w:trPr>
          <w:cantSplit w:val="0"/>
          <w:trHeight w:val="300" w:hRule="atLeast"/>
          <w:tblHeader w:val="0"/>
        </w:trPr>
        <w:tc>
          <w:tcPr>
            <w:gridSpan w:val="7"/>
            <w:tcBorders>
              <w:bottom w:color="000000" w:space="0" w:sz="4" w:val="single"/>
            </w:tcBorders>
            <w:vAlign w:val="bottom"/>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Spousal Differences in Reporting ICV Adoption</w:t>
            </w:r>
          </w:p>
        </w:tc>
      </w:tr>
      <w:tr>
        <w:trPr>
          <w:cantSplit w:val="0"/>
          <w:trHeight w:val="300" w:hRule="atLeast"/>
          <w:tblHeader w:val="0"/>
        </w:trPr>
        <w:tc>
          <w:tcPr>
            <w:vMerge w:val="restart"/>
            <w:tcBorders>
              <w:top w:color="000000" w:space="0" w:sz="4" w:val="single"/>
              <w:bottom w:color="000000" w:space="0" w:sz="4" w:val="single"/>
            </w:tcBorders>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4" w:val="single"/>
              <w:bottom w:color="000000" w:space="0" w:sz="4" w:val="single"/>
            </w:tcBorders>
            <w:vAlign w:val="bottom"/>
          </w:tcPr>
          <w:p w:rsidR="00000000" w:rsidDel="00000000" w:rsidP="00000000" w:rsidRDefault="00000000" w:rsidRPr="00000000" w14:paraId="000006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w:t>
            </w:r>
          </w:p>
        </w:tc>
        <w:tc>
          <w:tcPr>
            <w:gridSpan w:val="2"/>
            <w:tcBorders>
              <w:top w:color="000000" w:space="0" w:sz="4" w:val="single"/>
              <w:bottom w:color="000000" w:space="0" w:sz="4" w:val="single"/>
            </w:tcBorders>
            <w:vAlign w:val="bottom"/>
          </w:tcPr>
          <w:p w:rsidR="00000000" w:rsidDel="00000000" w:rsidP="00000000" w:rsidRDefault="00000000" w:rsidRPr="00000000" w14:paraId="000006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6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w:t>
            </w:r>
          </w:p>
        </w:tc>
        <w:tc>
          <w:tcPr>
            <w:vMerge w:val="restart"/>
            <w:tcBorders>
              <w:top w:color="000000" w:space="0" w:sz="4" w:val="single"/>
              <w:bottom w:color="000000" w:space="0" w:sz="4" w:val="single"/>
            </w:tcBorders>
            <w:vAlign w:val="bottom"/>
          </w:tcPr>
          <w:p w:rsidR="00000000" w:rsidDel="00000000" w:rsidP="00000000" w:rsidRDefault="00000000" w:rsidRPr="00000000" w14:paraId="000006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rHeight w:val="288" w:hRule="atLeast"/>
          <w:tblHeader w:val="0"/>
        </w:trPr>
        <w:tc>
          <w:tcPr>
            <w:vMerge w:val="continue"/>
            <w:tcBorders>
              <w:top w:color="000000" w:space="0" w:sz="4" w:val="single"/>
              <w:bottom w:color="000000" w:space="0" w:sz="4" w:val="single"/>
            </w:tcBorders>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6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vAlign w:val="bottom"/>
          </w:tcPr>
          <w:p w:rsidR="00000000" w:rsidDel="00000000" w:rsidP="00000000" w:rsidRDefault="00000000" w:rsidRPr="00000000" w14:paraId="000006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tcBorders>
              <w:top w:color="000000" w:space="0" w:sz="4" w:val="single"/>
              <w:bottom w:color="000000" w:space="0" w:sz="4" w:val="single"/>
            </w:tcBorders>
            <w:vAlign w:val="bottom"/>
          </w:tcPr>
          <w:p w:rsidR="00000000" w:rsidDel="00000000" w:rsidP="00000000" w:rsidRDefault="00000000" w:rsidRPr="00000000" w14:paraId="000006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vAlign w:val="bottom"/>
          </w:tcPr>
          <w:p w:rsidR="00000000" w:rsidDel="00000000" w:rsidP="00000000" w:rsidRDefault="00000000" w:rsidRPr="00000000" w14:paraId="000006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Merge w:val="continue"/>
            <w:tcBorders>
              <w:top w:color="000000" w:space="0" w:sz="4" w:val="single"/>
              <w:bottom w:color="000000" w:space="0" w:sz="4" w:val="single"/>
            </w:tcBorders>
            <w:vAlign w:val="bottom"/>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bottom w:color="000000" w:space="0" w:sz="4" w:val="single"/>
            </w:tcBorders>
            <w:vAlign w:val="bottom"/>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56" w:hRule="atLeast"/>
          <w:tblHeader w:val="0"/>
        </w:trPr>
        <w:tc>
          <w:tcPr>
            <w:tcBorders>
              <w:top w:color="000000" w:space="0" w:sz="4" w:val="single"/>
            </w:tcBorders>
          </w:tcPr>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planted ICV (individual)</w:t>
            </w:r>
          </w:p>
        </w:tc>
        <w:tc>
          <w:tcPr>
            <w:tcBorders>
              <w:top w:color="000000" w:space="0" w:sz="4" w:val="single"/>
            </w:tcBorders>
          </w:tcPr>
          <w:p w:rsidR="00000000" w:rsidDel="00000000" w:rsidP="00000000" w:rsidRDefault="00000000" w:rsidRPr="00000000" w14:paraId="000006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tcBorders>
              <w:top w:color="000000" w:space="0" w:sz="4" w:val="single"/>
            </w:tcBorders>
          </w:tcPr>
          <w:p w:rsidR="00000000" w:rsidDel="00000000" w:rsidP="00000000" w:rsidRDefault="00000000" w:rsidRPr="00000000" w14:paraId="000006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0.485</w:t>
            </w:r>
          </w:p>
        </w:tc>
        <w:tc>
          <w:tcPr>
            <w:tcBorders>
              <w:top w:color="000000" w:space="0" w:sz="4" w:val="single"/>
            </w:tcBorders>
          </w:tcPr>
          <w:p w:rsidR="00000000" w:rsidDel="00000000" w:rsidP="00000000" w:rsidRDefault="00000000" w:rsidRPr="00000000" w14:paraId="000006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w:t>
            </w:r>
          </w:p>
        </w:tc>
        <w:tc>
          <w:tcPr>
            <w:tcBorders>
              <w:top w:color="000000" w:space="0" w:sz="4" w:val="single"/>
            </w:tcBorders>
          </w:tcPr>
          <w:p w:rsidR="00000000" w:rsidDel="00000000" w:rsidP="00000000" w:rsidRDefault="00000000" w:rsidRPr="00000000" w14:paraId="000006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0.494</w:t>
            </w:r>
          </w:p>
        </w:tc>
        <w:tc>
          <w:tcPr>
            <w:tcBorders>
              <w:top w:color="000000" w:space="0" w:sz="4" w:val="single"/>
            </w:tcBorders>
          </w:tcPr>
          <w:p w:rsidR="00000000" w:rsidDel="00000000" w:rsidP="00000000" w:rsidRDefault="00000000" w:rsidRPr="00000000" w14:paraId="000006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tcBorders>
              <w:top w:color="000000" w:space="0" w:sz="4" w:val="single"/>
            </w:tcBorders>
          </w:tcPr>
          <w:p w:rsidR="00000000" w:rsidDel="00000000" w:rsidP="00000000" w:rsidRDefault="00000000" w:rsidRPr="00000000" w14:paraId="000006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w:t>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ICV is currently growing on any plot (household)</w:t>
            </w:r>
          </w:p>
        </w:tc>
        <w:tc>
          <w:tcPr>
            <w:tcBorders>
              <w:bottom w:color="000000" w:space="0" w:sz="4" w:val="single"/>
            </w:tcBorders>
          </w:tcPr>
          <w:p w:rsidR="00000000" w:rsidDel="00000000" w:rsidP="00000000" w:rsidRDefault="00000000" w:rsidRPr="00000000" w14:paraId="000006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tcBorders>
              <w:bottom w:color="000000" w:space="0" w:sz="4" w:val="single"/>
            </w:tcBorders>
          </w:tcPr>
          <w:p w:rsidR="00000000" w:rsidDel="00000000" w:rsidP="00000000" w:rsidRDefault="00000000" w:rsidRPr="00000000" w14:paraId="000006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0.482</w:t>
            </w:r>
          </w:p>
        </w:tc>
        <w:tc>
          <w:tcPr>
            <w:tcBorders>
              <w:bottom w:color="000000" w:space="0" w:sz="4" w:val="single"/>
            </w:tcBorders>
          </w:tcPr>
          <w:p w:rsidR="00000000" w:rsidDel="00000000" w:rsidP="00000000" w:rsidRDefault="00000000" w:rsidRPr="00000000" w14:paraId="000006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w:t>
            </w:r>
          </w:p>
        </w:tc>
        <w:tc>
          <w:tcPr>
            <w:tcBorders>
              <w:bottom w:color="000000" w:space="0" w:sz="4" w:val="single"/>
            </w:tcBorders>
          </w:tcPr>
          <w:p w:rsidR="00000000" w:rsidDel="00000000" w:rsidP="00000000" w:rsidRDefault="00000000" w:rsidRPr="00000000" w14:paraId="000006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0.497</w:t>
            </w:r>
          </w:p>
        </w:tc>
        <w:tc>
          <w:tcPr>
            <w:tcBorders>
              <w:bottom w:color="000000" w:space="0" w:sz="4" w:val="single"/>
            </w:tcBorders>
          </w:tcPr>
          <w:p w:rsidR="00000000" w:rsidDel="00000000" w:rsidP="00000000" w:rsidRDefault="00000000" w:rsidRPr="00000000" w14:paraId="000006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tcBorders>
              <w:bottom w:color="000000" w:space="0" w:sz="4" w:val="single"/>
            </w:tcBorders>
          </w:tcPr>
          <w:p w:rsidR="00000000" w:rsidDel="00000000" w:rsidP="00000000" w:rsidRDefault="00000000" w:rsidRPr="00000000" w14:paraId="000006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rHeight w:val="288" w:hRule="atLeast"/>
          <w:tblHeader w:val="0"/>
        </w:trPr>
        <w:tc>
          <w:tcPr>
            <w:gridSpan w:val="7"/>
            <w:tcBorders>
              <w:top w:color="000000" w:space="0" w:sz="4" w:val="single"/>
            </w:tcBorders>
          </w:tcPr>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&lt; .001; ** p &lt; .01; *p &lt; .05; (-) = wife &gt; husband; 0=no, 1=yes</w:t>
            </w:r>
          </w:p>
        </w:tc>
      </w:tr>
    </w:tbl>
    <w:p w:rsidR="00000000" w:rsidDel="00000000" w:rsidP="00000000" w:rsidRDefault="00000000" w:rsidRPr="00000000" w14:paraId="00000630">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uthor" w:id="0" w:date="2022-07-28T13:10:28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Gender differences in the adoption of new technologies, such as improved varieties, are often referenced as a source of the agricultural productivity gaps. However, standard surveys ask one respondent per household about agricultural production for the entire house, rather than follow best practice of surveying the plot manager.</w:t>
      </w:r>
    </w:p>
  </w:comment>
  <w:comment w:author="Author" w:id="1" w:date="2022-07-28T13:10:28Z">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response, this paper compares responses from husbands and wives of the same household regarding assets and resources related to ICV adoption, the gendered ownership or access of those resources, as well as plot management and ICV adoption itself. This paper seeks to answer the following questions: are there spousal differences in the reporting of assets and practices related to ICV adoption? How does that reporting differ relate to intrahousehold gendered ownership or access of that resource? And, what differences are there in reporting ICV adoption?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633" w15:done="0"/>
  <w15:commentEx w15:paraId="000006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Additional analysis reviewed intrahousehold differences in reporting on specific household assets. In evaluating gendered owned assets, such as jewelry and dishes, we see significant differences in reporting whether the household owns those assets, with husbands reporting yes more than wives in terms of dishes, but wives reporting ownership more so than husbands. For dishes, however, husbands and wives report significant differences for all measurements except for the Naira value of the dishes owned by husbands, with wives reporting more than their husbands except for whether dishes are owned, and the number of dishes owned by men with husbands reporting more. While it would be expected that wives would be of different knowledge about the jewelry owned by the household than husbands, no other measurements differ significantly. Further, husbands reported more jewelry owned for all measurements except for those specific to men’s ownership of jewelry within the household. For bicycles, there were significant differences between spouses with husbands reporting more than wives on whether the household owned a bike, the number of bikes in the household, the value of the bikes owned by the household and by men, as well as the value of a bike. There were not significant differences in reporting the number of bikes owned by women or the value of the bikes they owned. On the other hand, there are no differences between husbands and wives on reporting the number of motorcycles, a more public and larger asset, which tend to be owned by men.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E632E"/>
    <w:pPr>
      <w:ind w:left="720"/>
      <w:contextualSpacing w:val="1"/>
    </w:pPr>
  </w:style>
  <w:style w:type="character" w:styleId="CommentReference">
    <w:name w:val="annotation reference"/>
    <w:basedOn w:val="DefaultParagraphFont"/>
    <w:uiPriority w:val="99"/>
    <w:semiHidden w:val="1"/>
    <w:unhideWhenUsed w:val="1"/>
    <w:rsid w:val="005E632E"/>
    <w:rPr>
      <w:sz w:val="16"/>
      <w:szCs w:val="16"/>
    </w:rPr>
  </w:style>
  <w:style w:type="paragraph" w:styleId="CommentText">
    <w:name w:val="annotation text"/>
    <w:basedOn w:val="Normal"/>
    <w:link w:val="CommentTextChar"/>
    <w:uiPriority w:val="99"/>
    <w:unhideWhenUsed w:val="1"/>
    <w:rsid w:val="005E632E"/>
    <w:pPr>
      <w:spacing w:after="0" w:line="240" w:lineRule="auto"/>
    </w:pPr>
    <w:rPr>
      <w:rFonts w:ascii="Times New Roman" w:cs="Times New Roman" w:eastAsia="Times New Roman" w:hAnsi="Times New Roman"/>
      <w:sz w:val="20"/>
      <w:szCs w:val="20"/>
    </w:rPr>
  </w:style>
  <w:style w:type="character" w:styleId="CommentTextChar" w:customStyle="1">
    <w:name w:val="Comment Text Char"/>
    <w:basedOn w:val="DefaultParagraphFont"/>
    <w:link w:val="CommentText"/>
    <w:uiPriority w:val="99"/>
    <w:rsid w:val="005E632E"/>
    <w:rPr>
      <w:rFonts w:ascii="Times New Roman" w:cs="Times New Roman" w:eastAsia="Times New Roman" w:hAnsi="Times New Roman"/>
      <w:sz w:val="20"/>
      <w:szCs w:val="20"/>
    </w:rPr>
  </w:style>
  <w:style w:type="paragraph" w:styleId="BalloonText">
    <w:name w:val="Balloon Text"/>
    <w:basedOn w:val="Normal"/>
    <w:link w:val="BalloonTextChar"/>
    <w:uiPriority w:val="99"/>
    <w:semiHidden w:val="1"/>
    <w:unhideWhenUsed w:val="1"/>
    <w:rsid w:val="005E63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632E"/>
    <w:rPr>
      <w:rFonts w:ascii="Segoe UI" w:cs="Segoe UI" w:hAnsi="Segoe UI"/>
      <w:sz w:val="18"/>
      <w:szCs w:val="18"/>
    </w:rPr>
  </w:style>
  <w:style w:type="paragraph" w:styleId="Bibliography">
    <w:name w:val="Bibliography"/>
    <w:basedOn w:val="Normal"/>
    <w:next w:val="Normal"/>
    <w:uiPriority w:val="37"/>
    <w:unhideWhenUsed w:val="1"/>
    <w:rsid w:val="000F4F49"/>
    <w:pPr>
      <w:spacing w:after="0" w:line="240" w:lineRule="auto"/>
      <w:ind w:left="720" w:hanging="720"/>
    </w:pPr>
  </w:style>
  <w:style w:type="paragraph" w:styleId="CommentSubject">
    <w:name w:val="annotation subject"/>
    <w:basedOn w:val="CommentText"/>
    <w:next w:val="CommentText"/>
    <w:link w:val="CommentSubjectChar"/>
    <w:uiPriority w:val="99"/>
    <w:semiHidden w:val="1"/>
    <w:unhideWhenUsed w:val="1"/>
    <w:rsid w:val="00C144B8"/>
    <w:pPr>
      <w:spacing w:after="160"/>
    </w:pPr>
    <w:rPr>
      <w:rFonts w:asciiTheme="minorHAnsi" w:cstheme="minorBidi" w:eastAsiaTheme="minorHAnsi" w:hAnsiTheme="minorHAnsi"/>
      <w:b w:val="1"/>
      <w:bCs w:val="1"/>
    </w:rPr>
  </w:style>
  <w:style w:type="character" w:styleId="CommentSubjectChar" w:customStyle="1">
    <w:name w:val="Comment Subject Char"/>
    <w:basedOn w:val="CommentTextChar"/>
    <w:link w:val="CommentSubject"/>
    <w:uiPriority w:val="99"/>
    <w:semiHidden w:val="1"/>
    <w:rsid w:val="00C144B8"/>
    <w:rPr>
      <w:rFonts w:ascii="Times New Roman" w:cs="Times New Roman" w:eastAsia="Times New Roman" w:hAnsi="Times New Roman"/>
      <w:b w:val="1"/>
      <w:bCs w:val="1"/>
      <w:sz w:val="20"/>
      <w:szCs w:val="20"/>
    </w:rPr>
  </w:style>
  <w:style w:type="table" w:styleId="TableGrid">
    <w:name w:val="Table Grid"/>
    <w:basedOn w:val="TableNormal"/>
    <w:uiPriority w:val="39"/>
    <w:rsid w:val="00C02C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B96AF4"/>
    <w:rPr>
      <w:color w:val="0563c1" w:themeColor="hyperlink"/>
      <w:u w:val="single"/>
    </w:rPr>
  </w:style>
  <w:style w:type="character" w:styleId="UnresolvedMention">
    <w:name w:val="Unresolved Mention"/>
    <w:basedOn w:val="DefaultParagraphFont"/>
    <w:uiPriority w:val="99"/>
    <w:semiHidden w:val="1"/>
    <w:unhideWhenUsed w:val="1"/>
    <w:rsid w:val="00B96AF4"/>
    <w:rPr>
      <w:color w:val="605e5c"/>
      <w:shd w:color="auto" w:fill="e1dfdd" w:val="clear"/>
    </w:rPr>
  </w:style>
  <w:style w:type="paragraph" w:styleId="NormalWeb">
    <w:name w:val="Normal (Web)"/>
    <w:basedOn w:val="Normal"/>
    <w:uiPriority w:val="99"/>
    <w:semiHidden w:val="1"/>
    <w:unhideWhenUsed w:val="1"/>
    <w:rsid w:val="00826EA6"/>
    <w:pPr>
      <w:spacing w:after="100" w:afterAutospacing="1" w:before="100" w:beforeAutospacing="1" w:line="240" w:lineRule="auto"/>
    </w:pPr>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2310B0"/>
    <w:rPr>
      <w:color w:val="954f72" w:themeColor="followedHyperlink"/>
      <w:u w:val="single"/>
    </w:rPr>
  </w:style>
  <w:style w:type="paragraph" w:styleId="FootnoteText">
    <w:name w:val="footnote text"/>
    <w:basedOn w:val="Normal"/>
    <w:link w:val="FootnoteTextChar"/>
    <w:uiPriority w:val="99"/>
    <w:semiHidden w:val="1"/>
    <w:unhideWhenUsed w:val="1"/>
    <w:rsid w:val="007C454B"/>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C454B"/>
    <w:rPr>
      <w:sz w:val="20"/>
      <w:szCs w:val="20"/>
    </w:rPr>
  </w:style>
  <w:style w:type="character" w:styleId="FootnoteReference">
    <w:name w:val="footnote reference"/>
    <w:basedOn w:val="DefaultParagraphFont"/>
    <w:uiPriority w:val="99"/>
    <w:semiHidden w:val="1"/>
    <w:unhideWhenUsed w:val="1"/>
    <w:rsid w:val="007C454B"/>
    <w:rPr>
      <w:vertAlign w:val="superscript"/>
    </w:rPr>
  </w:style>
  <w:style w:type="character" w:styleId="LineNumber">
    <w:name w:val="line number"/>
    <w:basedOn w:val="DefaultParagraphFont"/>
    <w:uiPriority w:val="99"/>
    <w:semiHidden w:val="1"/>
    <w:unhideWhenUsed w:val="1"/>
    <w:rsid w:val="00B53528"/>
  </w:style>
  <w:style w:type="character" w:styleId="orcid-id-https" w:customStyle="1">
    <w:name w:val="orcid-id-https"/>
    <w:basedOn w:val="DefaultParagraphFont"/>
    <w:rsid w:val="00712B72"/>
  </w:style>
  <w:style w:type="paragraph" w:styleId="Header">
    <w:name w:val="header"/>
    <w:basedOn w:val="Normal"/>
    <w:link w:val="HeaderChar"/>
    <w:uiPriority w:val="99"/>
    <w:unhideWhenUsed w:val="1"/>
    <w:rsid w:val="00413F0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3F07"/>
  </w:style>
  <w:style w:type="paragraph" w:styleId="Footer">
    <w:name w:val="footer"/>
    <w:basedOn w:val="Normal"/>
    <w:link w:val="FooterChar"/>
    <w:uiPriority w:val="99"/>
    <w:unhideWhenUsed w:val="1"/>
    <w:rsid w:val="00413F0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3F0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oCeReP6OYDzBlgM3+KDNJIBGg==">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2022-05-16T18:48:00Z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id="NT7Ao01Y"/&gt;&lt;style id="http://www.zotero.org/styles/feminist-economics" hasBibliography="1" bibliographyStyleHasBeenSet="1"/&gt;&lt;prefs&gt;&lt;pref name="fieldType" value="Field"/&gt;&lt;/prefs&gt;&lt;/data&gt;</vt:lpwstr>
  </property>
</Properties>
</file>