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C2340"/>
          <w:sz w:val="44"/>
        </w:rPr>
        <w:t>DOCUMENTO TÉCNICO DE ARQUITECTURA E IMPLEMENTACIÓN</w:t>
      </w:r>
    </w:p>
    <w:p>
      <w:pPr>
        <w:spacing w:before="0" w:after="240"/>
      </w:pPr>
      <w:r>
        <w:rPr>
          <w:b/>
          <w:color w:val="0C70F2"/>
          <w:sz w:val="28"/>
        </w:rPr>
        <w:t>MVP: Asistente Virtual Conversacional On-Device «Emprende ISTG»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 xml:space="preserve">Plataforma: </w:t>
            </w:r>
            <w:r>
              <w:rPr>
                <w:color w:val="2D3748"/>
              </w:rPr>
              <w:t>Android (Kotlin 1.9 + Jetpack Compose)</w:t>
            </w:r>
          </w:p>
        </w:tc>
        <w:tc>
          <w:tcPr>
            <w:tcW w:type="dxa" w:w="468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 xml:space="preserve">Asignatura: </w:t>
            </w:r>
            <w:r>
              <w:rPr>
                <w:color w:val="2D3748"/>
              </w:rPr>
              <w:t>Programación Móvil - ISTG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 xml:space="preserve">Enfoque: </w:t>
            </w:r>
            <w:r>
              <w:rPr>
                <w:color w:val="2D3748"/>
              </w:rPr>
              <w:t>100% On-Device / Edge AI (Offline)</w:t>
            </w:r>
          </w:p>
        </w:tc>
        <w:tc>
          <w:tcPr>
            <w:tcW w:type="dxa" w:w="468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 xml:space="preserve">Repositorio: </w:t>
            </w:r>
            <w:r>
              <w:rPr>
                <w:color w:val="2D3748"/>
              </w:rPr>
              <w:t>japuero-istg/Chatbot_Istg</w:t>
            </w:r>
          </w:p>
        </w:tc>
      </w:tr>
    </w:tbl>
    <w:p>
      <w:pPr>
        <w:spacing w:after="240"/>
      </w:pPr>
    </w:p>
    <w:p>
      <w:pPr>
        <w:spacing w:after="240"/>
        <w:pBdr>
          <w:bottom w:val="single" w:sz="12" w:space="1" w:color="0C2340"/>
        </w:pBdr>
      </w:pPr>
    </w:p>
    <w:p>
      <w:pPr>
        <w:keepNext/>
        <w:spacing w:before="360" w:after="120"/>
      </w:pPr>
      <w:r>
        <w:rPr>
          <w:rFonts w:ascii="Calibri Light" w:hAnsi="Calibri Light"/>
          <w:b/>
          <w:color w:val="0C2340"/>
          <w:sz w:val="36"/>
        </w:rPr>
        <w:t>1. Resumen Ejecutivo y Objetivos del Sistema</w:t>
      </w:r>
    </w:p>
    <w:p>
      <w:pPr>
        <w:spacing w:after="160" w:line="276" w:lineRule="auto"/>
      </w:pPr>
      <w:r>
        <w:rPr>
          <w:color w:val="2D3748"/>
        </w:rPr>
        <w:t xml:space="preserve">El proyecto </w:t>
      </w:r>
      <w:r>
        <w:rPr>
          <w:b/>
        </w:rPr>
        <w:t>Emprende ISTG ChatBot</w:t>
      </w:r>
      <w:r>
        <w:t xml:space="preserve"> surge como respuesta a la necesidad crítica de brindar soporte instantáneo, preciso y accesible a los estudiantes y emprendedores del Instituto Superior Tecnológico Guayaquil (ISTG). La plataforma móvil abarca múltiples operaciones como el registro de usuarios, publicación de catálogo de productos/servicios, búsqueda geolocalizada, gestión de favoritos, calificaciones y promociones. El canal tradicional de soporte mediante manuales extensos o mesa de ayuda resulta lento e ineficiente para el ritmo académico y comercial actual.</w:t>
      </w:r>
    </w:p>
    <w:p>
      <w:pPr>
        <w:keepNext/>
        <w:spacing w:before="280" w:after="80"/>
      </w:pPr>
      <w:r>
        <w:rPr>
          <w:rFonts w:ascii="Calibri" w:hAnsi="Calibri"/>
          <w:b/>
          <w:color w:val="0C70F2"/>
          <w:sz w:val="28"/>
        </w:rPr>
        <w:t>1.1 Propuesta de Valor y Características On-Device</w:t>
      </w:r>
    </w:p>
    <w:p>
      <w:pPr>
        <w:pStyle w:val="ListBullet"/>
        <w:spacing w:after="60" w:line="276" w:lineRule="auto"/>
      </w:pPr>
      <w:r>
        <w:rPr>
          <w:b/>
          <w:color w:val="0C2340"/>
        </w:rPr>
        <w:t xml:space="preserve">Ejecución 100% Local (Edge AI): </w:t>
      </w:r>
      <w:r>
        <w:rPr>
          <w:color w:val="2D3748"/>
        </w:rPr>
        <w:t>Toda la inferencia conversacional y la búsqueda vectorial se realizan directamente en el procesador del smartphone. No existe dependencia de conexión a Internet ni servidores en la nube tras la instalación inicial del modelo.</w:t>
      </w:r>
    </w:p>
    <w:p>
      <w:pPr>
        <w:pStyle w:val="ListBullet"/>
        <w:spacing w:after="60" w:line="276" w:lineRule="auto"/>
      </w:pPr>
      <w:r>
        <w:rPr>
          <w:b/>
          <w:color w:val="0C2340"/>
        </w:rPr>
        <w:t xml:space="preserve">Privacidad y Seguridad Garantizada: </w:t>
      </w:r>
      <w:r>
        <w:rPr>
          <w:color w:val="2D3748"/>
        </w:rPr>
        <w:t>Las consultas y datos del usuario jamás abandonan el dispositivo, cumpliendo con los más estrictos estándares de privacidad.</w:t>
      </w:r>
    </w:p>
    <w:p>
      <w:pPr>
        <w:pStyle w:val="ListBullet"/>
        <w:spacing w:after="60" w:line="276" w:lineRule="auto"/>
      </w:pPr>
      <w:r>
        <w:rPr>
          <w:b/>
          <w:color w:val="0C2340"/>
        </w:rPr>
        <w:t xml:space="preserve">Cero Costo Operativo de Servidor: </w:t>
      </w:r>
      <w:r>
        <w:rPr>
          <w:color w:val="2D3748"/>
        </w:rPr>
        <w:t>Al prescindir de APIs de pago en la nube (como OpenAI o Gemini Cloud API), la solución escala de forma gratuita infinitamente, distribuyéndose simplemente como un archivo APK ejecutable.</w:t>
      </w:r>
    </w:p>
    <w:p>
      <w:pPr>
        <w:pStyle w:val="ListBullet"/>
        <w:spacing w:after="60" w:line="276" w:lineRule="auto"/>
      </w:pPr>
      <w:r>
        <w:rPr>
          <w:b/>
          <w:color w:val="0C2340"/>
        </w:rPr>
        <w:t xml:space="preserve">Herramienta de Administración Incluida: </w:t>
      </w:r>
      <w:r>
        <w:rPr>
          <w:color w:val="2D3748"/>
        </w:rPr>
        <w:t>Se integra una suite Web-Admin basada en Node.js/Express para la edición, validación y mantenimiento del FAQ sin necesidad de modificar el código fuente de la app.</w:t>
      </w:r>
    </w:p>
    <w:p>
      <w:pPr>
        <w:keepNext/>
        <w:spacing w:before="280" w:after="80"/>
      </w:pPr>
      <w:r>
        <w:rPr>
          <w:rFonts w:ascii="Calibri" w:hAnsi="Calibri"/>
          <w:b/>
          <w:color w:val="0C70F2"/>
          <w:sz w:val="28"/>
        </w:rPr>
        <w:t>1.2 Indicadores Clave de Rendimiento (KPIs)</w:t>
      </w:r>
    </w:p>
    <w:p>
      <w:pPr>
        <w:spacing w:after="120"/>
      </w:pPr>
      <w:r>
        <w:t>A continuación se detallan los objetivos cuantitativos establecidos para validar el MVP: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C2340"/>
          </w:tcPr>
          <w:p>
            <w:r>
              <w:rPr>
                <w:b/>
                <w:color w:val="FFFFFF"/>
              </w:rPr>
              <w:t>Indicador Clave (KPI)</w:t>
            </w:r>
          </w:p>
        </w:tc>
        <w:tc>
          <w:tcPr>
            <w:tcW w:type="dxa" w:w="3120"/>
            <w:shd w:fill="0C2340"/>
          </w:tcPr>
          <w:p>
            <w:r>
              <w:rPr>
                <w:b/>
                <w:color w:val="FFFFFF"/>
              </w:rPr>
              <w:t>Definición Técnica</w:t>
            </w:r>
          </w:p>
        </w:tc>
        <w:tc>
          <w:tcPr>
            <w:tcW w:type="dxa" w:w="3120"/>
            <w:shd w:fill="0C2340"/>
          </w:tcPr>
          <w:p>
            <w:r>
              <w:rPr>
                <w:b/>
                <w:color w:val="FFFFFF"/>
              </w:rPr>
              <w:t>Meta MVP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Tasa de Respuesta Útil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Respuestas válidas que aportan valor (no ecos ni fallbacks vacíos)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C70F2"/>
              </w:rPr>
              <w:t>≥ 85%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Latencia p95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Tiempo transcurrido desde clic 'Enviar' hasta renderizado completo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C70F2"/>
              </w:rPr>
              <w:t>≤ 4.0 s (Redmi Note 11)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Cobertura de Intención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Tasa de coincidencia exitosa en Alias / Keywords / Semántica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C70F2"/>
              </w:rPr>
              <w:t>≥ 80%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Crash-Free Sessions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Porcentaje de sesiones continuas sin excepciones no controladas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C70F2"/>
              </w:rPr>
              <w:t>≥ 99.0%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Precisión Web-Admin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Tasa de pruebas e2e automatizadas con resultado exitoso (Playwright)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C70F2"/>
              </w:rPr>
              <w:t>4/4 (100%)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 Light" w:hAnsi="Calibri Light"/>
          <w:b/>
          <w:color w:val="0C2340"/>
          <w:sz w:val="36"/>
        </w:rPr>
        <w:t>2. Arquitectura del Sistema y Pipeline en Cascada</w:t>
      </w:r>
    </w:p>
    <w:p>
      <w:pPr>
        <w:spacing w:after="160" w:line="276" w:lineRule="auto"/>
      </w:pPr>
      <w:r>
        <w:rPr>
          <w:color w:val="2D3748"/>
        </w:rPr>
        <w:t xml:space="preserve">Para garantizar respuestas inmediatas y evitar las alucinaciones habituales de los modelos de lenguaje pequeños (SLMs), el sistema implementa una </w:t>
      </w:r>
      <w:r>
        <w:rPr>
          <w:b/>
        </w:rPr>
        <w:t>Arquitectura RAG (Retrieval-Augmented Generation) Híbrida en 7 Capas (Capa 0 a Capa 6)</w:t>
      </w:r>
      <w:r>
        <w:t>. Esta estructura en cascada filtra la consulta de forma progresiva desde el método más rápido y determinístico hasta el razonamiento sintáctico del LLM.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C70F2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  <w:color w:val="0C2340"/>
                <w:sz w:val="22"/>
              </w:rPr>
              <w:t>📌 Mecanismo de Salvaguarda y Fast-Path</w:t>
              <w:br/>
            </w:r>
            <w:r>
              <w:rPr>
                <w:color w:val="2D3748"/>
                <w:sz w:val="21"/>
              </w:rPr>
              <w:t>Si una capa de alta confianza (Alias o Keywords exactas) resuelve la pregunta, el sistema ejecuta un 'fast-path' que entrega la respuesta oficial directamente o restringe el prompt del LLM. Esto reduce la latencia de 4 segundos a menos de 100ms.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C70F2"/>
          <w:sz w:val="28"/>
        </w:rPr>
        <w:t>2.1 Desglose Detallado de las 7 Capas de Procesamiento</w:t>
      </w:r>
    </w:p>
    <w:p>
      <w:pPr>
        <w:pStyle w:val="ListBullet"/>
        <w:spacing w:after="60" w:line="276" w:lineRule="auto"/>
      </w:pPr>
      <w:r>
        <w:rPr>
          <w:b/>
          <w:color w:val="0C2340"/>
        </w:rPr>
        <w:t xml:space="preserve">Capa 0: Clasificación e Higienización de Entrada (InputClassifier.kt): </w:t>
      </w:r>
      <w:r>
        <w:rPr>
          <w:color w:val="2D3748"/>
        </w:rPr>
        <w:t>Normaliza el texto eliminando diacríticos, caracteres especiales y mayúsculas. Detecta de forma determinística saludos, agradecimientos, despedidas o entradas vacías, entregando respuestas inmediatas sin invocar cómputo pesado.</w:t>
      </w:r>
    </w:p>
    <w:p>
      <w:pPr>
        <w:pStyle w:val="ListBullet"/>
        <w:spacing w:after="60" w:line="276" w:lineRule="auto"/>
      </w:pPr>
      <w:r>
        <w:rPr>
          <w:b/>
          <w:color w:val="0C2340"/>
        </w:rPr>
        <w:t xml:space="preserve">Capa 1: Coincidencia Exacta por Alias (FaqAliasRepository.kt): </w:t>
      </w:r>
      <w:r>
        <w:rPr>
          <w:color w:val="2D3748"/>
        </w:rPr>
        <w:t>Evalúa mapeos de frases literales precalculadas (60 bloques de alias). Si existe match perfecto, asigna un puntaje de confianza máximo (score 10f).</w:t>
      </w:r>
    </w:p>
    <w:p>
      <w:pPr>
        <w:pStyle w:val="ListBullet"/>
        <w:spacing w:after="60" w:line="276" w:lineRule="auto"/>
      </w:pPr>
      <w:r>
        <w:rPr>
          <w:b/>
          <w:color w:val="0C2340"/>
        </w:rPr>
        <w:t xml:space="preserve">Capa 2: Búsqueda Lexicográfica por Palabras Clave (FaqRetriever.kt): </w:t>
      </w:r>
      <w:r>
        <w:rPr>
          <w:color w:val="2D3748"/>
        </w:rPr>
        <w:t>Filtra palabras vacías (stopwords) y realiza un cruce de frecuencias sobre las 'keywords' y grupos de sinónimos definidos en faq.json.</w:t>
      </w:r>
    </w:p>
    <w:p>
      <w:pPr>
        <w:pStyle w:val="ListBullet"/>
        <w:spacing w:after="60" w:line="276" w:lineRule="auto"/>
      </w:pPr>
      <w:r>
        <w:rPr>
          <w:b/>
          <w:color w:val="0C2340"/>
        </w:rPr>
        <w:t xml:space="preserve">Capa 3: Recuperación Semántica mediante Embeddings (SemanticRetriever.kt): </w:t>
      </w:r>
      <w:r>
        <w:rPr>
          <w:color w:val="2D3748"/>
        </w:rPr>
        <w:t>En caso de no obtener coincidencias léxicas, utiliza el modelo Universal Sentence Encoder (.tflite) para generar vectores de 512 dimensiones y calcular la similitud coseno (umbral mínimo = 0.35).</w:t>
      </w:r>
    </w:p>
    <w:p>
      <w:pPr>
        <w:pStyle w:val="ListBullet"/>
        <w:spacing w:after="60" w:line="276" w:lineRule="auto"/>
      </w:pPr>
      <w:r>
        <w:rPr>
          <w:b/>
          <w:color w:val="0C2340"/>
        </w:rPr>
        <w:t xml:space="preserve">Capa 4: Respuesta Guiada por Secciones (ChatViewModel.kt): </w:t>
      </w:r>
      <w:r>
        <w:rPr>
          <w:color w:val="2D3748"/>
        </w:rPr>
        <w:t>Si el nivel de similitud es insuficiente, el sistema no inventa información; en su lugar, construye una respuesta estructurada listando las 13 categorías reales disponibles para orientar al usuario.</w:t>
      </w:r>
    </w:p>
    <w:p>
      <w:pPr>
        <w:pStyle w:val="ListBullet"/>
        <w:spacing w:after="60" w:line="276" w:lineRule="auto"/>
      </w:pPr>
      <w:r>
        <w:rPr>
          <w:b/>
          <w:color w:val="0C2340"/>
        </w:rPr>
        <w:t xml:space="preserve">Capa 5: Generación de Lenguaje RAG On-Device (LlmEngine.kt + Gemma 3 270M): </w:t>
      </w:r>
      <w:r>
        <w:rPr>
          <w:color w:val="2D3748"/>
        </w:rPr>
        <w:t>Sintetiza el contexto recuperado mediante un prompt estricto configurado en PromptBuilder.kt. Genera una respuesta fluida, limitada a un máximo de 2 oraciones, garantizando fidelidad total.</w:t>
      </w:r>
    </w:p>
    <w:p>
      <w:pPr>
        <w:pStyle w:val="ListBullet"/>
        <w:spacing w:after="60" w:line="276" w:lineRule="auto"/>
      </w:pPr>
      <w:r>
        <w:rPr>
          <w:b/>
          <w:color w:val="0C2340"/>
        </w:rPr>
        <w:t xml:space="preserve">Capa 6: Respaldo de Calidad Determinístico (Quality Backstop): </w:t>
      </w:r>
      <w:r>
        <w:rPr>
          <w:color w:val="2D3748"/>
        </w:rPr>
        <w:t>Evalúa la salida del LLM. Si el modelo genera una respuesta vacía (rawChars=0), repite la pregunta (eco detectado por overlap de tokens) o cae en un bucle, la Capa 6 sustituye automáticamente el resultado por la respuesta oficial del FAQ.</w:t>
      </w:r>
    </w:p>
    <w:p>
      <w:pPr>
        <w:keepNext/>
        <w:spacing w:before="360" w:after="120"/>
      </w:pPr>
      <w:r>
        <w:rPr>
          <w:rFonts w:ascii="Calibri Light" w:hAnsi="Calibri Light"/>
          <w:b/>
          <w:color w:val="0C2340"/>
          <w:sz w:val="36"/>
        </w:rPr>
        <w:t>3. Diseño de Interfaz de Usuario (UI/UX) y Componentes</w:t>
      </w:r>
    </w:p>
    <w:p>
      <w:pPr>
        <w:spacing w:after="160" w:line="276" w:lineRule="auto"/>
      </w:pPr>
      <w:r>
        <w:rPr>
          <w:color w:val="2D3748"/>
        </w:rPr>
        <w:t xml:space="preserve">La interfaz de usuario ha sido desarrollada enteramente en </w:t>
      </w:r>
      <w:r>
        <w:rPr>
          <w:b/>
        </w:rPr>
        <w:t>Jetpack Compose</w:t>
      </w:r>
      <w:r>
        <w:t xml:space="preserve"> con un enfoque visual en tema oscuro nativo (Dark Theme) diseñado para reducir el consumo energético en pantallas OLED y ofrecer una lectura ágil y moderna.</w:t>
      </w:r>
    </w:p>
    <w:p>
      <w:pPr>
        <w:keepNext/>
        <w:spacing w:before="280" w:after="80"/>
      </w:pPr>
      <w:r>
        <w:rPr>
          <w:rFonts w:ascii="Calibri" w:hAnsi="Calibri"/>
          <w:b/>
          <w:color w:val="0C70F2"/>
          <w:sz w:val="28"/>
        </w:rPr>
        <w:t>3.1 Componentes Visuales y Flujo de Pantallas</w:t>
      </w:r>
    </w:p>
    <w:p>
      <w:pPr>
        <w:spacing w:after="160"/>
      </w:pPr>
      <w:r>
        <w:t>El sistema se compone de tres pantallas principales coordinadas mediante una sealed class (AppScreen.kt):</w:t>
      </w:r>
    </w:p>
    <w:p>
      <w:pPr>
        <w:pStyle w:val="ListBullet"/>
        <w:spacing w:after="60" w:line="276" w:lineRule="auto"/>
      </w:pPr>
      <w:r>
        <w:rPr>
          <w:b/>
          <w:color w:val="0C2340"/>
        </w:rPr>
        <w:t xml:space="preserve">SplashScreen (Pantalla de Bienvenida): </w:t>
      </w:r>
      <w:r>
        <w:rPr>
          <w:color w:val="2D3748"/>
        </w:rPr>
        <w:t>Presenta la identidad visual del asistente junto con la mascota oficial 'TG Bot'. Un toque en cualquier punto de la pantalla transiciona inmediatamente al Menú Principal.</w:t>
      </w:r>
    </w:p>
    <w:p>
      <w:pPr>
        <w:pStyle w:val="ListBullet"/>
        <w:spacing w:after="60" w:line="276" w:lineRule="auto"/>
      </w:pPr>
      <w:r>
        <w:rPr>
          <w:b/>
          <w:color w:val="0C2340"/>
        </w:rPr>
        <w:t xml:space="preserve">MenuScreen (Menú de Categorías): </w:t>
      </w:r>
      <w:r>
        <w:rPr>
          <w:color w:val="2D3748"/>
        </w:rPr>
        <w:t>Despliega una cuadrícula adaptativa de dos columnas con las 13 secciones del FAQ. Cada tarjeta incorpora su ícono característico y descripción breve. Incluye una barra de acceso directo para consultas inmediatas.</w:t>
      </w:r>
    </w:p>
    <w:p>
      <w:pPr>
        <w:pStyle w:val="ListBullet"/>
        <w:spacing w:after="60" w:line="276" w:lineRule="auto"/>
      </w:pPr>
      <w:r>
        <w:rPr>
          <w:b/>
          <w:color w:val="0C2340"/>
        </w:rPr>
        <w:t xml:space="preserve">ChatPage (Consola Conversacional): </w:t>
      </w:r>
      <w:r>
        <w:rPr>
          <w:color w:val="2D3748"/>
        </w:rPr>
        <w:t>Área de interacción mediante burbujas de diálogo diferenciadas. Incluye avatar del bot, indicador de estado del modelo (Cargando/Listo), tiempo de latencia en milisegundos y control de síntesis de voz (TTS).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</w:p>
          <w:p>
            <w:pPr>
              <w:jc w:val="center"/>
            </w:pPr>
            <w:r>
              <w:rPr>
                <w:i/>
                <w:color w:val="718096"/>
                <w:sz w:val="18"/>
              </w:rPr>
              <w:t>Figura 1: Menú Principal de Categorías (MenuScreen.kt)</w:t>
            </w:r>
          </w:p>
        </w:tc>
        <w:tc>
          <w:tcPr>
            <w:tcW w:type="dxa" w:w="4680"/>
          </w:tcPr>
          <w:p>
            <w:pPr>
              <w:jc w:val="center"/>
            </w:pPr>
          </w:p>
          <w:p>
            <w:pPr>
              <w:jc w:val="center"/>
            </w:pPr>
            <w:r>
              <w:rPr>
                <w:i/>
                <w:color w:val="718096"/>
                <w:sz w:val="18"/>
              </w:rPr>
              <w:t>Figura 2: Consola de Preguntas Directas (ChatPage.kt)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rFonts w:ascii="Calibri" w:hAnsi="Calibri"/>
          <w:b/>
          <w:color w:val="0C70F2"/>
          <w:sz w:val="28"/>
        </w:rPr>
        <w:t>3.2 Identidad Visual y Mascotas Oficiales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</w:p>
          <w:p>
            <w:pPr>
              <w:jc w:val="center"/>
            </w:pPr>
            <w:r>
              <w:rPr>
                <w:i/>
                <w:color w:val="718096"/>
                <w:sz w:val="18"/>
              </w:rPr>
              <w:t>Figura 3: Mascotas Completa 'TG Bot' (SplashScreen)</w:t>
            </w:r>
          </w:p>
        </w:tc>
        <w:tc>
          <w:tcPr>
            <w:tcW w:type="dxa" w:w="4680"/>
          </w:tcPr>
          <w:p>
            <w:pPr>
              <w:jc w:val="center"/>
            </w:pPr>
          </w:p>
          <w:p>
            <w:pPr>
              <w:jc w:val="center"/>
            </w:pPr>
            <w:r>
              <w:rPr>
                <w:i/>
                <w:color w:val="718096"/>
                <w:sz w:val="18"/>
              </w:rPr>
              <w:t>Figura 4: Avatar Cabeza 'TG HeadBot' (Chat Rows)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 Light" w:hAnsi="Calibri Light"/>
          <w:b/>
          <w:color w:val="0C2340"/>
          <w:sz w:val="36"/>
        </w:rPr>
        <w:t>4. Stack Tecnológico e Infraestructura</w:t>
      </w:r>
    </w:p>
    <w:p>
      <w:pPr>
        <w:spacing w:after="160"/>
      </w:pPr>
      <w:r>
        <w:t>La siguiente tabla condensa las librerías, frameworks y artefactos seleccionados para la construcción del sistema: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C2340"/>
          </w:tcPr>
          <w:p>
            <w:r>
              <w:rPr>
                <w:b/>
                <w:color w:val="FFFFFF"/>
              </w:rPr>
              <w:t>Capa / Componente</w:t>
            </w:r>
          </w:p>
        </w:tc>
        <w:tc>
          <w:tcPr>
            <w:tcW w:type="dxa" w:w="4680"/>
            <w:shd w:fill="0C2340"/>
          </w:tcPr>
          <w:p>
            <w:r>
              <w:rPr>
                <w:b/>
                <w:color w:val="FFFFFF"/>
              </w:rPr>
              <w:t>Tecnología / Especificación Exacta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C2340"/>
              </w:rPr>
              <w:t>Lenguaje Principal</w:t>
            </w:r>
          </w:p>
        </w:tc>
        <w:tc>
          <w:tcPr>
            <w:tcW w:type="dxa" w:w="468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2D3748"/>
              </w:rPr>
              <w:t>Kotlin 1.9.0 (JVM Target 1.8)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C2340"/>
              </w:rPr>
              <w:t>Framework de UI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2D3748"/>
              </w:rPr>
              <w:t>Jetpack Compose (BOM 2024.04.01), Material 3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C2340"/>
              </w:rPr>
              <w:t>Arquitectura Android</w:t>
            </w:r>
          </w:p>
        </w:tc>
        <w:tc>
          <w:tcPr>
            <w:tcW w:type="dxa" w:w="468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2D3748"/>
              </w:rPr>
              <w:t>MVVM (ViewModel, ViewModelProvider.Factory, Coroutines)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C2340"/>
              </w:rPr>
              <w:t>Modelo LLM On-Device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2D3748"/>
              </w:rPr>
              <w:t>Gemma 3 270M Instruct Quantized (q8) (~304 MB)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C2340"/>
              </w:rPr>
              <w:t>Motor Inferencia LLM</w:t>
            </w:r>
          </w:p>
        </w:tc>
        <w:tc>
          <w:tcPr>
            <w:tcW w:type="dxa" w:w="468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2D3748"/>
              </w:rPr>
              <w:t>MediaPipe LLM Inference API (com.google.mediapipe:tasks-genai:0.10.35)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C2340"/>
              </w:rPr>
              <w:t>Motor de Embeddings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2D3748"/>
              </w:rPr>
              <w:t>MediaPipe TextEmbedder + Universal Sentence Encoder (.tflite, ~5.8 MB)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C2340"/>
              </w:rPr>
              <w:t>Síntesis de Voz (TTS)</w:t>
            </w:r>
          </w:p>
        </w:tc>
        <w:tc>
          <w:tcPr>
            <w:tcW w:type="dxa" w:w="468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2D3748"/>
              </w:rPr>
              <w:t>android.speech.tts.TextToSpeech (Offline, control por SharedPreferences)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C2340"/>
              </w:rPr>
              <w:t>Administración Web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2D3748"/>
              </w:rPr>
              <w:t>Node.js + Express, Vanilla JS Frontend, Playwright (Tests e2e)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C2340"/>
              </w:rPr>
              <w:t>Serialización</w:t>
            </w:r>
          </w:p>
        </w:tc>
        <w:tc>
          <w:tcPr>
            <w:tcW w:type="dxa" w:w="468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2D3748"/>
              </w:rPr>
              <w:t>kotlinx.serialization.json:1.6.3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C2340"/>
              </w:rPr>
              <w:t>Configuración SDK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2D3748"/>
              </w:rPr>
              <w:t>minSdk = 24, compileSdk = 34, targetSdk = 34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 Light" w:hAnsi="Calibri Light"/>
          <w:b/>
          <w:color w:val="0C2340"/>
          <w:sz w:val="36"/>
        </w:rPr>
        <w:t>5. Modelo de Datos y Herramienta Web-Admin</w:t>
      </w:r>
    </w:p>
    <w:p>
      <w:pPr>
        <w:spacing w:after="160" w:line="276" w:lineRule="auto"/>
      </w:pPr>
      <w:r>
        <w:rPr>
          <w:color w:val="2D3748"/>
        </w:rPr>
        <w:t xml:space="preserve">El conocimiento del asistente reside en archivos de estructura JSON empaquetados en los </w:t>
      </w:r>
      <w:r>
        <w:rPr>
          <w:b/>
        </w:rPr>
        <w:t>assets/</w:t>
      </w:r>
      <w:r>
        <w:t xml:space="preserve"> de la aplicación. Para permitir la edición ágil de preguntas y respuestas por parte del personal no técnico, se diseñó un servidor local en Node.js/Express.</w:t>
      </w:r>
    </w:p>
    <w:p>
      <w:pPr>
        <w:keepNext/>
        <w:spacing w:before="280" w:after="80"/>
      </w:pPr>
      <w:r>
        <w:rPr>
          <w:rFonts w:ascii="Calibri" w:hAnsi="Calibri"/>
          <w:b/>
          <w:color w:val="0C70F2"/>
          <w:sz w:val="28"/>
        </w:rPr>
        <w:t>5.1 Estructura del JSON de Conocimiento (faq.json)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C70F2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  <w:color w:val="0C2340"/>
                <w:sz w:val="22"/>
              </w:rPr>
              <w:t>📌 Ejemplo de Esquema de Entrada FAQ</w:t>
              <w:br/>
            </w:r>
            <w:r>
              <w:rPr>
                <w:color w:val="2D3748"/>
                <w:sz w:val="21"/>
              </w:rPr>
              <w:t>{</w:t>
              <w:br/>
              <w:t xml:space="preserve">  "id": 12,</w:t>
              <w:br/>
              <w:t xml:space="preserve">  "section": "Registro",</w:t>
              <w:br/>
              <w:t xml:space="preserve">  "question": "¿Cómo me registro en Emprende ISTG?",</w:t>
              <w:br/>
              <w:t xml:space="preserve">  "answer": "Ve a la sección Perfil &gt; Crear cuenta y completa el formulario con tu correo institucional.",</w:t>
              <w:br/>
              <w:t xml:space="preserve">  "keywords": ["registro", "cuenta", "crear", "formulario", "perfil"]</w:t>
              <w:br/>
              <w:t>}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C70F2"/>
          <w:sz w:val="28"/>
        </w:rPr>
        <w:t>5.2 Endpoints API REST del Web-Admin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C2340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3120"/>
            <w:shd w:fill="0C2340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120"/>
            <w:shd w:fill="0C2340"/>
          </w:tcPr>
          <w:p>
            <w:r>
              <w:rPr>
                <w:b/>
                <w:color w:val="FFFFFF"/>
              </w:rPr>
              <w:t>Propósito y Código de Respuesta</w:t>
            </w:r>
          </w:p>
        </w:tc>
      </w:tr>
      <w:tr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C70F2"/>
              </w:rPr>
              <w:t>GET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9"/>
              </w:rPr>
              <w:t>/api/faq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2D3748"/>
              </w:rPr>
              <w:t>Obtiene la lista completa de entradas FAQ (200 OK)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C70F2"/>
              </w:rPr>
              <w:t>GET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9"/>
              </w:rPr>
              <w:t>/api/aliases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2D3748"/>
              </w:rPr>
              <w:t>Obtiene el mapeo de frases alias normalizadas (200 OK)</w:t>
            </w:r>
          </w:p>
        </w:tc>
      </w:tr>
      <w:tr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C70F2"/>
              </w:rPr>
              <w:t>GET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9"/>
              </w:rPr>
              <w:t>/api/sections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2D3748"/>
              </w:rPr>
              <w:t>Devuelve el listado único de secciones activas (200 OK)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C70F2"/>
              </w:rPr>
              <w:t>POST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9"/>
              </w:rPr>
              <w:t>/api/faq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2D3748"/>
              </w:rPr>
              <w:t>Crea una nueva entrada FAQ. Valida campos obligatorios (201 Created / 400 Bad Request)</w:t>
            </w:r>
          </w:p>
        </w:tc>
      </w:tr>
      <w:tr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C2340"/>
              </w:rPr>
              <w:t>PUT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9"/>
              </w:rPr>
              <w:t>/api/faq/:id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2D3748"/>
              </w:rPr>
              <w:t>Actualiza el contenido de una pregunta/respuesta por ID (200 OK / 404 Not Found)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C2340"/>
              </w:rPr>
              <w:t>DELETE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9"/>
              </w:rPr>
              <w:t>/api/faq/:id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2D3748"/>
              </w:rPr>
              <w:t>Elimina una entrada y sus alias asociados en cascada (200 OK / 404 Not Found)</w:t>
            </w:r>
          </w:p>
        </w:tc>
      </w:tr>
      <w:tr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C2340"/>
              </w:rPr>
              <w:t>PUT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9"/>
              </w:rPr>
              <w:t>/api/aliases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2D3748"/>
              </w:rPr>
              <w:t>Reemplaza en bloque la lista de alias asociadas a un entryId (200 OK / 400 Bad Request)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 Light" w:hAnsi="Calibri Light"/>
          <w:b/>
          <w:color w:val="0C2340"/>
          <w:sz w:val="36"/>
        </w:rPr>
        <w:t>6. Seguridad, Limitaciones y Plan de Mitigación</w:t>
      </w:r>
    </w:p>
    <w:p>
      <w:pPr>
        <w:keepNext/>
        <w:spacing w:before="280" w:after="80"/>
      </w:pPr>
      <w:r>
        <w:rPr>
          <w:rFonts w:ascii="Calibri" w:hAnsi="Calibri"/>
          <w:b/>
          <w:color w:val="0C70F2"/>
          <w:sz w:val="28"/>
        </w:rPr>
        <w:t>6.1 Matriz de Riesgos Técnicos y Estrategias de Mitigación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C2340"/>
          </w:tcPr>
          <w:p>
            <w:r>
              <w:rPr>
                <w:b/>
                <w:color w:val="FFFFFF"/>
              </w:rPr>
              <w:t>Riesgo Identificado</w:t>
            </w:r>
          </w:p>
        </w:tc>
        <w:tc>
          <w:tcPr>
            <w:tcW w:type="dxa" w:w="3120"/>
            <w:shd w:fill="0C2340"/>
          </w:tcPr>
          <w:p>
            <w:r>
              <w:rPr>
                <w:b/>
                <w:color w:val="FFFFFF"/>
              </w:rPr>
              <w:t>Impacto Potencial</w:t>
            </w:r>
          </w:p>
        </w:tc>
        <w:tc>
          <w:tcPr>
            <w:tcW w:type="dxa" w:w="3120"/>
            <w:shd w:fill="0C2340"/>
          </w:tcPr>
          <w:p>
            <w:r>
              <w:rPr>
                <w:b/>
                <w:color w:val="FFFFFF"/>
              </w:rPr>
              <w:t>Estrategia de Mitigación Implementada</w:t>
            </w:r>
          </w:p>
        </w:tc>
      </w:tr>
      <w:tr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C2340"/>
              </w:rPr>
              <w:t>El modelo no genera texto (rawChars=0) o genera eco de la pregunta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4A5568"/>
              </w:rPr>
              <w:t>Alto (Mala UX / Sensación de error)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2D3748"/>
              </w:rPr>
              <w:t>Capa 6 de respaldo: activación automática de la respuesta oficial e inspección por tokens de solapamiento.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C2340"/>
              </w:rPr>
              <w:t>Latencia elevada en procesadores de gama baja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4A5568"/>
              </w:rPr>
              <w:t>Medio (Espera de 3-5 segundos)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2D3748"/>
              </w:rPr>
              <w:t>Recuperación multinivel previa (Alias/Keywords). Fast-path inmediato cuando la confianza supera el umbral.</w:t>
            </w:r>
          </w:p>
        </w:tc>
      </w:tr>
      <w:tr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C2340"/>
              </w:rPr>
              <w:t>Descarga de modelo corrupta o interrupción de red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4A5568"/>
              </w:rPr>
              <w:t>Crítico (Crash de aplicación)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2D3748"/>
              </w:rPr>
              <w:t>Verificación por tamaño de archivo esperado (303,950,933 bytes) y uso de archivos temporales .part antes de renombrar.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C2340"/>
              </w:rPr>
              <w:t>Alucinaciones o respuestas inventadas por el LLM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4A5568"/>
              </w:rPr>
              <w:t>Alto (Información falsa al alumno)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2D3748"/>
              </w:rPr>
              <w:t>Prompt RAG restringido en PromptBuilder.kt que prohíbe terminantemente usar conocimiento externo al FAQ.</w:t>
            </w:r>
          </w:p>
        </w:tc>
      </w:tr>
      <w:tr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C2340"/>
              </w:rPr>
              <w:t>Bloqueos de depuración en capas del fabricante (MIUI / Xiaomi)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4A5568"/>
              </w:rPr>
              <w:t>Bajo (Dificulta pruebas automatizadas)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2D3748"/>
              </w:rPr>
              <w:t>Documentación de comandos ADB de seguridad y habilitación explícita de depuración de seguridad en desarrollador.</w:t>
            </w:r>
          </w:p>
        </w:tc>
      </w:tr>
    </w:tbl>
    <w:p>
      <w:pPr>
        <w:spacing w:after="320"/>
      </w:pPr>
    </w:p>
    <w:p>
      <w:pPr>
        <w:keepNext/>
        <w:spacing w:before="280" w:after="80"/>
      </w:pPr>
      <w:r>
        <w:rPr>
          <w:rFonts w:ascii="Calibri" w:hAnsi="Calibri"/>
          <w:b/>
          <w:color w:val="0C70F2"/>
          <w:sz w:val="28"/>
        </w:rPr>
        <w:t>6.2 Conclusión y Siguientes Pasos</w:t>
      </w:r>
    </w:p>
    <w:p>
      <w:pPr>
        <w:spacing w:line="276" w:lineRule="auto"/>
      </w:pPr>
      <w:r>
        <w:rPr>
          <w:color w:val="2D3748"/>
        </w:rPr>
        <w:t xml:space="preserve">El MVP del </w:t>
      </w:r>
      <w:r>
        <w:rPr>
          <w:b/>
        </w:rPr>
        <w:t>Emprende ISTG ChatBot</w:t>
      </w:r>
      <w:r>
        <w:t xml:space="preserve"> demuestra la viabilidad técnica y operativa de implementar asistentes virtuales conversacionales de alta precisión totalmente desacoplados de la nube. La combinación de la arquitectura RAG en cascada, la optimización del modelo Gemma 3 270M y la interfaz fluida en Jetpack Compose posicionan a este desarrollo como un referente tecnológico para la institución.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