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Especificación Técnica y Plan de Proyecto: AutomotiveOS Cloud ERP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 de Creación:</w:t>
      </w:r>
      <w:r w:rsidDel="00000000" w:rsidR="00000000" w:rsidRPr="00000000">
        <w:rPr>
          <w:rtl w:val="0"/>
        </w:rPr>
        <w:t xml:space="preserve"> Junio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Metodología de Desarrollo:</w:t>
      </w:r>
      <w:r w:rsidDel="00000000" w:rsidR="00000000" w:rsidRPr="00000000">
        <w:rPr>
          <w:rtl w:val="0"/>
        </w:rPr>
        <w:t xml:space="preserve"> Antigravity CLI, IDE &amp; SDK (Ecosistema Google Cloud Native)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Configuración de Hardware de Desarrollo:</w:t>
      </w:r>
      <w:r w:rsidDel="00000000" w:rsidR="00000000" w:rsidRPr="00000000">
        <w:rPr>
          <w:rtl w:val="0"/>
        </w:rPr>
        <w:t xml:space="preserve"> Optimización Multi-Entorno (Perfil Híbrido: i3 8GB RAM / Pentium 4GB RAM Cloud-Tethered)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Contexto de Mercado y Parque Automotor (Paraguay)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está diseñado de forma nativa para responder al ecosistema y parque automotor real de Paraguay, alineado con los datos de la Cámara de Distribuidores de Automotores y Maquinarias (CADAM):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Vehículos Convencionales (Alta Densidad):</w:t>
      </w:r>
      <w:r w:rsidDel="00000000" w:rsidR="00000000" w:rsidRPr="00000000">
        <w:rPr>
          <w:rtl w:val="0"/>
        </w:rPr>
        <w:t xml:space="preserve"> Priorización en el maestro de datos para camionetas Pick-Up Diésel (Toyota Hilux, Isuzu D-Max, Chevrolet S10) y SUVs/Cee'ds compactos de marcas asiáticas (Kia, Hyundai), incluyendo importaciones directas (vía Chile/Iquique).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Vehículos Híbridos y Eléctricos (Módulo EV/HEV):</w:t>
      </w:r>
      <w:r w:rsidDel="00000000" w:rsidR="00000000" w:rsidRPr="00000000">
        <w:rPr>
          <w:rtl w:val="0"/>
        </w:rPr>
        <w:t xml:space="preserve"> Soporte avanzado para tecnologías híbridas convencionales (Toyota), híbridos enchufables (PHEV) y eléctricos puros (BEV) con alta penetración de marcas asiáticas (BYD: Song, Dolphin, Yuan). El sistema incluye de forma mandatoria pestañas de seguridad y protocolos de Alta Tensión (HV) para protección del mecánico.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Arquitectura de Software y Modelo de Negocio (SaaS Enterprise)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AutomotiveOS está concebido como un ERP Empresarial Multi-Tenant de primer nivel bajo el modelo de negocio B2B SaaS (Software as a Service). Cada taller mecánico o cadena de sucursales opera de manera aislada con esquemas de bases de datos independientes (Schema-per-tenant), garantizando la máxima seguridad y privacidad de la información comercial y financiera.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cuenta con un módulo de suscripciones integrado de forma nativa con pasarelas de pago locales (Bancard, vPOS) para la automatización de cobros recurrentes mensuales basados en el consumo o nivel de plan seleccionado.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Matriz de Requerimientos Funcionales Avanzados (Estructura MITIC)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 Req.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Módulo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 Funcional Detallada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RFA-01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Core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Alta, consulta y edición de propietarios y vehículos. Vinculación automatizada por VIN/Chasis, Marca, Modelo, Año, Motor y odómetro.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RFA-02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Órdenes de Trabajo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de estados (Presupuestado, Aprobado, En Proceso, Control de Calidad, Listo). Seguimiento exhaustivo de Trabajos de Terceros (proveedores externos de rectificación, tornería, pintura) integrando de forma transparente costos, remitos y márgenes de ganancia.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RFA-03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Hardware Link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Conexión e importación automatizada de reportes de diagnóstico en formato PDF/JSON generados por Scanners Launch X431 y Thinkcar. Extracción y mapeo automático de códigos DTC.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RFA-04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Facturación Propia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 emisor independiente conectado de servidor a servidor vía Web Services (HTTPS/SOAP) con el SIFEN de la DNIT (Paraguay). Firma digital nativa con certificado X.509 encriptado por cliente y generación autónoma de KuDE en PDF con código QR reglamentario. Sin redirecciones externas.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RFA-05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Copilot LLM AI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Integración del SDK de Antigravity (Gemini API) para análisis cognitivo de códigos DTC + observaciones del mecánico. Generación de árboles de fallas probabilísticos y guías de reparación con énfasis en seguridad de alta tensión (EV/HEV).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RFA-06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Visión Computacional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Reconocimiento óptico de caracteres (OCR) mediante cámaras IP para lectura automática de chapas/placas en el acceso al taller e interpretación de fotos de la Cédula Verde para alta desatendida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RFA-07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Inventario y QR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por código de barras de repuestos y custodia estricta de herramientas de alto valor del taller (asociación de herramientas a mecánicos y OT activas). Depreciación lineal automática de activos fijos ante la DNIT.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RFA-08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Contabilidad Automatizada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Sincronización de partida doble en tiempo real (Asientos automáticos de ventas, costo de mercadería, IVA Débito/Crédito). Emisión automática de Balance General, Cuadro de Resultados, Libros Obligatorios (Ley 1034/83) y exportación RG 90 para el Sistema Marangatu.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RFA-09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Integraciones Cloud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Conexión bidireccional con Google Calendar API para agendamiento de citas desde el widget de la página web del taller. Notificaciones automatizadas desatendidas vía API de WhatsApp para presupuestos y avisos de retiro.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RFA-10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de RRHH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Liquidación de sueldos, cálculo de horas extras y asignación de comisiones por productividad de mecánicos. Generación de archivos de novedades para el REI (IPS) y planillas anuales obligatorias para el MTESS.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Casos de Uso Críticos (UML Plan)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Caso de Uso (CU-01): Recepción Automatizada y Diagnóstico Asistido por LLM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Asesor de Servicio, Mecánico, Agente LLM Antigravity.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El vehículo ingresa físicamente al taller. El cliente cuenta con Cédula Verde o registro previo.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La cámara IP del taller captura la chapa del vehículo en la entrada; el ERP realiza el reconocimiento (OCR) y despliega el historial en recepción de forma inmediata.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asesor utiliza la App móvil del ERP para fotografiar la Cédula Verde; el sistema extrae por OCR los datos estructurales (VIN, chasis, motor, propietario) eliminando el tipeo manual.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mecánico conecta el scanner Launch o Thinkcar al puerto OBD-II del vehículo, ejecuta el test y envía el reporte PDF resultante de manera inalámbrica al ERP Core.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backend invoca de forma asíncrona al SDK de Antigravity enviando el texto del reporte junto con el VIN e indicadores de si es un auto eléctrico o híbrido.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LLM procesa los códigos DTC concurrentemente y devuelve en la tablet del mecánico una guía secuencial de diagnóstico, priorizando los protocolos de aislamiento de alta tensión (HV) si el vehículo lo requiere.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Caso de Uso (CU-02): Cierre de Trabajo y Emisión de Factura Electrónica Propia (SIFEN)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 del Taller, Servidores SIFEN (DNIT).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La Orden de Trabajo ha sido marcada como "Listo para Entrega" tras el control de calidad.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administrador abre la OT finalizada; el ERP consolida automáticamente las horas de mano de obra aplicadas, los repuestos descontados del inventario por código de barra y los costos correspondientes a Trabajos de Terceros.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 presionar "Generar Factura Electrónica", el microservicio contable del ERP estructura el archivo XML del Documento Electrónico (DE) bajo las estrictas especificaciones técnicas de la DNIT de Paraguay.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sistema recupera el Certificado Digital Cualificado (X.509) del taller (guardado bajo estrictas medidas de cifrado en el servidor), realiza la firma digital asimétrica del XML y genera el hash de validación interna.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ERP transmite el XML firmado directamente vía Web Services HTTPS/SOAP a la DNIT sin interacción con plataformas o portales gubernamentales externos.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SIFEN valida y aprueba el documento devolviendo el Código de Control Documental (CDC) de 44 caracteres en milisegundos.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 ERP almacena el CDC, asienta contablemente la transacción en el Libro Diario y genera el documento PDF (KuDE) con diseño corporativo propio del taller y su código QR reglamentario.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 manera desatendida, se dispara una notificación a través de la API de WhatsApp enviando el KuDE y el XML al propietario del automóvil.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Estrategia de Ingeniería y Optimización de Entorno (Antigravity 2.0)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Dada la composición de hardware del equipo de desarrollo (estaciones basadas en procesadores de recursos moderados con configuraciones de Core i3 con 8 GB de RAM y laptops HP con 4 GB de RAM), se adopta una política de diseño </w:t>
      </w:r>
      <w:r w:rsidDel="00000000" w:rsidR="00000000" w:rsidRPr="00000000">
        <w:rPr>
          <w:b w:val="1"/>
          <w:bCs w:val="1"/>
          <w:rtl w:val="0"/>
        </w:rPr>
        <w:t xml:space="preserve">Cloud-Tethered (Anclado a la Nube)</w:t>
      </w:r>
      <w:r w:rsidDel="00000000" w:rsidR="00000000" w:rsidRPr="00000000">
        <w:rPr>
          <w:rtl w:val="0"/>
        </w:rPr>
        <w:t xml:space="preserve"> de forma mandatoria para mitigar el consumo de recursos de computación locales.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Directivas de Desarrollo y Despliegue con Antigravity CLI (`agy`)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Bases de Datos Descentralizadas:</w:t>
      </w:r>
      <w:r w:rsidDel="00000000" w:rsidR="00000000" w:rsidRPr="00000000">
        <w:rPr>
          <w:rtl w:val="0"/>
        </w:rPr>
        <w:t xml:space="preserve"> Queda terminantemente prohibida la instalación local de contenedores pesados de bases de datos o instancias locales de PostgreSQL. Todo el almacenamiento de prueba persistente se delega a instancias de bases de datos Serverless en la nube mediante proveedores como Supabase o Neon.tech, conectadas remotamente por variables de entorno (`DATABASE_URL`).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Microservicios de Bajo Impacto en RAM:</w:t>
      </w:r>
      <w:r w:rsidDel="00000000" w:rsidR="00000000" w:rsidRPr="00000000">
        <w:rPr>
          <w:rtl w:val="0"/>
        </w:rPr>
        <w:t xml:space="preserve"> El backend se programa utilizando arquitecturas de alta velocidad y mínima huella de memoria en tiempo de ejecución, empleando frameworks como Fastify (Node.js) o FastAPI (Python). Esto reduce el consumo del backend a menos de 50 MB de memoria RAM durante la fase de depuración local.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Cómputo Remoto de IA:</w:t>
      </w:r>
      <w:r w:rsidDel="00000000" w:rsidR="00000000" w:rsidRPr="00000000">
        <w:rPr>
          <w:rtl w:val="0"/>
        </w:rPr>
        <w:t xml:space="preserve"> Al utilizar la CLI interactiva de Antigravity (`agy`), todas las tareas de refactorización masiva, generación de código y auditorías de código se ejecutan forzando el procesamiento asíncrono e inteligente en la infraestructura remota de Google Cloud para prevenir la saturación de los hilos locales del procesador y la memoria swap.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Inicialización estructurada del pool de agentes concurrentes mediante Antigravity CLI</w:t>
        <w:br w:type="textWrapping"/>
        <w:t xml:space="preserve">agy /goal "Generar arquitectura limpia en TypeScript para el core contable de partida doble e integración RG 90" --remote-compute</w:t>
        <w:br w:type="textWrapping"/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 Integración del SDK para Tareas Cognitivas de Negocio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continuación se expone el patrón de diseño definitivo implementado en el backend del ERP para delegar de manera eficiente el procesamiento de diagnóstico y las auditorías contables automáticas antes del cierre del mes fiscal de los talleres, reduciendo los riesgos impositivos frente a la DNIT: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AntigravityAgent } from '@google/antigravity-sdk';</w:t>
        <w:br w:type="textWrapping"/>
        <w:br w:type="textWrapping"/>
        <w:t xml:space="preserve">/**</w:t>
        <w:br w:type="textWrapping"/>
        <w:t xml:space="preserve"> * Servicio inteligente para auditar de forma preventiva los asientos contables mensuales</w:t>
        <w:br w:type="textWrapping"/>
        <w:t xml:space="preserve"> * generados de forma automática por el ERP SaaS para evitar inconsistencias tributarias.</w:t>
        <w:br w:type="textWrapping"/>
        <w:t xml:space="preserve"> */</w:t>
        <w:br w:type="textWrapping"/>
        <w:t xml:space="preserve">export async function auditarAsientosFiscalesMensuales(asientos: any[], regimenTributario: string) {</w:t>
        <w:br w:type="textWrapping"/>
        <w:t xml:space="preserve">    // Se invoca un agente de Antigravity optimizado para análisis lógico profundo</w:t>
        <w:br w:type="textWrapping"/>
        <w:t xml:space="preserve">    const auditorFiscalAI = new AntigravityAgent({ tier: 'pro-high' });</w:t>
        <w:br w:type="textWrapping"/>
        <w:br w:type="textWrapping"/>
        <w:t xml:space="preserve">    const promptAuditoria = `</w:t>
        <w:br w:type="textWrapping"/>
        <w:t xml:space="preserve">        Actúas como un Auditor Contable y Fiscal de primer nivel especializado en la legislación de Paraguay.</w:t>
        <w:br w:type="textWrapping"/>
        <w:t xml:space="preserve">        Analiza el siguiente conjunto de asientos contables correspondientes a un contribuyente bajo el régimen: ${regimenTributario}.</w:t>
        <w:br w:type="textWrapping"/>
        <w:t xml:space="preserve">        Verifica la simetría entre cuentas de ingresos, costos de repuestos, inventario de herramientas y la correcta imputación de las alícuotas del IVA Débito y Crédito (10% y 5%) según la RG 90.</w:t>
        <w:br w:type="textWrapping"/>
        <w:t xml:space="preserve">        Estructura el informe destacando de manera clara cualquier desbalance o riesgo de auditoría detectado:</w:t>
        <w:br w:type="textWrapping"/>
        <w:t xml:space="preserve">        \n${JSON.stringify(asientos)}</w:t>
        <w:br w:type="textWrapping"/>
        <w:t xml:space="preserve">    `;</w:t>
        <w:br w:type="textWrapping"/>
        <w:br w:type="textWrapping"/>
        <w:t xml:space="preserve">    const resultadoAuditoria = await auditorFiscalAI.reason({</w:t>
        <w:br w:type="textWrapping"/>
        <w:t xml:space="preserve">        prompt: promptAuditoria</w:t>
        <w:br w:type="textWrapping"/>
        <w:t xml:space="preserve">    });</w:t>
        <w:br w:type="textWrapping"/>
        <w:br w:type="textWrapping"/>
        <w:t xml:space="preserve">    return resultadoAuditoria.text;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enfoque metodológico garantiza que el ERP AutomotiveOS ofrezca un rendimiento empresarial de nivel mundial, operando de manera fluida y concurrente sobre hardware optimizado en red multi-dispositivo.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