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941E" w14:textId="77777777" w:rsidR="005C0002" w:rsidRDefault="0074467C">
      <w:r>
        <w:t xml:space="preserve">The goal of </w:t>
      </w:r>
      <w:proofErr w:type="spellStart"/>
      <w:r>
        <w:t>GTEx</w:t>
      </w:r>
      <w:proofErr w:type="spellEnd"/>
      <w:r>
        <w:t xml:space="preserve">-Tissue-Classifier is to identify tissue origins of unknown samples. The method for identifying tissues involves performing RNA sequencing of the sample, building a normalized list of TPM counts for gene expression, and input of this list into the software. By comparing gene expression to the </w:t>
      </w:r>
      <w:proofErr w:type="spellStart"/>
      <w:r>
        <w:t>GTEx</w:t>
      </w:r>
      <w:proofErr w:type="spellEnd"/>
      <w:r>
        <w:t xml:space="preserve"> database, the user will receive an output file containing the similarity scores for each tissue, including a most likely tissue type and a graph showing the top five tissue possibilities. </w:t>
      </w:r>
    </w:p>
    <w:p w14:paraId="3409356F" w14:textId="77777777" w:rsidR="005C0002" w:rsidRDefault="005C0002"/>
    <w:p w14:paraId="4983F5B2" w14:textId="06382C54" w:rsidR="00FC5FEA" w:rsidRDefault="0074467C">
      <w:r>
        <w:t xml:space="preserve">A common use case of </w:t>
      </w:r>
      <w:proofErr w:type="spellStart"/>
      <w:r>
        <w:t>GTEx</w:t>
      </w:r>
      <w:proofErr w:type="spellEnd"/>
      <w:r>
        <w:t xml:space="preserve">-Tissue-Classifier is if contamination of a lab sample is suspected, sequencing can be performed on the sample and inputted into software to identify tissue candidates. </w:t>
      </w:r>
    </w:p>
    <w:sectPr w:rsidR="00FC5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EA"/>
    <w:rsid w:val="005C0002"/>
    <w:rsid w:val="0074467C"/>
    <w:rsid w:val="00DA13AC"/>
    <w:rsid w:val="00F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CA18"/>
  <w15:chartTrackingRefBased/>
  <w15:docId w15:val="{038E30DD-921A-4CA2-BB82-D0133A60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Baas, Jared</dc:creator>
  <cp:keywords/>
  <dc:description/>
  <cp:lastModifiedBy>Baas, Jared</cp:lastModifiedBy>
  <cp:revision>3</cp:revision>
  <dcterms:created xsi:type="dcterms:W3CDTF">2026-01-14T16:13:00Z</dcterms:created>
  <dcterms:modified xsi:type="dcterms:W3CDTF">2026-01-14T16:17:00Z</dcterms:modified>
</cp:coreProperties>
</file>