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636363"/>
          <w:sz w:val="21"/>
          <w:szCs w:val="21"/>
          <w:shd w:fill="f5f7f8" w:val="clear"/>
        </w:rPr>
      </w:pPr>
      <w:r w:rsidDel="00000000" w:rsidR="00000000" w:rsidRPr="00000000">
        <w:rPr>
          <w:rFonts w:ascii="Roboto" w:cs="Roboto" w:eastAsia="Roboto" w:hAnsi="Roboto"/>
          <w:color w:val="636363"/>
          <w:sz w:val="21"/>
          <w:szCs w:val="21"/>
          <w:shd w:fill="f5f7f8" w:val="clear"/>
          <w:rtl w:val="0"/>
        </w:rPr>
        <w:t xml:space="preserve">Design a cross-platform tool to help tutor teenagers in healthy habits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bookmarkStart w:colFirst="0" w:colLast="0" w:name="_8lzxfhb2rt7u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Recruit interview participants for your portfolio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goals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understand what the user wants and what his motivation is when using a tutor for habits. Also to understand what are current users’ habits and how to help a user accept new habits.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your current habits? What are healthy habits for you?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your motivation for healthy habits?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challenges when deciding to begin with healthy habits?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much habits is the right amount at one time to proceed with?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participants characteristics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age 14-19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lives metropolitan or suburban area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participants with different abilities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participants with different gender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636363"/>
          <w:sz w:val="21"/>
          <w:szCs w:val="21"/>
          <w:shd w:fill="f5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