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B0238C" w:rsidTr="0098469A">
        <w:tc>
          <w:tcPr>
            <w:tcW w:w="1418" w:type="dxa"/>
            <w:tcBorders>
              <w:top w:val="nil"/>
              <w:left w:val="nil"/>
              <w:bottom w:val="nil"/>
              <w:right w:val="nil"/>
            </w:tcBorders>
          </w:tcPr>
          <w:p w:rsidR="00B62145" w:rsidRPr="00B0238C" w:rsidRDefault="00916FBA" w:rsidP="00916FBA">
            <w:pPr>
              <w:jc w:val="center"/>
              <w:rPr>
                <w:b/>
                <w:sz w:val="28"/>
                <w:szCs w:val="28"/>
              </w:rPr>
            </w:pPr>
            <w:bookmarkStart w:id="0" w:name="Job_No"/>
            <w:bookmarkEnd w:id="0"/>
            <w:r>
              <w:rPr>
                <w:b/>
                <w:sz w:val="28"/>
                <w:szCs w:val="28"/>
              </w:rPr>
              <w:t>REF NO:</w:t>
            </w:r>
          </w:p>
        </w:tc>
      </w:tr>
    </w:tbl>
    <w:p w:rsidR="00B62145" w:rsidRPr="00B0238C" w:rsidRDefault="003E144D">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column">
                  <wp:posOffset>-274320</wp:posOffset>
                </wp:positionH>
                <wp:positionV relativeFrom="paragraph">
                  <wp:posOffset>15240</wp:posOffset>
                </wp:positionV>
                <wp:extent cx="6309995" cy="9418320"/>
                <wp:effectExtent l="11430" t="8255" r="41275" b="317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418320"/>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D6C5B" id="Rectangle 2" o:spid="_x0000_s1026" style="position:absolute;margin-left:-21.6pt;margin-top:1.2pt;width:496.85pt;height:74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" o:allowincell="f" filled="f" strokeweight="1pt">
                <v:shadow on="t"/>
              </v:rect>
            </w:pict>
          </mc:Fallback>
        </mc:AlternateContent>
      </w:r>
    </w:p>
    <w:p w:rsidR="00B62145" w:rsidRPr="00B0238C" w:rsidRDefault="00B62145">
      <w:pPr>
        <w:jc w:val="center"/>
        <w:rPr>
          <w:b/>
          <w:sz w:val="28"/>
          <w:szCs w:val="28"/>
        </w:rPr>
      </w:pPr>
      <w:bookmarkStart w:id="1" w:name="_Hlt434896277"/>
      <w:bookmarkEnd w:id="1"/>
    </w:p>
    <w:p w:rsidR="00EB5185" w:rsidRDefault="00EB5185" w:rsidP="00EB5185">
      <w:pPr>
        <w:tabs>
          <w:tab w:val="left" w:pos="2950"/>
          <w:tab w:val="center" w:pos="4514"/>
        </w:tabs>
        <w:rPr>
          <w:sz w:val="28"/>
          <w:szCs w:val="28"/>
        </w:rPr>
      </w:pPr>
      <w:r>
        <w:rPr>
          <w:sz w:val="28"/>
          <w:szCs w:val="28"/>
        </w:rPr>
        <w:tab/>
      </w:r>
    </w:p>
    <w:p w:rsidR="00EB5185" w:rsidRDefault="00EB5185" w:rsidP="00EB5185">
      <w:pPr>
        <w:tabs>
          <w:tab w:val="left" w:pos="2950"/>
          <w:tab w:val="center" w:pos="4514"/>
        </w:tabs>
        <w:rPr>
          <w:sz w:val="28"/>
          <w:szCs w:val="28"/>
        </w:rPr>
      </w:pPr>
    </w:p>
    <w:p w:rsidR="00EB5185" w:rsidRDefault="00EB5185" w:rsidP="00EB5185">
      <w:pPr>
        <w:tabs>
          <w:tab w:val="left" w:pos="2950"/>
          <w:tab w:val="center" w:pos="4514"/>
        </w:tabs>
        <w:rPr>
          <w:sz w:val="28"/>
          <w:szCs w:val="28"/>
        </w:rPr>
      </w:pPr>
    </w:p>
    <w:p w:rsidR="00EB5185" w:rsidRDefault="00EB5185" w:rsidP="00EB5185">
      <w:pPr>
        <w:tabs>
          <w:tab w:val="left" w:pos="2950"/>
          <w:tab w:val="center" w:pos="4514"/>
        </w:tabs>
        <w:rPr>
          <w:sz w:val="28"/>
          <w:szCs w:val="28"/>
        </w:rPr>
      </w:pPr>
    </w:p>
    <w:p w:rsidR="00B62145" w:rsidRPr="00EB5185" w:rsidRDefault="000640C3" w:rsidP="00313F04">
      <w:pPr>
        <w:tabs>
          <w:tab w:val="left" w:pos="2950"/>
          <w:tab w:val="center" w:pos="4514"/>
        </w:tabs>
        <w:jc w:val="center"/>
        <w:rPr>
          <w:b/>
          <w:sz w:val="28"/>
          <w:szCs w:val="28"/>
        </w:rPr>
      </w:pPr>
      <w:r w:rsidRPr="00EB5185">
        <w:rPr>
          <w:b/>
          <w:sz w:val="28"/>
          <w:szCs w:val="28"/>
        </w:rPr>
        <w:t>CHECK-OUT REPORT</w:t>
      </w:r>
    </w:p>
    <w:p w:rsidR="00B62145" w:rsidRPr="00EB5185" w:rsidRDefault="00B62145" w:rsidP="00313F04">
      <w:pPr>
        <w:jc w:val="center"/>
        <w:rPr>
          <w:b/>
          <w:sz w:val="28"/>
          <w:szCs w:val="28"/>
        </w:rPr>
      </w:pPr>
    </w:p>
    <w:p w:rsidR="00B62145" w:rsidRPr="00EB5185" w:rsidRDefault="00B62145" w:rsidP="00313F04">
      <w:pPr>
        <w:jc w:val="center"/>
        <w:rPr>
          <w:b/>
          <w:sz w:val="28"/>
          <w:szCs w:val="28"/>
        </w:rPr>
      </w:pPr>
      <w:r w:rsidRPr="00EB5185">
        <w:rPr>
          <w:b/>
          <w:sz w:val="28"/>
          <w:szCs w:val="28"/>
        </w:rPr>
        <w:t>FOR</w:t>
      </w:r>
    </w:p>
    <w:p w:rsidR="00B62145" w:rsidRPr="00B0238C" w:rsidRDefault="00B62145" w:rsidP="00313F04">
      <w:pPr>
        <w:jc w:val="center"/>
        <w:rPr>
          <w:sz w:val="28"/>
          <w:szCs w:val="28"/>
        </w:rPr>
      </w:pPr>
    </w:p>
    <w:p w:rsidR="00B62145" w:rsidRPr="00B0238C" w:rsidRDefault="00B62145" w:rsidP="00313F04">
      <w:pPr>
        <w:jc w:val="center"/>
        <w:rPr>
          <w:sz w:val="28"/>
          <w:szCs w:val="28"/>
        </w:rPr>
      </w:pPr>
    </w:p>
    <w:tbl>
      <w:tblPr>
        <w:tblW w:w="4368" w:type="dxa"/>
        <w:tblInd w:w="2718" w:type="dxa"/>
        <w:tblLayout w:type="fixed"/>
        <w:tblLook w:val="0000" w:firstRow="0" w:lastRow="0" w:firstColumn="0" w:lastColumn="0" w:noHBand="0" w:noVBand="0"/>
      </w:tblPr>
      <w:tblGrid>
        <w:gridCol w:w="4368"/>
      </w:tblGrid>
      <w:tr w:rsidR="00B62145" w:rsidRPr="00B0238C" w:rsidTr="00916FBA">
        <w:trPr>
          <w:cantSplit/>
          <w:trHeight w:hRule="exact" w:val="2419"/>
        </w:trPr>
        <w:tc>
          <w:tcPr>
            <w:tcW w:w="4368" w:type="dxa"/>
          </w:tcPr>
          <w:p w:rsidR="00916FBA" w:rsidRDefault="00313F04" w:rsidP="00313F04">
            <w:pPr>
              <w:rPr>
                <w:b/>
                <w:caps/>
                <w:sz w:val="28"/>
                <w:szCs w:val="28"/>
              </w:rPr>
            </w:pPr>
            <w:bookmarkStart w:id="2" w:name="Prop_Add"/>
            <w:bookmarkEnd w:id="2"/>
            <w:r>
              <w:rPr>
                <w:b/>
                <w:caps/>
                <w:sz w:val="28"/>
                <w:szCs w:val="28"/>
              </w:rPr>
              <w:t xml:space="preserve">   </w:t>
            </w:r>
            <w:r w:rsidR="00916FBA">
              <w:rPr>
                <w:b/>
                <w:caps/>
                <w:sz w:val="28"/>
                <w:szCs w:val="28"/>
              </w:rPr>
              <w:t>PROPERTY ADDRESS</w:t>
            </w: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916FBA" w:rsidRDefault="00916FBA" w:rsidP="00313F04">
            <w:pPr>
              <w:jc w:val="center"/>
              <w:rPr>
                <w:b/>
                <w:caps/>
                <w:sz w:val="28"/>
                <w:szCs w:val="28"/>
              </w:rPr>
            </w:pPr>
          </w:p>
          <w:p w:rsidR="00B62145" w:rsidRPr="00B0238C" w:rsidRDefault="00313F04" w:rsidP="00313F04">
            <w:pPr>
              <w:rPr>
                <w:b/>
                <w:caps/>
                <w:sz w:val="28"/>
                <w:szCs w:val="28"/>
              </w:rPr>
            </w:pPr>
            <w:r>
              <w:rPr>
                <w:b/>
                <w:caps/>
                <w:sz w:val="28"/>
                <w:szCs w:val="28"/>
              </w:rPr>
              <w:t xml:space="preserve">                 </w:t>
            </w:r>
            <w:r w:rsidR="00916FBA">
              <w:rPr>
                <w:b/>
                <w:caps/>
                <w:sz w:val="28"/>
                <w:szCs w:val="28"/>
              </w:rPr>
              <w:t>DATE</w:t>
            </w:r>
          </w:p>
        </w:tc>
      </w:tr>
      <w:tr w:rsidR="00B62145" w:rsidRPr="00B0238C" w:rsidTr="00916FBA">
        <w:trPr>
          <w:trHeight w:val="329"/>
        </w:trPr>
        <w:tc>
          <w:tcPr>
            <w:tcW w:w="4368" w:type="dxa"/>
          </w:tcPr>
          <w:p w:rsidR="00B62145" w:rsidRPr="00B0238C" w:rsidRDefault="00B62145">
            <w:pPr>
              <w:jc w:val="center"/>
              <w:rPr>
                <w:b/>
                <w:caps/>
                <w:sz w:val="28"/>
                <w:szCs w:val="28"/>
              </w:rPr>
            </w:pPr>
          </w:p>
        </w:tc>
      </w:tr>
      <w:tr w:rsidR="00B62145" w:rsidRPr="00B0238C" w:rsidTr="00916FBA">
        <w:trPr>
          <w:trHeight w:val="329"/>
        </w:trPr>
        <w:tc>
          <w:tcPr>
            <w:tcW w:w="4368" w:type="dxa"/>
          </w:tcPr>
          <w:p w:rsidR="00B62145" w:rsidRPr="00B0238C" w:rsidRDefault="00B62145">
            <w:pPr>
              <w:pStyle w:val="Heading4"/>
              <w:rPr>
                <w:caps/>
                <w:sz w:val="28"/>
                <w:szCs w:val="28"/>
              </w:rPr>
            </w:pPr>
          </w:p>
        </w:tc>
      </w:tr>
    </w:tbl>
    <w:p w:rsidR="00B62145" w:rsidRPr="00B0238C" w:rsidRDefault="003E144D">
      <w:pPr>
        <w:jc w:val="center"/>
        <w:rPr>
          <w:sz w:val="28"/>
          <w:szCs w:val="28"/>
        </w:rPr>
      </w:pPr>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11430" t="11430" r="5715" b="11430"/>
                <wp:wrapNone/>
                <wp:docPr id="2" name="Oval 3">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E5C7D2"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p>
    <w:p w:rsidR="00B62145" w:rsidRPr="00B0238C" w:rsidRDefault="00B62145">
      <w:pPr>
        <w:jc w:val="center"/>
        <w:rPr>
          <w:sz w:val="28"/>
          <w:szCs w:val="28"/>
        </w:rPr>
      </w:pPr>
      <w:bookmarkStart w:id="3" w:name="_Hlt434895995"/>
      <w:bookmarkEnd w:id="3"/>
    </w:p>
    <w:p w:rsidR="00916FBA" w:rsidRDefault="00916FBA" w:rsidP="00EB5185">
      <w:pPr>
        <w:tabs>
          <w:tab w:val="left" w:pos="3024"/>
        </w:tabs>
        <w:jc w:val="center"/>
        <w:rPr>
          <w:noProof/>
          <w:sz w:val="28"/>
          <w:szCs w:val="28"/>
        </w:rPr>
      </w:pPr>
      <w:r>
        <w:rPr>
          <w:noProof/>
          <w:sz w:val="28"/>
          <w:szCs w:val="28"/>
        </w:rPr>
        <w:t>COMPANY LOGO</w:t>
      </w:r>
    </w:p>
    <w:p w:rsidR="00EB5185" w:rsidRDefault="00916FBA" w:rsidP="00916FBA">
      <w:pPr>
        <w:tabs>
          <w:tab w:val="left" w:pos="3024"/>
        </w:tabs>
        <w:jc w:val="center"/>
        <w:rPr>
          <w:b/>
          <w:sz w:val="28"/>
          <w:szCs w:val="28"/>
        </w:rPr>
      </w:pPr>
      <w:r>
        <w:rPr>
          <w:noProof/>
          <w:sz w:val="28"/>
          <w:szCs w:val="28"/>
        </w:rPr>
        <w:t>CONTACT NO:</w:t>
      </w: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p>
    <w:p w:rsidR="00B62145" w:rsidRPr="00B0238C" w:rsidRDefault="00B62145">
      <w:pPr>
        <w:jc w:val="center"/>
        <w:rPr>
          <w:sz w:val="28"/>
          <w:szCs w:val="28"/>
        </w:rPr>
      </w:pPr>
      <w:r w:rsidRPr="00B0238C">
        <w:rPr>
          <w:sz w:val="28"/>
          <w:szCs w:val="28"/>
        </w:rPr>
        <w:t>ON BEHALF OF</w:t>
      </w:r>
    </w:p>
    <w:p w:rsidR="00B62145" w:rsidRPr="00B0238C" w:rsidRDefault="00B62145">
      <w:pPr>
        <w:pStyle w:val="Heading2"/>
        <w:jc w:val="left"/>
        <w:rPr>
          <w:szCs w:val="28"/>
          <w:lang w:val="en-US"/>
        </w:rPr>
      </w:pPr>
    </w:p>
    <w:p w:rsidR="00313F04" w:rsidRDefault="00313F04" w:rsidP="0098469A">
      <w:pPr>
        <w:jc w:val="center"/>
        <w:rPr>
          <w:b/>
          <w:sz w:val="28"/>
          <w:szCs w:val="28"/>
          <w:lang w:val="en-US"/>
        </w:rPr>
      </w:pPr>
      <w:bookmarkStart w:id="4" w:name="clientName"/>
      <w:bookmarkEnd w:id="4"/>
      <w:r>
        <w:rPr>
          <w:b/>
          <w:sz w:val="28"/>
          <w:szCs w:val="28"/>
          <w:lang w:val="en-US"/>
        </w:rPr>
        <w:t>ADDRESS</w:t>
      </w:r>
    </w:p>
    <w:p w:rsidR="00D834A1" w:rsidRDefault="00D834A1" w:rsidP="0098469A">
      <w:pPr>
        <w:jc w:val="center"/>
        <w:rPr>
          <w:b/>
          <w:sz w:val="28"/>
          <w:szCs w:val="28"/>
        </w:rPr>
      </w:pPr>
    </w:p>
    <w:p w:rsidR="00B62145" w:rsidRDefault="00B62145" w:rsidP="0098469A">
      <w:pPr>
        <w:jc w:val="center"/>
        <w:rPr>
          <w:b/>
          <w:sz w:val="28"/>
          <w:szCs w:val="28"/>
        </w:rPr>
      </w:pPr>
    </w:p>
    <w:p w:rsidR="00E63938" w:rsidRPr="00B0238C" w:rsidRDefault="00E63938" w:rsidP="0098469A">
      <w:pPr>
        <w:jc w:val="center"/>
        <w:rPr>
          <w:b/>
          <w:sz w:val="28"/>
          <w:szCs w:val="28"/>
        </w:rPr>
      </w:pPr>
      <w:r>
        <w:rPr>
          <w:b/>
          <w:sz w:val="28"/>
          <w:szCs w:val="28"/>
        </w:rPr>
        <w:t xml:space="preserve">Tel: </w:t>
      </w:r>
      <w:bookmarkStart w:id="5" w:name="clientTel"/>
      <w:bookmarkEnd w:id="5"/>
    </w:p>
    <w:p w:rsidR="00B62145" w:rsidRPr="00B0238C" w:rsidRDefault="00B62145">
      <w:pPr>
        <w:rPr>
          <w:b/>
          <w:sz w:val="28"/>
          <w:szCs w:val="28"/>
        </w:rPr>
      </w:pPr>
    </w:p>
    <w:p w:rsidR="00B62145" w:rsidRPr="00B0238C" w:rsidRDefault="00B62145">
      <w:pPr>
        <w:jc w:val="center"/>
        <w:rPr>
          <w:b/>
          <w:sz w:val="28"/>
          <w:szCs w:val="28"/>
        </w:rPr>
        <w:sectPr w:rsidR="00B62145" w:rsidRPr="00B0238C">
          <w:headerReference w:type="default" r:id="rId8"/>
          <w:footerReference w:type="default" r:id="rId9"/>
          <w:headerReference w:type="first" r:id="rId10"/>
          <w:type w:val="continuous"/>
          <w:pgSz w:w="11909" w:h="16834" w:code="9"/>
          <w:pgMar w:top="403" w:right="1440" w:bottom="850" w:left="1440" w:header="576" w:footer="864" w:gutter="0"/>
          <w:cols w:space="720"/>
          <w:titlePg/>
        </w:sectPr>
      </w:pPr>
    </w:p>
    <w:p w:rsidR="00B62145" w:rsidRPr="00B0238C" w:rsidRDefault="00B62145">
      <w:pPr>
        <w:jc w:val="center"/>
        <w:rPr>
          <w:b/>
          <w:sz w:val="28"/>
          <w:szCs w:val="28"/>
        </w:rPr>
      </w:pPr>
    </w:p>
    <w:p w:rsidR="003A77A1" w:rsidRPr="00B0238C" w:rsidRDefault="00B62145" w:rsidP="003A77A1">
      <w:pPr>
        <w:rPr>
          <w:b/>
          <w:sz w:val="28"/>
          <w:szCs w:val="28"/>
        </w:rPr>
      </w:pPr>
      <w:r w:rsidRPr="00B0238C">
        <w:rPr>
          <w:b/>
          <w:sz w:val="28"/>
          <w:szCs w:val="28"/>
        </w:rPr>
        <w:br w:type="page"/>
      </w:r>
    </w:p>
    <w:p w:rsidR="0085396F" w:rsidRDefault="0085396F" w:rsidP="00EB5185">
      <w:pPr>
        <w:jc w:val="both"/>
        <w:rPr>
          <w:bCs/>
        </w:rPr>
      </w:pPr>
    </w:p>
    <w:p w:rsidR="00313F04" w:rsidRDefault="00313F04" w:rsidP="00313F04">
      <w:pPr>
        <w:rPr>
          <w:b/>
          <w:sz w:val="18"/>
          <w:szCs w:val="18"/>
          <w:u w:val="single"/>
        </w:rPr>
      </w:pPr>
      <w:r>
        <w:rPr>
          <w:b/>
          <w:sz w:val="18"/>
          <w:szCs w:val="18"/>
          <w:u w:val="single"/>
        </w:rPr>
        <w:t>DISCLAIMER</w:t>
      </w:r>
    </w:p>
    <w:p w:rsidR="00313F04" w:rsidRDefault="00313F04" w:rsidP="00313F04">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313F04" w:rsidRDefault="00313F04" w:rsidP="00313F04">
      <w:pPr>
        <w:jc w:val="both"/>
        <w:rPr>
          <w:sz w:val="18"/>
          <w:szCs w:val="18"/>
        </w:rPr>
      </w:pPr>
    </w:p>
    <w:p w:rsidR="00313F04" w:rsidRDefault="00313F04" w:rsidP="00313F04">
      <w:pPr>
        <w:jc w:val="both"/>
        <w:rPr>
          <w:sz w:val="18"/>
          <w:szCs w:val="18"/>
        </w:rPr>
      </w:pPr>
      <w:r>
        <w:rPr>
          <w:sz w:val="18"/>
          <w:szCs w:val="18"/>
        </w:rPr>
        <w:t xml:space="preserve">Because the individual preparing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313F04" w:rsidRDefault="00313F04" w:rsidP="00313F04">
      <w:pPr>
        <w:jc w:val="both"/>
        <w:rPr>
          <w:sz w:val="18"/>
          <w:szCs w:val="18"/>
        </w:rPr>
      </w:pPr>
    </w:p>
    <w:p w:rsidR="00313F04" w:rsidRDefault="00313F04" w:rsidP="00313F04">
      <w:pPr>
        <w:jc w:val="both"/>
        <w:rPr>
          <w:sz w:val="18"/>
          <w:szCs w:val="18"/>
        </w:rPr>
      </w:pPr>
      <w:r>
        <w:rPr>
          <w:sz w:val="18"/>
          <w:szCs w:val="18"/>
        </w:rPr>
        <w:t>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individual preparing this inventory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313F04" w:rsidRDefault="00313F04" w:rsidP="00313F04">
      <w:pPr>
        <w:jc w:val="both"/>
        <w:rPr>
          <w:sz w:val="18"/>
          <w:szCs w:val="18"/>
        </w:rPr>
      </w:pPr>
    </w:p>
    <w:p w:rsidR="00313F04" w:rsidRDefault="00313F04" w:rsidP="00313F04">
      <w:pPr>
        <w:jc w:val="both"/>
        <w:rPr>
          <w:sz w:val="18"/>
          <w:szCs w:val="18"/>
        </w:rPr>
      </w:pPr>
      <w:r>
        <w:rPr>
          <w:sz w:val="18"/>
          <w:szCs w:val="18"/>
        </w:rPr>
        <w:t>Where inventories are completed with tenants in situ - i.e. already occupying the property - and it is deemed difficult for the individual to differentiate between that belonging to the landlord or tenant, the report may contain inaccuracies for which the individual will not be held responsible, especially if areas within the property are inaccessible or viewable through conditions prohibiting easy viewing.</w:t>
      </w:r>
    </w:p>
    <w:p w:rsidR="00313F04" w:rsidRDefault="00313F04" w:rsidP="00313F04">
      <w:pPr>
        <w:jc w:val="both"/>
        <w:rPr>
          <w:sz w:val="18"/>
          <w:szCs w:val="18"/>
        </w:rPr>
      </w:pPr>
    </w:p>
    <w:p w:rsidR="00313F04" w:rsidRDefault="00313F04" w:rsidP="00313F04">
      <w:pPr>
        <w:jc w:val="both"/>
        <w:rPr>
          <w:sz w:val="18"/>
          <w:szCs w:val="18"/>
        </w:rPr>
      </w:pPr>
      <w:r>
        <w:rPr>
          <w:sz w:val="18"/>
          <w:szCs w:val="18"/>
        </w:rPr>
        <w:t>It is highly recommended that validation of this inventory be completed by landlord and or tenant to confirm its accuracy. Any queries or discrepancies relating to the description or content must be addressed to the individual who prepared this report directly within 14 days of the date of inspection.</w:t>
      </w:r>
    </w:p>
    <w:p w:rsidR="00313F04" w:rsidRDefault="00313F04" w:rsidP="00313F04">
      <w:pPr>
        <w:jc w:val="both"/>
        <w:rPr>
          <w:sz w:val="18"/>
          <w:szCs w:val="18"/>
        </w:rPr>
      </w:pPr>
    </w:p>
    <w:p w:rsidR="00313F04" w:rsidRDefault="00313F04" w:rsidP="00313F04">
      <w:pPr>
        <w:jc w:val="both"/>
        <w:rPr>
          <w:sz w:val="18"/>
          <w:szCs w:val="18"/>
        </w:rPr>
      </w:pPr>
      <w:r>
        <w:rPr>
          <w:sz w:val="18"/>
          <w:szCs w:val="18"/>
        </w:rPr>
        <w:t>Please note that the inventory is compiled in such a way as to reflect that which the individual who prepared this report observed at the time of inspection and that any dilapidations, faults, breakages, dirt etc. is only noted if seen; otherwise that which is listed as presumed to be in good order even if that recorded is not necessarily new or perfect.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SAFETY DISCLAIMER</w:t>
      </w:r>
    </w:p>
    <w:p w:rsidR="00313F04" w:rsidRDefault="00313F04" w:rsidP="00313F04">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313F04" w:rsidRDefault="00313F04" w:rsidP="00313F04">
      <w:pPr>
        <w:jc w:val="both"/>
        <w:rPr>
          <w:sz w:val="18"/>
          <w:szCs w:val="18"/>
        </w:rPr>
      </w:pPr>
    </w:p>
    <w:p w:rsidR="00313F04" w:rsidRDefault="00313F04" w:rsidP="00313F04">
      <w:pPr>
        <w:jc w:val="both"/>
        <w:rPr>
          <w:sz w:val="18"/>
          <w:szCs w:val="18"/>
        </w:rPr>
      </w:pPr>
      <w:r>
        <w:rPr>
          <w:sz w:val="18"/>
          <w:szCs w:val="18"/>
        </w:rPr>
        <w:t>The individual who prepared this report may not be a qualified electrician, HHSRS or Fire Regulation expert and is not required to report on anything which may contravene any housing or safety regulations although they may indicate where something appears to require attention.</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FURNITURE &amp; FURNISHINGS (FIRE) (SAFETY) REGULATIONS 1988 as amended 1993</w:t>
      </w:r>
    </w:p>
    <w:p w:rsidR="00313F04" w:rsidRDefault="00313F04" w:rsidP="00313F04">
      <w:pPr>
        <w:jc w:val="both"/>
        <w:rPr>
          <w:sz w:val="18"/>
          <w:szCs w:val="18"/>
        </w:rPr>
      </w:pPr>
      <w:r>
        <w:rPr>
          <w:sz w:val="18"/>
          <w:szCs w:val="18"/>
        </w:rPr>
        <w:t>Relevant furniture and furnishings, which have the appropriate label complying with the above regulations, will be indicated on the inventory as “fire resistant”.</w:t>
      </w:r>
    </w:p>
    <w:p w:rsidR="00313F04" w:rsidRDefault="00313F04" w:rsidP="00313F04">
      <w:pPr>
        <w:jc w:val="both"/>
        <w:rPr>
          <w:sz w:val="18"/>
          <w:szCs w:val="18"/>
        </w:rPr>
      </w:pPr>
    </w:p>
    <w:p w:rsidR="00313F04" w:rsidRDefault="00313F04" w:rsidP="00313F04">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SMOKE DETECTORS</w:t>
      </w:r>
    </w:p>
    <w:p w:rsidR="00313F04" w:rsidRDefault="00313F04" w:rsidP="00313F04">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UTILITY METERS</w:t>
      </w:r>
    </w:p>
    <w:p w:rsidR="00313F04" w:rsidRDefault="00313F04" w:rsidP="00313F04">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313F04" w:rsidRDefault="00313F04" w:rsidP="00313F04">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br w:type="page"/>
      </w:r>
    </w:p>
    <w:p w:rsidR="00313F04" w:rsidRDefault="00313F04" w:rsidP="00313F04">
      <w:pPr>
        <w:jc w:val="both"/>
        <w:rPr>
          <w:b/>
          <w:sz w:val="18"/>
          <w:szCs w:val="18"/>
          <w:u w:val="single"/>
        </w:rPr>
      </w:pPr>
      <w:r>
        <w:rPr>
          <w:b/>
          <w:sz w:val="18"/>
          <w:szCs w:val="18"/>
          <w:u w:val="single"/>
        </w:rPr>
        <w:lastRenderedPageBreak/>
        <w:t>GUIDANCE NOTES FOR LANDLORDS, TENANTS AND ADJUDICATORS ON THE USE OF THIS REPORT</w:t>
      </w:r>
    </w:p>
    <w:p w:rsidR="00313F04" w:rsidRDefault="00313F04" w:rsidP="00313F04">
      <w:pPr>
        <w:jc w:val="both"/>
        <w:rPr>
          <w:sz w:val="18"/>
          <w:szCs w:val="18"/>
        </w:rPr>
      </w:pPr>
      <w:r>
        <w:rPr>
          <w:sz w:val="18"/>
          <w:szCs w:val="18"/>
        </w:rPr>
        <w:t>This report may differ in style and content than other inventory services, and therefore it is important that relevant parties receiving this report are fully aware of how and why it is produced the way it is, and to help in this, please find below information which may assist in understanding its contents.</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INVENTORY</w:t>
      </w:r>
    </w:p>
    <w:p w:rsidR="00313F04" w:rsidRDefault="00313F04" w:rsidP="00313F04">
      <w:pPr>
        <w:jc w:val="both"/>
        <w:rPr>
          <w:sz w:val="18"/>
          <w:szCs w:val="18"/>
        </w:rPr>
      </w:pPr>
      <w:r>
        <w:rPr>
          <w:sz w:val="18"/>
          <w:szCs w:val="18"/>
        </w:rPr>
        <w:t xml:space="preserve">An inventory is a report which is produced following a property inspection, listing and describing each and every component and content of a property in the context of “as seen” at the time of the inspection. As seen meaning a written and photographed “snapshot” or video, to be used as the basis of how the property’s condition and its contents were seen by the individual who prepared this report. The inventory may have additional notes or observations added by relevant parties to confirm or enhance its accuracy. </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unless stated otherwise - either in brackets or in a separate column next to the item referred to - the listed item is assumed to be in good order, although not necessarily new or perfect.</w:t>
      </w:r>
    </w:p>
    <w:p w:rsidR="00313F04" w:rsidRDefault="00313F04" w:rsidP="00313F04">
      <w:pPr>
        <w:jc w:val="both"/>
        <w:rPr>
          <w:sz w:val="18"/>
          <w:szCs w:val="18"/>
        </w:rPr>
      </w:pPr>
      <w:r>
        <w:rPr>
          <w:sz w:val="18"/>
          <w:szCs w:val="18"/>
        </w:rPr>
        <w:t>Fair wear and tear is not considered at the time of inventory take, although the individual who prepared this report may offer an opinion as to an item’s age or condition if it helps in future identification, e.g. appears old or new.</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CHECK-IN</w:t>
      </w:r>
    </w:p>
    <w:p w:rsidR="00313F04" w:rsidRDefault="00313F04" w:rsidP="00313F04">
      <w:pPr>
        <w:jc w:val="both"/>
        <w:rPr>
          <w:sz w:val="18"/>
          <w:szCs w:val="18"/>
        </w:rPr>
      </w:pPr>
      <w:r>
        <w:rPr>
          <w:sz w:val="18"/>
          <w:szCs w:val="18"/>
        </w:rPr>
        <w:t>As the name implies, this report is used to qualify the accuracy – with any additional notes or information – of the inventory at move-in by the individual who prepared this report and tenant or tenant’s representative.</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a check-in is not a duplication or substitute for an inventory, although it may accompany or support an inventory in distinguishing anything which needs adding to or altering within the inventory.</w:t>
      </w:r>
    </w:p>
    <w:p w:rsidR="00313F04" w:rsidRDefault="00313F04" w:rsidP="00313F04">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313F04" w:rsidRDefault="00313F04" w:rsidP="00313F04">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MID-TERM</w:t>
      </w:r>
    </w:p>
    <w:p w:rsidR="00313F04" w:rsidRDefault="00313F04" w:rsidP="00313F04">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313F04" w:rsidRDefault="00313F04" w:rsidP="00313F04">
      <w:pPr>
        <w:jc w:val="both"/>
        <w:rPr>
          <w:sz w:val="18"/>
          <w:szCs w:val="18"/>
        </w:rPr>
      </w:pPr>
      <w:r w:rsidRPr="00B8342B">
        <w:rPr>
          <w:b/>
          <w:sz w:val="18"/>
          <w:szCs w:val="18"/>
        </w:rPr>
        <w:t>IMPORTANT</w:t>
      </w:r>
      <w:r>
        <w:rPr>
          <w:sz w:val="18"/>
          <w:szCs w:val="18"/>
        </w:rPr>
        <w:t>:  this report is used to verify that a property is being respectfully looked after and may, although unlikely, be part of a dispute process at tenancy end.</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THE CHECK-OUT</w:t>
      </w:r>
    </w:p>
    <w:p w:rsidR="00313F04" w:rsidRDefault="00313F04" w:rsidP="00313F04">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313F04" w:rsidRDefault="00313F04" w:rsidP="00313F04">
      <w:pPr>
        <w:jc w:val="both"/>
        <w:rPr>
          <w:sz w:val="18"/>
          <w:szCs w:val="18"/>
        </w:rPr>
      </w:pPr>
    </w:p>
    <w:p w:rsidR="00313F04" w:rsidRDefault="00313F04" w:rsidP="00313F04">
      <w:pPr>
        <w:jc w:val="both"/>
        <w:rPr>
          <w:sz w:val="18"/>
          <w:szCs w:val="18"/>
        </w:rPr>
      </w:pPr>
      <w:r w:rsidRPr="00B8342B">
        <w:rPr>
          <w:b/>
          <w:sz w:val="18"/>
          <w:szCs w:val="18"/>
        </w:rPr>
        <w:t>IMPORTANT</w:t>
      </w:r>
      <w:r>
        <w:rPr>
          <w:sz w:val="18"/>
          <w:szCs w:val="18"/>
        </w:rPr>
        <w:t xml:space="preserve">:  a check-out is not a duplicate inventory but will list differences for the purpose of identifying whether a landlord - or their representative - is able to claim for damages, loss or cleanliness issues. </w:t>
      </w:r>
    </w:p>
    <w:p w:rsidR="00313F04" w:rsidRDefault="00313F04" w:rsidP="00313F04">
      <w:pPr>
        <w:jc w:val="both"/>
        <w:rPr>
          <w:sz w:val="18"/>
          <w:szCs w:val="18"/>
        </w:rPr>
      </w:pPr>
      <w:r>
        <w:rPr>
          <w:sz w:val="18"/>
          <w:szCs w:val="18"/>
        </w:rPr>
        <w:t>Individuals will not offer opinions as to apportionment or value; this is the remit of the landlord or their agent, sometimes requiring support material such as quotes or receipts.</w:t>
      </w:r>
    </w:p>
    <w:p w:rsidR="00313F04" w:rsidRDefault="00313F04" w:rsidP="00313F04">
      <w:pPr>
        <w:jc w:val="both"/>
        <w:rPr>
          <w:sz w:val="18"/>
          <w:szCs w:val="18"/>
        </w:rPr>
      </w:pPr>
    </w:p>
    <w:p w:rsidR="00313F04" w:rsidRDefault="00313F04" w:rsidP="00313F04">
      <w:pPr>
        <w:jc w:val="both"/>
        <w:rPr>
          <w:b/>
          <w:sz w:val="18"/>
          <w:szCs w:val="18"/>
          <w:u w:val="single"/>
        </w:rPr>
      </w:pPr>
      <w:r>
        <w:rPr>
          <w:b/>
          <w:sz w:val="18"/>
          <w:szCs w:val="18"/>
          <w:u w:val="single"/>
        </w:rPr>
        <w:t>METER READINGS</w:t>
      </w:r>
    </w:p>
    <w:p w:rsidR="00313F04" w:rsidRDefault="00313F04" w:rsidP="00313F04">
      <w:pPr>
        <w:jc w:val="both"/>
        <w:rPr>
          <w:sz w:val="18"/>
          <w:szCs w:val="18"/>
        </w:rPr>
      </w:pPr>
      <w:r>
        <w:rPr>
          <w:sz w:val="18"/>
          <w:szCs w:val="18"/>
        </w:rPr>
        <w:t>We endeavour to obtain utility meter serial numbers and readings as a service, providing meters are found and safe to access.</w:t>
      </w:r>
    </w:p>
    <w:p w:rsidR="00313F04" w:rsidRDefault="00313F04" w:rsidP="00313F04">
      <w:pPr>
        <w:jc w:val="both"/>
        <w:rPr>
          <w:sz w:val="18"/>
          <w:szCs w:val="18"/>
        </w:rPr>
      </w:pPr>
    </w:p>
    <w:p w:rsidR="00313F04" w:rsidRDefault="00313F04" w:rsidP="00313F04">
      <w:pPr>
        <w:jc w:val="both"/>
        <w:rPr>
          <w:sz w:val="18"/>
          <w:szCs w:val="18"/>
        </w:rPr>
      </w:pPr>
      <w:r w:rsidRPr="00D530C2">
        <w:rPr>
          <w:b/>
          <w:sz w:val="18"/>
          <w:szCs w:val="18"/>
        </w:rPr>
        <w:t>IMPORTANT:</w:t>
      </w:r>
      <w:r>
        <w:rPr>
          <w:sz w:val="18"/>
          <w:szCs w:val="18"/>
        </w:rPr>
        <w:t xml:space="preserve">  where a meter is either inaccessible or poses a danger to the individual then notice will be given to why and suggestions made as to how to gain the reading. Examples of unsafe include accessing water meters in public or on-street locations.</w:t>
      </w:r>
    </w:p>
    <w:p w:rsidR="00313F04" w:rsidRDefault="00313F04" w:rsidP="00313F04">
      <w:pPr>
        <w:jc w:val="both"/>
        <w:rPr>
          <w:sz w:val="18"/>
          <w:szCs w:val="18"/>
        </w:rPr>
      </w:pPr>
    </w:p>
    <w:p w:rsidR="00313F04" w:rsidRPr="001B3326" w:rsidRDefault="00313F04" w:rsidP="00313F04">
      <w:pPr>
        <w:jc w:val="both"/>
        <w:rPr>
          <w:b/>
          <w:sz w:val="18"/>
          <w:szCs w:val="18"/>
          <w:u w:val="single"/>
        </w:rPr>
      </w:pPr>
      <w:r w:rsidRPr="001B3326">
        <w:rPr>
          <w:b/>
          <w:sz w:val="18"/>
          <w:szCs w:val="18"/>
          <w:u w:val="single"/>
        </w:rPr>
        <w:t>PAPERLESS INVENTORY VERIFICATION</w:t>
      </w:r>
    </w:p>
    <w:p w:rsidR="00313F04" w:rsidRPr="001B3326" w:rsidRDefault="00313F04" w:rsidP="00313F04">
      <w:pPr>
        <w:jc w:val="both"/>
        <w:rPr>
          <w:sz w:val="18"/>
          <w:szCs w:val="18"/>
        </w:rPr>
      </w:pPr>
      <w:r>
        <w:rPr>
          <w:sz w:val="18"/>
          <w:szCs w:val="18"/>
        </w:rPr>
        <w:t>We</w:t>
      </w:r>
      <w:r w:rsidRPr="001B3326">
        <w:rPr>
          <w:sz w:val="18"/>
          <w:szCs w:val="18"/>
        </w:rPr>
        <w:t xml:space="preserve"> may use a paperless tenant verification system. Clients using this system are able to trigger inventory reports online to tenants through coded links, allowing</w:t>
      </w:r>
      <w:r>
        <w:rPr>
          <w:sz w:val="18"/>
          <w:szCs w:val="18"/>
        </w:rPr>
        <w:t xml:space="preserve"> them to review an inventory on-</w:t>
      </w:r>
      <w:r w:rsidRPr="001B3326">
        <w:rPr>
          <w:sz w:val="18"/>
          <w:szCs w:val="18"/>
        </w:rPr>
        <w:t xml:space="preserve">screen, with the additional ability to add observations and pictures within the allowed time period given by landlords or agents. </w:t>
      </w:r>
    </w:p>
    <w:p w:rsidR="00313F04" w:rsidRPr="001B3326" w:rsidRDefault="00313F04" w:rsidP="00313F04">
      <w:pPr>
        <w:jc w:val="both"/>
        <w:rPr>
          <w:sz w:val="18"/>
          <w:szCs w:val="18"/>
        </w:rPr>
      </w:pPr>
      <w:r>
        <w:rPr>
          <w:sz w:val="18"/>
          <w:szCs w:val="18"/>
        </w:rPr>
        <w:t>Property Inventory Tracker</w:t>
      </w:r>
      <w:r w:rsidRPr="001B3326">
        <w:rPr>
          <w:sz w:val="18"/>
          <w:szCs w:val="18"/>
        </w:rPr>
        <w:t xml:space="preserve"> take responsibility for notifying tenants via text and email - providing correctly supplied – with messages, informing them of their ability, with all communications time and date stamped. </w:t>
      </w:r>
      <w:r>
        <w:rPr>
          <w:sz w:val="18"/>
          <w:szCs w:val="18"/>
        </w:rPr>
        <w:t xml:space="preserve">If they do not log-in and confirm the report, after the allotted time it is deemed to have been accepted. </w:t>
      </w:r>
    </w:p>
    <w:p w:rsidR="00313F04" w:rsidRPr="001B3326" w:rsidRDefault="00313F04" w:rsidP="00313F04">
      <w:pPr>
        <w:jc w:val="both"/>
        <w:rPr>
          <w:sz w:val="18"/>
          <w:szCs w:val="18"/>
        </w:rPr>
      </w:pPr>
    </w:p>
    <w:p w:rsidR="00313F04" w:rsidRPr="001B3326" w:rsidRDefault="00313F04" w:rsidP="00313F04">
      <w:pPr>
        <w:jc w:val="both"/>
        <w:rPr>
          <w:sz w:val="18"/>
          <w:szCs w:val="18"/>
        </w:rPr>
      </w:pPr>
      <w:r w:rsidRPr="001D665C">
        <w:rPr>
          <w:b/>
          <w:sz w:val="18"/>
          <w:szCs w:val="18"/>
        </w:rPr>
        <w:t>IMPORTANT:</w:t>
      </w:r>
      <w:r w:rsidRPr="001B3326">
        <w:rPr>
          <w:sz w:val="18"/>
          <w:szCs w:val="18"/>
        </w:rPr>
        <w:t xml:space="preserve">  This process does not conflict or contravene that recorded by the </w:t>
      </w:r>
      <w:r>
        <w:rPr>
          <w:sz w:val="18"/>
          <w:szCs w:val="18"/>
        </w:rPr>
        <w:t>individual</w:t>
      </w:r>
      <w:r w:rsidRPr="001B3326">
        <w:rPr>
          <w:sz w:val="18"/>
          <w:szCs w:val="18"/>
        </w:rPr>
        <w:t>, but correlates with tenant’s right to verify the inventory in their own time following move-in.</w:t>
      </w:r>
    </w:p>
    <w:p w:rsidR="00313F04" w:rsidRDefault="00313F04" w:rsidP="00313F04">
      <w:pPr>
        <w:jc w:val="both"/>
        <w:rPr>
          <w:sz w:val="18"/>
          <w:szCs w:val="18"/>
        </w:rPr>
      </w:pPr>
    </w:p>
    <w:p w:rsidR="00313F04" w:rsidRDefault="00313F04" w:rsidP="00313F04"/>
    <w:p w:rsidR="00313F04" w:rsidRDefault="00313F04" w:rsidP="00EB5185">
      <w:pPr>
        <w:jc w:val="both"/>
        <w:rPr>
          <w:bCs/>
        </w:rPr>
        <w:sectPr w:rsidR="00313F04" w:rsidSect="00B32EE0">
          <w:type w:val="continuous"/>
          <w:pgSz w:w="11909" w:h="16834" w:code="9"/>
          <w:pgMar w:top="680" w:right="851" w:bottom="680" w:left="851" w:header="578" w:footer="862" w:gutter="0"/>
          <w:cols w:space="720"/>
          <w:titlePg/>
        </w:sectPr>
      </w:pPr>
    </w:p>
    <w:p w:rsidR="00FF2A53" w:rsidRDefault="002A3D81" w:rsidP="00EB5185">
      <w:pPr>
        <w:autoSpaceDE w:val="0"/>
        <w:autoSpaceDN w:val="0"/>
        <w:adjustRightInd w:val="0"/>
        <w:jc w:val="both"/>
      </w:pPr>
      <w:r w:rsidRPr="00433DCE">
        <w:lastRenderedPageBreak/>
        <w:t>A check out inspection has been carried out referring to a copy of an inventory dated the</w:t>
      </w:r>
      <w:r w:rsidR="0062473C">
        <w:t xml:space="preserve"> </w:t>
      </w:r>
      <w:r w:rsidR="001422A1">
        <w:t xml:space="preserve">……………….  </w:t>
      </w:r>
      <w:r w:rsidRPr="00433DCE">
        <w:t>compiled by</w:t>
      </w:r>
      <w:r w:rsidR="0062473C">
        <w:t xml:space="preserve"> </w:t>
      </w:r>
      <w:r w:rsidR="001422A1">
        <w:t>…………….</w:t>
      </w:r>
      <w:r w:rsidR="0062473C">
        <w:t xml:space="preserve"> </w:t>
      </w:r>
      <w:r w:rsidRPr="00433DCE">
        <w:t>and apart from any stains, marks etc. indicated on the inventory the following observations were also made:</w:t>
      </w:r>
    </w:p>
    <w:p w:rsidR="0062473C" w:rsidRDefault="0062473C" w:rsidP="00EB5185">
      <w:pPr>
        <w:autoSpaceDE w:val="0"/>
        <w:autoSpaceDN w:val="0"/>
        <w:adjustRightInd w:val="0"/>
        <w:jc w:val="both"/>
      </w:pPr>
    </w:p>
    <w:p w:rsidR="0062473C" w:rsidRDefault="00916FBA" w:rsidP="00EB5185">
      <w:pPr>
        <w:autoSpaceDE w:val="0"/>
        <w:autoSpaceDN w:val="0"/>
        <w:adjustRightInd w:val="0"/>
        <w:jc w:val="both"/>
      </w:pPr>
      <w:r>
        <w:t>Numbers as per Inventory:</w:t>
      </w: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62473C" w:rsidRDefault="0062473C"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p w:rsidR="00916FBA" w:rsidRDefault="00916FBA" w:rsidP="00EB5185">
      <w:pPr>
        <w:autoSpaceDE w:val="0"/>
        <w:autoSpaceDN w:val="0"/>
        <w:adjustRightInd w:val="0"/>
        <w:jc w:val="both"/>
      </w:pPr>
    </w:p>
    <w:tbl>
      <w:tblPr>
        <w:tblStyle w:val="InvRecords"/>
        <w:tblW w:w="9663" w:type="dxa"/>
        <w:jc w:val="left"/>
        <w:tblInd w:w="113" w:type="dxa"/>
        <w:tblCellMar>
          <w:top w:w="113" w:type="dxa"/>
          <w:bottom w:w="113" w:type="dxa"/>
        </w:tblCellMar>
        <w:tblLook w:val="04A0" w:firstRow="1" w:lastRow="0" w:firstColumn="1" w:lastColumn="0" w:noHBand="0" w:noVBand="1"/>
      </w:tblPr>
      <w:tblGrid>
        <w:gridCol w:w="1944"/>
        <w:gridCol w:w="7719"/>
      </w:tblGrid>
      <w:tr w:rsidR="00D819C0"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D819C0" w:rsidRPr="00B0238C" w:rsidRDefault="00D819C0" w:rsidP="00FD62EE">
            <w:pPr>
              <w:jc w:val="left"/>
              <w:rPr>
                <w:rFonts w:cs="Times New Roman"/>
                <w:i w:val="0"/>
              </w:rPr>
            </w:pPr>
            <w:r w:rsidRPr="00B0238C">
              <w:rPr>
                <w:rFonts w:cs="Times New Roman"/>
                <w:i w:val="0"/>
              </w:rPr>
              <w:lastRenderedPageBreak/>
              <w:t>description</w:t>
            </w:r>
          </w:p>
        </w:tc>
        <w:tc>
          <w:tcPr>
            <w:tcW w:w="7719" w:type="dxa"/>
            <w:shd w:val="clear" w:color="auto" w:fill="auto"/>
          </w:tcPr>
          <w:p w:rsidR="00D819C0" w:rsidRPr="00B0238C" w:rsidRDefault="00D819C0" w:rsidP="00FD62EE">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D819C0" w:rsidRPr="00B0238C" w:rsidRDefault="00D819C0" w:rsidP="00D819C0"/>
    <w:tbl>
      <w:tblPr>
        <w:tblStyle w:val="InvRecords"/>
        <w:tblW w:w="9663" w:type="dxa"/>
        <w:jc w:val="left"/>
        <w:tblInd w:w="113" w:type="dxa"/>
        <w:tblLayout w:type="fixed"/>
        <w:tblLook w:val="04A0" w:firstRow="1" w:lastRow="0" w:firstColumn="1" w:lastColumn="0" w:noHBand="0" w:noVBand="1"/>
      </w:tblPr>
      <w:tblGrid>
        <w:gridCol w:w="1951"/>
        <w:gridCol w:w="3006"/>
        <w:gridCol w:w="2409"/>
        <w:gridCol w:w="2297"/>
      </w:tblGrid>
      <w:tr w:rsidR="003A7A69" w:rsidRPr="0069669A"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jc w:val="left"/>
              <w:rPr>
                <w:rFonts w:cs="Times New Roman"/>
                <w:i w:val="0"/>
              </w:rPr>
            </w:pPr>
            <w:r w:rsidRPr="0069669A">
              <w:rPr>
                <w:rFonts w:cs="Times New Roman"/>
                <w:i w:val="0"/>
              </w:rPr>
              <w:t>services</w:t>
            </w:r>
          </w:p>
        </w:tc>
        <w:tc>
          <w:tcPr>
            <w:tcW w:w="3006"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METER location</w:t>
            </w:r>
          </w:p>
        </w:tc>
        <w:tc>
          <w:tcPr>
            <w:tcW w:w="2409"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serial no.</w:t>
            </w:r>
          </w:p>
        </w:tc>
        <w:tc>
          <w:tcPr>
            <w:tcW w:w="2297" w:type="dxa"/>
          </w:tcPr>
          <w:p w:rsidR="003A7A69" w:rsidRPr="0069669A" w:rsidRDefault="003A7A69"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readings</w:t>
            </w:r>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gas</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6" w:name="gas_meter_location"/>
            <w:bookmarkEnd w:id="6"/>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7" w:name="gas_meter_serial"/>
            <w:bookmarkEnd w:id="7"/>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 w:name="gas_meter_reading"/>
            <w:bookmarkEnd w:id="8"/>
          </w:p>
        </w:tc>
      </w:tr>
      <w:tr w:rsidR="003A7A69" w:rsidRPr="0069669A" w:rsidTr="0062473C">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electricity</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 w:name="electricity_meter_location"/>
            <w:bookmarkEnd w:id="9"/>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0" w:name="electricity_meter_serial"/>
            <w:bookmarkEnd w:id="10"/>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1" w:name="electricity_meter_reading"/>
            <w:bookmarkEnd w:id="11"/>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water</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2" w:name="water_meter_location"/>
            <w:bookmarkEnd w:id="12"/>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3" w:name="water_meter_serial"/>
            <w:bookmarkEnd w:id="13"/>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4" w:name="water_meter_reading"/>
            <w:bookmarkEnd w:id="14"/>
          </w:p>
        </w:tc>
      </w:tr>
      <w:tr w:rsidR="003A7A69" w:rsidRPr="0069669A"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3A7A69" w:rsidRPr="0069669A" w:rsidRDefault="003A7A69" w:rsidP="007168C1">
            <w:pPr>
              <w:spacing w:line="276" w:lineRule="auto"/>
              <w:rPr>
                <w:rFonts w:cs="Times New Roman"/>
                <w:i w:val="0"/>
              </w:rPr>
            </w:pPr>
            <w:r w:rsidRPr="0069669A">
              <w:rPr>
                <w:rFonts w:cs="Times New Roman"/>
                <w:i w:val="0"/>
              </w:rPr>
              <w:t>oil</w:t>
            </w:r>
          </w:p>
        </w:tc>
        <w:tc>
          <w:tcPr>
            <w:tcW w:w="3006"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297" w:type="dxa"/>
            <w:shd w:val="clear" w:color="auto" w:fill="FFFFFF" w:themeFill="background1"/>
          </w:tcPr>
          <w:p w:rsidR="003A7A69" w:rsidRPr="0069669A" w:rsidRDefault="003A7A69"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62473C" w:rsidRDefault="0062473C"/>
    <w:p w:rsidR="00EB046D" w:rsidRDefault="00916FBA" w:rsidP="00EB046D">
      <w:pPr>
        <w:jc w:val="center"/>
      </w:pPr>
      <w:r>
        <w:t>Photographs of meters</w:t>
      </w:r>
    </w:p>
    <w:p w:rsidR="00EB046D" w:rsidRDefault="00EB046D"/>
    <w:tbl>
      <w:tblPr>
        <w:tblStyle w:val="InvRecords"/>
        <w:tblW w:w="9663" w:type="dxa"/>
        <w:jc w:val="left"/>
        <w:tblInd w:w="113" w:type="dxa"/>
        <w:tblLayout w:type="fixed"/>
        <w:tblLook w:val="04A0" w:firstRow="1" w:lastRow="0" w:firstColumn="1" w:lastColumn="0" w:noHBand="0" w:noVBand="1"/>
      </w:tblPr>
      <w:tblGrid>
        <w:gridCol w:w="4985"/>
        <w:gridCol w:w="4678"/>
      </w:tblGrid>
      <w:tr w:rsidR="0062473C"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E56FE1" w:rsidRDefault="0062473C" w:rsidP="00E56FE1">
            <w:pPr>
              <w:rPr>
                <w:i w:val="0"/>
              </w:rPr>
            </w:pPr>
            <w:bookmarkStart w:id="15" w:name="_Toc299991695"/>
            <w:bookmarkStart w:id="16" w:name="_Toc330539121"/>
            <w:bookmarkStart w:id="17" w:name="_Toc378751414"/>
            <w:r w:rsidRPr="00E56FE1">
              <w:rPr>
                <w:i w:val="0"/>
              </w:rPr>
              <w:t>keys</w:t>
            </w:r>
            <w:bookmarkEnd w:id="15"/>
            <w:bookmarkEnd w:id="16"/>
            <w:bookmarkEnd w:id="17"/>
            <w:r>
              <w:rPr>
                <w:i w:val="0"/>
              </w:rPr>
              <w:t xml:space="preserve"> RETURNED</w:t>
            </w:r>
          </w:p>
        </w:tc>
        <w:tc>
          <w:tcPr>
            <w:tcW w:w="4678" w:type="dxa"/>
          </w:tcPr>
          <w:p w:rsidR="0062473C" w:rsidRPr="00B0238C" w:rsidRDefault="0062473C" w:rsidP="0062473C">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CORRESPONDENCE DETAILS</w:t>
            </w: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r w:rsidR="0062473C"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4985" w:type="dxa"/>
          </w:tcPr>
          <w:p w:rsidR="0062473C" w:rsidRPr="00B0238C" w:rsidRDefault="0062473C" w:rsidP="00FD62EE">
            <w:pPr>
              <w:rPr>
                <w:rFonts w:cs="Times New Roman"/>
                <w:i w:val="0"/>
              </w:rPr>
            </w:pPr>
          </w:p>
        </w:tc>
        <w:tc>
          <w:tcPr>
            <w:tcW w:w="4678" w:type="dxa"/>
            <w:shd w:val="clear" w:color="auto" w:fill="FFFFFF" w:themeFill="background1"/>
          </w:tcPr>
          <w:p w:rsidR="0062473C" w:rsidRPr="00B0238C" w:rsidRDefault="0062473C" w:rsidP="00FD62EE">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D819C0" w:rsidRPr="00B0238C" w:rsidRDefault="00D819C0" w:rsidP="00D819C0"/>
    <w:tbl>
      <w:tblPr>
        <w:tblStyle w:val="InvRecords"/>
        <w:tblW w:w="9663" w:type="dxa"/>
        <w:jc w:val="left"/>
        <w:tblInd w:w="113" w:type="dxa"/>
        <w:tblCellMar>
          <w:top w:w="113" w:type="dxa"/>
          <w:bottom w:w="113" w:type="dxa"/>
        </w:tblCellMar>
        <w:tblLook w:val="04A0" w:firstRow="1" w:lastRow="0" w:firstColumn="1" w:lastColumn="0" w:noHBand="0" w:noVBand="1"/>
      </w:tblPr>
      <w:tblGrid>
        <w:gridCol w:w="1980"/>
        <w:gridCol w:w="2410"/>
        <w:gridCol w:w="2409"/>
        <w:gridCol w:w="2864"/>
      </w:tblGrid>
      <w:tr w:rsidR="00D819C0" w:rsidRPr="00B0238C" w:rsidTr="0062473C">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B0238C" w:rsidRDefault="00D819C0" w:rsidP="00FD62EE">
            <w:pPr>
              <w:jc w:val="left"/>
              <w:rPr>
                <w:rFonts w:cs="Times New Roman"/>
                <w:i w:val="0"/>
              </w:rPr>
            </w:pPr>
            <w:r w:rsidRPr="00B0238C">
              <w:rPr>
                <w:rFonts w:cs="Times New Roman"/>
                <w:i w:val="0"/>
              </w:rPr>
              <w:t>general condition/</w:t>
            </w:r>
          </w:p>
          <w:p w:rsidR="00D819C0" w:rsidRPr="00B0238C" w:rsidRDefault="00D819C0" w:rsidP="00FD62EE">
            <w:pPr>
              <w:jc w:val="left"/>
              <w:rPr>
                <w:rFonts w:cs="Times New Roman"/>
                <w:i w:val="0"/>
              </w:rPr>
            </w:pPr>
            <w:r w:rsidRPr="00B0238C">
              <w:rPr>
                <w:rFonts w:cs="Times New Roman"/>
                <w:i w:val="0"/>
              </w:rPr>
              <w:t>decorative order</w:t>
            </w:r>
          </w:p>
        </w:tc>
        <w:tc>
          <w:tcPr>
            <w:tcW w:w="7683" w:type="dxa"/>
            <w:gridSpan w:val="3"/>
            <w:shd w:val="clear" w:color="auto" w:fill="auto"/>
          </w:tcPr>
          <w:p w:rsidR="00D819C0" w:rsidRPr="00B0238C" w:rsidRDefault="00D819C0" w:rsidP="00FD62EE">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D819C0" w:rsidRPr="00B0238C"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B0238C" w:rsidRDefault="00D819C0" w:rsidP="00FD62EE">
            <w:pPr>
              <w:rPr>
                <w:rFonts w:cs="Times New Roman"/>
                <w:i w:val="0"/>
              </w:rPr>
            </w:pPr>
            <w:r w:rsidRPr="00B0238C">
              <w:rPr>
                <w:rFonts w:cs="Times New Roman"/>
                <w:i w:val="0"/>
              </w:rPr>
              <w:t>standard of cleaning</w:t>
            </w:r>
          </w:p>
        </w:tc>
        <w:tc>
          <w:tcPr>
            <w:tcW w:w="2410" w:type="dxa"/>
            <w:shd w:val="clear" w:color="auto" w:fill="auto"/>
            <w:vAlign w:val="top"/>
          </w:tcPr>
          <w:p w:rsidR="00D819C0" w:rsidRPr="002A4B84" w:rsidRDefault="00D819C0" w:rsidP="00916FB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General cleaning:</w:t>
            </w:r>
          </w:p>
        </w:tc>
        <w:tc>
          <w:tcPr>
            <w:tcW w:w="2409" w:type="dxa"/>
            <w:shd w:val="clear" w:color="auto" w:fill="auto"/>
            <w:vAlign w:val="top"/>
          </w:tcPr>
          <w:p w:rsidR="00D819C0" w:rsidRPr="002A4B84" w:rsidRDefault="00D819C0" w:rsidP="00FD62EE">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Carpet/upholstery:</w:t>
            </w:r>
          </w:p>
          <w:p w:rsidR="00D819C0" w:rsidRPr="002A4B84" w:rsidRDefault="00D819C0" w:rsidP="00FD62EE">
            <w:pPr>
              <w:spacing w:before="240"/>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864" w:type="dxa"/>
            <w:shd w:val="clear" w:color="auto" w:fill="auto"/>
            <w:vAlign w:val="top"/>
          </w:tcPr>
          <w:p w:rsidR="00D819C0" w:rsidRPr="002A4B84" w:rsidRDefault="00D819C0" w:rsidP="00916FB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2A4B84">
              <w:rPr>
                <w:rFonts w:cs="Times New Roman"/>
              </w:rPr>
              <w:t>Window</w:t>
            </w:r>
            <w:r w:rsidR="00916FBA">
              <w:rPr>
                <w:rFonts w:cs="Times New Roman"/>
              </w:rPr>
              <w:t>s:</w:t>
            </w:r>
          </w:p>
        </w:tc>
      </w:tr>
      <w:tr w:rsidR="00D819C0" w:rsidRPr="0095323E" w:rsidTr="0062473C">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D819C0" w:rsidRPr="0095323E" w:rsidRDefault="00D819C0" w:rsidP="0095323E">
            <w:pPr>
              <w:rPr>
                <w:i w:val="0"/>
              </w:rPr>
            </w:pPr>
            <w:r w:rsidRPr="0095323E">
              <w:rPr>
                <w:i w:val="0"/>
              </w:rPr>
              <w:t>Gardens</w:t>
            </w:r>
          </w:p>
        </w:tc>
        <w:tc>
          <w:tcPr>
            <w:tcW w:w="7683" w:type="dxa"/>
            <w:gridSpan w:val="3"/>
            <w:shd w:val="clear" w:color="auto" w:fill="auto"/>
          </w:tcPr>
          <w:p w:rsidR="00D819C0" w:rsidRPr="0095323E" w:rsidRDefault="00D819C0" w:rsidP="0062473C">
            <w:pPr>
              <w:jc w:val="left"/>
              <w:cnfStyle w:val="000000000000" w:firstRow="0" w:lastRow="0" w:firstColumn="0" w:lastColumn="0" w:oddVBand="0" w:evenVBand="0" w:oddHBand="0" w:evenHBand="0" w:firstRowFirstColumn="0" w:firstRowLastColumn="0" w:lastRowFirstColumn="0" w:lastRowLastColumn="0"/>
            </w:pPr>
          </w:p>
        </w:tc>
      </w:tr>
    </w:tbl>
    <w:p w:rsidR="00D819C0" w:rsidRPr="00B0238C" w:rsidRDefault="00D819C0" w:rsidP="00D819C0"/>
    <w:p w:rsidR="00D819C0" w:rsidRPr="00B0238C" w:rsidRDefault="00D819C0" w:rsidP="00D819C0"/>
    <w:p w:rsidR="00D819C0" w:rsidRDefault="00D819C0" w:rsidP="00D819C0">
      <w:pPr>
        <w:pStyle w:val="Heading1"/>
        <w:rPr>
          <w:szCs w:val="24"/>
        </w:rPr>
      </w:pPr>
    </w:p>
    <w:p w:rsidR="0062473C" w:rsidRDefault="0062473C" w:rsidP="0062473C">
      <w:pPr>
        <w:rPr>
          <w:lang w:eastAsia="en-US"/>
        </w:rPr>
      </w:pPr>
    </w:p>
    <w:p w:rsidR="0062473C" w:rsidRDefault="0062473C"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62473C">
      <w:pPr>
        <w:rPr>
          <w:lang w:eastAsia="en-US"/>
        </w:rPr>
      </w:pPr>
    </w:p>
    <w:p w:rsidR="00916FBA" w:rsidRDefault="00916FBA" w:rsidP="001422A1">
      <w:pPr>
        <w:pStyle w:val="NoSpacing"/>
        <w:rPr>
          <w:lang w:eastAsia="en-US"/>
        </w:rPr>
      </w:pPr>
      <w:bookmarkStart w:id="18" w:name="_GoBack"/>
      <w:bookmarkEnd w:id="18"/>
    </w:p>
    <w:p w:rsidR="0062473C" w:rsidRDefault="0062473C" w:rsidP="0062473C">
      <w:pPr>
        <w:pStyle w:val="Heading1"/>
      </w:pPr>
      <w:r>
        <w:lastRenderedPageBreak/>
        <w:t>PHOTOGRAPHS</w:t>
      </w:r>
    </w:p>
    <w:sectPr w:rsidR="0062473C" w:rsidSect="00D37A31">
      <w:headerReference w:type="default" r:id="rId11"/>
      <w:footerReference w:type="default" r:id="rId12"/>
      <w:headerReference w:type="first" r:id="rId13"/>
      <w:footerReference w:type="first" r:id="rId14"/>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1A2" w:rsidRDefault="005F01A2">
      <w:r>
        <w:separator/>
      </w:r>
    </w:p>
  </w:endnote>
  <w:endnote w:type="continuationSeparator" w:id="0">
    <w:p w:rsidR="005F01A2" w:rsidRDefault="005F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Footer"/>
      <w:framePr w:w="289" w:h="295" w:hRule="exact" w:wrap="around" w:vAnchor="text" w:hAnchor="page" w:x="1585" w:y="269"/>
      <w:rPr>
        <w:rStyle w:val="PageNumber"/>
        <w:sz w:val="24"/>
      </w:rPr>
    </w:pPr>
  </w:p>
  <w:p w:rsidR="00B62145" w:rsidRDefault="00B6214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2D43FE"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1422A1">
            <w:rPr>
              <w:noProof/>
              <w:snapToGrid w:val="0"/>
            </w:rPr>
            <w:t>3</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1422A1" w:rsidP="001422A1">
          <w:pPr>
            <w:pStyle w:val="Footer"/>
            <w:tabs>
              <w:tab w:val="clear" w:pos="4153"/>
              <w:tab w:val="clear" w:pos="8306"/>
            </w:tabs>
            <w:jc w:val="center"/>
          </w:pPr>
          <w:bookmarkStart w:id="21" w:name="Job_Date"/>
          <w:bookmarkEnd w:id="21"/>
          <w:r>
            <w:t>Date:</w:t>
          </w:r>
        </w:p>
      </w:tc>
    </w:tr>
  </w:tbl>
  <w:p w:rsidR="00B62145" w:rsidRDefault="00B62145">
    <w:pPr>
      <w:pStyle w:val="Footer"/>
      <w:tabs>
        <w:tab w:val="clear" w:pos="4153"/>
        <w:tab w:val="clear" w:pos="8306"/>
      </w:tabs>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1A2" w:rsidRDefault="005F01A2">
      <w:r>
        <w:separator/>
      </w:r>
    </w:p>
  </w:footnote>
  <w:footnote w:type="continuationSeparator" w:id="0">
    <w:p w:rsidR="005F01A2" w:rsidRDefault="005F0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Header"/>
      <w:tabs>
        <w:tab w:val="clear" w:pos="8306"/>
        <w:tab w:val="right" w:pos="9900"/>
      </w:tabs>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Header"/>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8C5212">
          <w:pPr>
            <w:pStyle w:val="Header"/>
            <w:tabs>
              <w:tab w:val="clear" w:pos="4153"/>
              <w:tab w:val="clear" w:pos="8306"/>
            </w:tabs>
            <w:rPr>
              <w:sz w:val="24"/>
            </w:rPr>
          </w:pPr>
          <w:r>
            <w:rPr>
              <w:sz w:val="24"/>
            </w:rPr>
            <w:t>CHECK OUT INSPECTION HAS BEEN CARRIED OUT ON: -</w:t>
          </w:r>
        </w:p>
      </w:tc>
      <w:tc>
        <w:tcPr>
          <w:tcW w:w="1809" w:type="dxa"/>
          <w:shd w:val="pct25" w:color="auto" w:fill="auto"/>
        </w:tcPr>
        <w:p w:rsidR="00B62145" w:rsidRDefault="00B62145" w:rsidP="00916FBA">
          <w:pPr>
            <w:pStyle w:val="Header"/>
            <w:tabs>
              <w:tab w:val="clear" w:pos="4153"/>
              <w:tab w:val="clear" w:pos="8306"/>
            </w:tabs>
            <w:rPr>
              <w:b/>
              <w:sz w:val="24"/>
              <w:szCs w:val="24"/>
              <w:u w:val="single"/>
            </w:rPr>
          </w:pPr>
          <w:r>
            <w:rPr>
              <w:sz w:val="24"/>
              <w:szCs w:val="24"/>
            </w:rPr>
            <w:t xml:space="preserve">Ref: </w:t>
          </w:r>
          <w:bookmarkStart w:id="19" w:name="Ref_Job_No"/>
          <w:bookmarkEnd w:id="19"/>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B62145" w:rsidRDefault="00916FBA">
          <w:pPr>
            <w:pStyle w:val="Header"/>
            <w:tabs>
              <w:tab w:val="clear" w:pos="4153"/>
              <w:tab w:val="clear" w:pos="8306"/>
            </w:tabs>
            <w:rPr>
              <w:i/>
              <w:sz w:val="24"/>
            </w:rPr>
          </w:pPr>
          <w:bookmarkStart w:id="20" w:name="Ref_Prop_AddOneLine"/>
          <w:bookmarkEnd w:id="20"/>
          <w:r>
            <w:rPr>
              <w:i/>
              <w:sz w:val="24"/>
            </w:rPr>
            <w:t>PROPERTY ADDRESS</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5F01A2">
          <w:pPr>
            <w:pStyle w:val="Header"/>
            <w:tabs>
              <w:tab w:val="clear" w:pos="8306"/>
              <w:tab w:val="right" w:pos="9900"/>
            </w:tabs>
            <w:jc w:val="right"/>
            <w:rPr>
              <w:b/>
              <w:u w:val="single"/>
            </w:rPr>
          </w:pPr>
          <w:r>
            <w:fldChar w:fldCharType="begin"/>
          </w:r>
          <w:r>
            <w:instrText xml:space="preserve"> MERGEFIELD Your_Ref </w:instrText>
          </w:r>
          <w:r>
            <w:fldChar w:fldCharType="separate"/>
          </w:r>
          <w:r w:rsidR="00D834A1">
            <w:rPr>
              <w:noProof/>
            </w:rPr>
            <w:t>«Your_Ref»</w:t>
          </w:r>
          <w:r>
            <w:rPr>
              <w:noProof/>
            </w:rPr>
            <w:fldChar w:fldCharType="end"/>
          </w:r>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3D19029-835A-41BF-8205-03E29B68CC74}"/>
    <w:docVar w:name="dgnword-eventsink" w:val="26885568"/>
  </w:docVars>
  <w:rsids>
    <w:rsidRoot w:val="00D834A1"/>
    <w:rsid w:val="00002C72"/>
    <w:rsid w:val="000154FD"/>
    <w:rsid w:val="0002297B"/>
    <w:rsid w:val="0003711C"/>
    <w:rsid w:val="00041D3C"/>
    <w:rsid w:val="0004785B"/>
    <w:rsid w:val="000640C3"/>
    <w:rsid w:val="000757C0"/>
    <w:rsid w:val="000804F3"/>
    <w:rsid w:val="000A7E2E"/>
    <w:rsid w:val="000B12A0"/>
    <w:rsid w:val="000B41E6"/>
    <w:rsid w:val="001159B4"/>
    <w:rsid w:val="00120729"/>
    <w:rsid w:val="00136F40"/>
    <w:rsid w:val="001422A1"/>
    <w:rsid w:val="00175231"/>
    <w:rsid w:val="001B5D5B"/>
    <w:rsid w:val="001D33CC"/>
    <w:rsid w:val="001E3B6E"/>
    <w:rsid w:val="001F2F09"/>
    <w:rsid w:val="0026161D"/>
    <w:rsid w:val="002617A0"/>
    <w:rsid w:val="00274BF5"/>
    <w:rsid w:val="002A3D81"/>
    <w:rsid w:val="002A4B84"/>
    <w:rsid w:val="002D43FE"/>
    <w:rsid w:val="002F14D4"/>
    <w:rsid w:val="003028E1"/>
    <w:rsid w:val="00313F04"/>
    <w:rsid w:val="003222C9"/>
    <w:rsid w:val="003627B6"/>
    <w:rsid w:val="003640A8"/>
    <w:rsid w:val="00393F42"/>
    <w:rsid w:val="003A00B1"/>
    <w:rsid w:val="003A77A1"/>
    <w:rsid w:val="003A7A69"/>
    <w:rsid w:val="003D0519"/>
    <w:rsid w:val="003D5F6D"/>
    <w:rsid w:val="003E144D"/>
    <w:rsid w:val="00417E1D"/>
    <w:rsid w:val="00433578"/>
    <w:rsid w:val="00433DCE"/>
    <w:rsid w:val="0046280C"/>
    <w:rsid w:val="004F187E"/>
    <w:rsid w:val="0050049B"/>
    <w:rsid w:val="00502F96"/>
    <w:rsid w:val="0052613A"/>
    <w:rsid w:val="005445AC"/>
    <w:rsid w:val="00554A09"/>
    <w:rsid w:val="00572742"/>
    <w:rsid w:val="00577539"/>
    <w:rsid w:val="0058336E"/>
    <w:rsid w:val="0059690A"/>
    <w:rsid w:val="005A4C4C"/>
    <w:rsid w:val="005C1B4E"/>
    <w:rsid w:val="005E26CD"/>
    <w:rsid w:val="005F01A2"/>
    <w:rsid w:val="00614949"/>
    <w:rsid w:val="0062473C"/>
    <w:rsid w:val="00627A6E"/>
    <w:rsid w:val="00642018"/>
    <w:rsid w:val="006516B1"/>
    <w:rsid w:val="00654D36"/>
    <w:rsid w:val="006637FF"/>
    <w:rsid w:val="00674CA8"/>
    <w:rsid w:val="006923AC"/>
    <w:rsid w:val="006C2D56"/>
    <w:rsid w:val="00701913"/>
    <w:rsid w:val="007663ED"/>
    <w:rsid w:val="00774CD1"/>
    <w:rsid w:val="007A09C1"/>
    <w:rsid w:val="007C2C9A"/>
    <w:rsid w:val="007C638B"/>
    <w:rsid w:val="007E190B"/>
    <w:rsid w:val="008054E2"/>
    <w:rsid w:val="00823F23"/>
    <w:rsid w:val="0082502A"/>
    <w:rsid w:val="008447F7"/>
    <w:rsid w:val="00853746"/>
    <w:rsid w:val="0085396F"/>
    <w:rsid w:val="00896A20"/>
    <w:rsid w:val="008B0129"/>
    <w:rsid w:val="008B608F"/>
    <w:rsid w:val="008C13A3"/>
    <w:rsid w:val="008C5212"/>
    <w:rsid w:val="00916FBA"/>
    <w:rsid w:val="0095323E"/>
    <w:rsid w:val="009736B0"/>
    <w:rsid w:val="0098469A"/>
    <w:rsid w:val="0099317D"/>
    <w:rsid w:val="00995539"/>
    <w:rsid w:val="009E410A"/>
    <w:rsid w:val="009F080D"/>
    <w:rsid w:val="009F21A6"/>
    <w:rsid w:val="00A541F9"/>
    <w:rsid w:val="00A625BD"/>
    <w:rsid w:val="00A7080E"/>
    <w:rsid w:val="00A77ABA"/>
    <w:rsid w:val="00AB3766"/>
    <w:rsid w:val="00AB51ED"/>
    <w:rsid w:val="00B0238C"/>
    <w:rsid w:val="00B12C90"/>
    <w:rsid w:val="00B2010A"/>
    <w:rsid w:val="00B32EE0"/>
    <w:rsid w:val="00B62145"/>
    <w:rsid w:val="00B72E2E"/>
    <w:rsid w:val="00BA0CB3"/>
    <w:rsid w:val="00BB1B93"/>
    <w:rsid w:val="00BB268A"/>
    <w:rsid w:val="00BC1F2D"/>
    <w:rsid w:val="00BC4E87"/>
    <w:rsid w:val="00BC6E22"/>
    <w:rsid w:val="00BD3959"/>
    <w:rsid w:val="00BF21A8"/>
    <w:rsid w:val="00C371BD"/>
    <w:rsid w:val="00C844D4"/>
    <w:rsid w:val="00C955CC"/>
    <w:rsid w:val="00CD1096"/>
    <w:rsid w:val="00CD3CBF"/>
    <w:rsid w:val="00CE1703"/>
    <w:rsid w:val="00CF4ADC"/>
    <w:rsid w:val="00D30AB2"/>
    <w:rsid w:val="00D33BFA"/>
    <w:rsid w:val="00D37A31"/>
    <w:rsid w:val="00D66A7E"/>
    <w:rsid w:val="00D819C0"/>
    <w:rsid w:val="00D834A1"/>
    <w:rsid w:val="00D836D2"/>
    <w:rsid w:val="00DB2B4D"/>
    <w:rsid w:val="00DB7359"/>
    <w:rsid w:val="00DC01C3"/>
    <w:rsid w:val="00DC688B"/>
    <w:rsid w:val="00DC7D6B"/>
    <w:rsid w:val="00DD2BFA"/>
    <w:rsid w:val="00DE2917"/>
    <w:rsid w:val="00E42904"/>
    <w:rsid w:val="00E433F2"/>
    <w:rsid w:val="00E56FE1"/>
    <w:rsid w:val="00E63938"/>
    <w:rsid w:val="00E75E7E"/>
    <w:rsid w:val="00E8426A"/>
    <w:rsid w:val="00E86994"/>
    <w:rsid w:val="00EB046D"/>
    <w:rsid w:val="00EB5185"/>
    <w:rsid w:val="00EC1F68"/>
    <w:rsid w:val="00EE2AFE"/>
    <w:rsid w:val="00F34D5F"/>
    <w:rsid w:val="00F6066E"/>
    <w:rsid w:val="00F60B96"/>
    <w:rsid w:val="00F87337"/>
    <w:rsid w:val="00F9169C"/>
    <w:rsid w:val="00F97032"/>
    <w:rsid w:val="00FC4BBF"/>
    <w:rsid w:val="00FD0303"/>
    <w:rsid w:val="00FD3018"/>
    <w:rsid w:val="00FF2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492C5"/>
  <w14:defaultImageDpi w14:val="150"/>
  <w15:docId w15:val="{F5AB6E9B-5658-4B84-921E-026AAB39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A31"/>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99"/>
    <w:semiHidden/>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A7A69"/>
    <w:rPr>
      <w:color w:val="808080"/>
    </w:rPr>
  </w:style>
  <w:style w:type="paragraph" w:styleId="NoSpacing">
    <w:name w:val="No Spacing"/>
    <w:uiPriority w:val="1"/>
    <w:qFormat/>
    <w:rsid w:val="001422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757">
      <w:bodyDiv w:val="1"/>
      <w:marLeft w:val="0"/>
      <w:marRight w:val="0"/>
      <w:marTop w:val="0"/>
      <w:marBottom w:val="0"/>
      <w:divBdr>
        <w:top w:val="none" w:sz="0" w:space="0" w:color="auto"/>
        <w:left w:val="none" w:sz="0" w:space="0" w:color="auto"/>
        <w:bottom w:val="none" w:sz="0" w:space="0" w:color="auto"/>
        <w:right w:val="none" w:sz="0" w:space="0" w:color="auto"/>
      </w:divBdr>
    </w:div>
    <w:div w:id="330303489">
      <w:bodyDiv w:val="1"/>
      <w:marLeft w:val="0"/>
      <w:marRight w:val="0"/>
      <w:marTop w:val="0"/>
      <w:marBottom w:val="0"/>
      <w:divBdr>
        <w:top w:val="none" w:sz="0" w:space="0" w:color="auto"/>
        <w:left w:val="none" w:sz="0" w:space="0" w:color="auto"/>
        <w:bottom w:val="none" w:sz="0" w:space="0" w:color="auto"/>
        <w:right w:val="none" w:sz="0" w:space="0" w:color="auto"/>
      </w:divBdr>
    </w:div>
    <w:div w:id="504780625">
      <w:bodyDiv w:val="1"/>
      <w:marLeft w:val="0"/>
      <w:marRight w:val="0"/>
      <w:marTop w:val="0"/>
      <w:marBottom w:val="0"/>
      <w:divBdr>
        <w:top w:val="none" w:sz="0" w:space="0" w:color="auto"/>
        <w:left w:val="none" w:sz="0" w:space="0" w:color="auto"/>
        <w:bottom w:val="none" w:sz="0" w:space="0" w:color="auto"/>
        <w:right w:val="none" w:sz="0" w:space="0" w:color="auto"/>
      </w:divBdr>
    </w:div>
    <w:div w:id="18085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Descrip"/><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343b8564-e8b1-4772-a50c-f85c5eca8076Check-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E0109-BC57-44F0-A062-29003438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343b8564-e8b1-4772-a50c-f85c5eca8076Check-out</Template>
  <TotalTime>0</TotalTime>
  <Pages>6</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saccount</dc:creator>
  <cp:lastModifiedBy>Owner</cp:lastModifiedBy>
  <cp:revision>2</cp:revision>
  <dcterms:created xsi:type="dcterms:W3CDTF">2018-05-18T08:19:00Z</dcterms:created>
  <dcterms:modified xsi:type="dcterms:W3CDTF">2018-05-18T08:19:00Z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