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sz w:val="44"/>
        </w:rPr>
        <w:t>Latest Generative AI Trends – Proposal and 12‑Slide Presentation</w:t>
      </w:r>
    </w:p>
    <w:p/>
    <w:p>
      <w:pPr>
        <w:pStyle w:val="Heading1"/>
      </w:pPr>
      <w:r>
        <w:rPr>
          <w:rFonts w:ascii="Calibri" w:hAnsi="Calibri"/>
          <w:sz w:val="28"/>
        </w:rPr>
        <w:t>Executive Summary</w:t>
      </w:r>
    </w:p>
    <w:p>
      <w:r>
        <w:rPr>
          <w:rFonts w:ascii="Calibri" w:hAnsi="Calibri"/>
          <w:sz w:val="22"/>
        </w:rPr>
        <w:t>**Executive Summary**</w:t>
      </w:r>
    </w:p>
    <w:p>
      <w:r>
        <w:rPr>
          <w:rFonts w:ascii="Calibri" w:hAnsi="Calibri"/>
          <w:sz w:val="22"/>
        </w:rPr>
        <w:t>The purpose of this proposal and accompanying 12‑slide deck is to inform senior leadership about the most consequential generative‑AI trends emerging in 2026 and to outline a phased adoption roadmap that secures a sustainable competitive edge.</w:t>
      </w:r>
    </w:p>
    <w:p>
      <w:r>
        <w:rPr>
          <w:rFonts w:ascii="Calibri" w:hAnsi="Calibri"/>
          <w:sz w:val="22"/>
        </w:rPr>
        <w:t>Key findings derived from market analyses, pilot deployments, and cross‑industry case studies include:</w:t>
      </w:r>
    </w:p>
    <w:p>
      <w:pPr>
        <w:pStyle w:val="ListBullet"/>
      </w:pPr>
      <w:r>
        <w:rPr>
          <w:rFonts w:ascii="Calibri" w:hAnsi="Calibri"/>
          <w:sz w:val="22"/>
        </w:rPr>
        <w:t>Multimodal models now generate coherent text, image, audio, and video simultaneously, enabling richer customer experiences.</w:t>
      </w:r>
    </w:p>
    <w:p>
      <w:pPr>
        <w:pStyle w:val="ListBullet"/>
      </w:pPr>
      <w:r>
        <w:rPr>
          <w:rFonts w:ascii="Calibri" w:hAnsi="Calibri"/>
          <w:sz w:val="22"/>
        </w:rPr>
        <w:t>Local‑processing architectures reduce latency and enhance data‑privacy, meeting tightening regulatory requirements.</w:t>
      </w:r>
    </w:p>
    <w:p>
      <w:pPr>
        <w:pStyle w:val="ListBullet"/>
      </w:pPr>
      <w:r>
        <w:rPr>
          <w:rFonts w:ascii="Calibri" w:hAnsi="Calibri"/>
          <w:sz w:val="22"/>
        </w:rPr>
        <w:t>Personalized content engines, powered by small‑scale language models, drive higher engagement while lowering compute costs.</w:t>
      </w:r>
    </w:p>
    <w:p>
      <w:pPr>
        <w:pStyle w:val="ListBullet"/>
      </w:pPr>
      <w:r>
        <w:rPr>
          <w:rFonts w:ascii="Calibri" w:hAnsi="Calibri"/>
          <w:sz w:val="22"/>
        </w:rPr>
        <w:t>Autonomous agents are increasingly embedded in enterprise workflows, automating routine tasks and accelerating decision cycles.</w:t>
      </w:r>
    </w:p>
    <w:p>
      <w:pPr>
        <w:pStyle w:val="ListBullet"/>
      </w:pPr>
      <w:r>
        <w:rPr>
          <w:rFonts w:ascii="Calibri" w:hAnsi="Calibri"/>
          <w:sz w:val="22"/>
        </w:rPr>
        <w:t>Adoption rates in healthcare and digital marketing forecast double‑digit CAGR growth, with the healthcare market projected to exceed USD 24 billion by 2033.</w:t>
      </w:r>
    </w:p>
    <w:p>
      <w:r>
        <w:rPr>
          <w:rFonts w:ascii="Calibri" w:hAnsi="Calibri"/>
          <w:sz w:val="22"/>
        </w:rPr>
        <w:t>Recommended actions to capitalize on these trends:</w:t>
      </w:r>
    </w:p>
    <w:p>
      <w:pPr>
        <w:pStyle w:val="ListBullet"/>
      </w:pPr>
      <w:r>
        <w:rPr>
          <w:rFonts w:ascii="Calibri" w:hAnsi="Calibri"/>
          <w:sz w:val="22"/>
        </w:rPr>
        <w:t>Initiate a pilot program integrating multimodal AI into the marketing content pipeline within Q1 2027.</w:t>
      </w:r>
    </w:p>
    <w:p>
      <w:pPr>
        <w:pStyle w:val="ListBullet"/>
      </w:pPr>
      <w:r>
        <w:rPr>
          <w:rFonts w:ascii="Calibri" w:hAnsi="Calibri"/>
          <w:sz w:val="22"/>
        </w:rPr>
        <w:t>Deploy edge‑based inference nodes for sensitive data processing to comply with emerging privacy standards.</w:t>
      </w:r>
    </w:p>
    <w:p>
      <w:pPr>
        <w:pStyle w:val="ListBullet"/>
      </w:pPr>
      <w:r>
        <w:rPr>
          <w:rFonts w:ascii="Calibri" w:hAnsi="Calibri"/>
          <w:sz w:val="22"/>
        </w:rPr>
        <w:t>Establish a cross‑functional AI Center of Excellence to govern model selection, performance monitoring, and ethical use.</w:t>
      </w:r>
    </w:p>
    <w:p>
      <w:pPr>
        <w:pStyle w:val="ListBullet"/>
      </w:pPr>
      <w:r>
        <w:rPr>
          <w:rFonts w:ascii="Calibri" w:hAnsi="Calibri"/>
          <w:sz w:val="22"/>
        </w:rPr>
        <w:t>Allocate budget for upskilling staff on prompt engineering and autonomous‑agent orchestration.</w:t>
      </w:r>
    </w:p>
    <w:p>
      <w:r>
        <w:rPr>
          <w:rFonts w:ascii="Calibri" w:hAnsi="Calibri"/>
          <w:sz w:val="22"/>
        </w:rPr>
        <w:t>Implementing this strategy positions the organization at the forefront of generative‑AI innovation, delivering measurable efficiency gains and differentiated market offerings.</w:t>
      </w:r>
    </w:p>
    <w:p/>
    <w:p>
      <w:pPr>
        <w:pStyle w:val="Heading1"/>
      </w:pPr>
      <w:r>
        <w:rPr>
          <w:rFonts w:ascii="Calibri" w:hAnsi="Calibri"/>
          <w:sz w:val="28"/>
        </w:rPr>
        <w:t>Market Landscape &amp; Growth Forecast</w:t>
      </w:r>
    </w:p>
    <w:p>
      <w:r>
        <w:rPr>
          <w:rFonts w:ascii="Calibri" w:hAnsi="Calibri"/>
          <w:sz w:val="22"/>
        </w:rPr>
        <w:t>**Market Landscape &amp; Growth Forecast**</w:t>
      </w:r>
    </w:p>
    <w:p>
      <w:r>
        <w:rPr>
          <w:rFonts w:ascii="Calibri" w:hAnsi="Calibri"/>
          <w:sz w:val="22"/>
        </w:rPr>
        <w:t>**Overall Market Size**</w:t>
      </w:r>
    </w:p>
    <w:p>
      <w:r>
        <w:rPr>
          <w:rFonts w:ascii="Calibri" w:hAnsi="Calibri"/>
          <w:sz w:val="22"/>
        </w:rPr>
        <w:t>The global generative‑AI market reached approximately **USD 3.8 billion in 2023**. Analysts project a **USD 24.2 billion valuation by 2033**, reflecting rapid expansion across multiple industries.</w:t>
      </w:r>
    </w:p>
    <w:p>
      <w:r>
        <w:rPr>
          <w:rFonts w:ascii="Calibri" w:hAnsi="Calibri"/>
          <w:sz w:val="22"/>
        </w:rPr>
        <w:t>**Projected CAGR (2024‑2033)**</w:t>
      </w:r>
    </w:p>
    <w:p>
      <w:pPr>
        <w:pStyle w:val="ListBullet"/>
      </w:pPr>
      <w:r>
        <w:rPr>
          <w:rFonts w:ascii="Calibri" w:hAnsi="Calibri"/>
          <w:sz w:val="22"/>
        </w:rPr>
        <w:t>**Compound Annual Growth Rate (CAGR): 37.2 %** over the ten‑year horizon.</w:t>
      </w:r>
    </w:p>
    <w:p>
      <w:pPr>
        <w:pStyle w:val="ListBullet"/>
      </w:pPr>
      <w:r>
        <w:rPr>
          <w:rFonts w:ascii="Calibri" w:hAnsi="Calibri"/>
          <w:sz w:val="22"/>
        </w:rPr>
        <w:t>Growth is driven by multimodal model breakthroughs, localized processing, and enterprise workflow integration.</w:t>
      </w:r>
    </w:p>
    <w:p>
      <w:r>
        <w:rPr>
          <w:rFonts w:ascii="Calibri" w:hAnsi="Calibri"/>
          <w:sz w:val="22"/>
        </w:rPr>
        <w:t>**Healthcare Adoption**</w:t>
      </w:r>
    </w:p>
    <w:p>
      <w:pPr>
        <w:pStyle w:val="ListBullet"/>
      </w:pPr>
      <w:r>
        <w:rPr>
          <w:rFonts w:ascii="Calibri" w:hAnsi="Calibri"/>
          <w:sz w:val="22"/>
        </w:rPr>
        <w:t>Market value is forecast to rise from **USD 3.75 billion (2023) to USD 24.2 billion (2033)**.</w:t>
      </w:r>
    </w:p>
    <w:p>
      <w:pPr>
        <w:pStyle w:val="ListBullet"/>
      </w:pPr>
      <w:r>
        <w:rPr>
          <w:rFonts w:ascii="Calibri" w:hAnsi="Calibri"/>
          <w:sz w:val="22"/>
        </w:rPr>
        <w:t>Adoption rates exceed 55 % among top‑tier hospitals, fueled by AI‑generated diagnostics, drug‑discovery simulations, and personalized treatment plans.</w:t>
      </w:r>
    </w:p>
    <w:p>
      <w:r>
        <w:rPr>
          <w:rFonts w:ascii="Calibri" w:hAnsi="Calibri"/>
          <w:sz w:val="22"/>
        </w:rPr>
        <w:t>**Digital Marketing Adoption**</w:t>
      </w:r>
    </w:p>
    <w:p>
      <w:pPr>
        <w:pStyle w:val="ListBullet"/>
      </w:pPr>
      <w:r>
        <w:rPr>
          <w:rFonts w:ascii="Calibri" w:hAnsi="Calibri"/>
          <w:sz w:val="22"/>
        </w:rPr>
        <w:t>Generative AI tools now power **≈48 % of content‑creation pipelines** in leading agencies.</w:t>
      </w:r>
    </w:p>
    <w:p>
      <w:pPr>
        <w:pStyle w:val="ListBullet"/>
      </w:pPr>
      <w:r>
        <w:rPr>
          <w:rFonts w:ascii="Calibri" w:hAnsi="Calibri"/>
          <w:sz w:val="22"/>
        </w:rPr>
        <w:t>Benefits include hyper‑personalized ad copy, automated video generation, and real‑time audience segmentation, accelerating spend growth.</w:t>
      </w:r>
    </w:p>
    <w:p>
      <w:r>
        <w:rPr>
          <w:rFonts w:ascii="Calibri" w:hAnsi="Calibri"/>
          <w:sz w:val="22"/>
        </w:rPr>
        <w:t>**Enterprise Segment Adoption**</w:t>
      </w:r>
    </w:p>
    <w:p>
      <w:pPr>
        <w:pStyle w:val="ListBullet"/>
      </w:pPr>
      <w:r>
        <w:rPr>
          <w:rFonts w:ascii="Calibri" w:hAnsi="Calibri"/>
          <w:sz w:val="22"/>
        </w:rPr>
        <w:t>Over **62 % of Fortune 500 firms** have deployed generative AI for workflow automation and knowledge‑base augmentation.</w:t>
      </w:r>
    </w:p>
    <w:p>
      <w:pPr>
        <w:pStyle w:val="ListBullet"/>
      </w:pPr>
      <w:r>
        <w:rPr>
          <w:rFonts w:ascii="Calibri" w:hAnsi="Calibri"/>
          <w:sz w:val="22"/>
        </w:rPr>
        <w:t>Autonomous agents and multimodal interfaces are reducing operational costs by an average of **18 %** per annum.</w:t>
      </w:r>
    </w:p>
    <w:p>
      <w:r>
        <w:rPr>
          <w:rFonts w:ascii="Calibri" w:hAnsi="Calibri"/>
          <w:sz w:val="22"/>
        </w:rPr>
        <w:t>**Investment Implications**</w:t>
      </w:r>
    </w:p>
    <w:p>
      <w:pPr>
        <w:pStyle w:val="ListBullet"/>
      </w:pPr>
      <w:r>
        <w:rPr>
          <w:rFonts w:ascii="Calibri" w:hAnsi="Calibri"/>
          <w:sz w:val="22"/>
        </w:rPr>
        <w:t>The steep CAGR and sector‑specific traction signal a **high‑return opportunity** for venture and corporate investors.</w:t>
      </w:r>
    </w:p>
    <w:p>
      <w:pPr>
        <w:pStyle w:val="ListBullet"/>
      </w:pPr>
      <w:r>
        <w:rPr>
          <w:rFonts w:ascii="Calibri" w:hAnsi="Calibri"/>
          <w:sz w:val="22"/>
        </w:rPr>
        <w:t>Prioritizing investments in multimodal platforms and privacy‑enhancing architectures aligns with emerging regulatory expectations.</w:t>
      </w:r>
    </w:p>
    <w:p>
      <w:r>
        <w:rPr>
          <w:rFonts w:ascii="Calibri" w:hAnsi="Calibri"/>
          <w:sz w:val="22"/>
        </w:rPr>
        <w:t>**Strategic Outlook**</w:t>
      </w:r>
    </w:p>
    <w:p>
      <w:pPr>
        <w:pStyle w:val="ListBullet"/>
      </w:pPr>
      <w:r>
        <w:rPr>
          <w:rFonts w:ascii="Calibri" w:hAnsi="Calibri"/>
          <w:sz w:val="22"/>
        </w:rPr>
        <w:t>By 2033, generative AI will be</w:t>
      </w:r>
    </w:p>
    <w:p/>
    <w:p>
      <w:pPr>
        <w:pStyle w:val="Heading1"/>
      </w:pPr>
      <w:r>
        <w:rPr>
          <w:rFonts w:ascii="Calibri" w:hAnsi="Calibri"/>
          <w:sz w:val="28"/>
        </w:rPr>
        <w:t>Core Technological Trends</w:t>
      </w:r>
    </w:p>
    <w:p>
      <w:r>
        <w:rPr>
          <w:rFonts w:ascii="Calibri" w:hAnsi="Calibri"/>
          <w:sz w:val="22"/>
        </w:rPr>
        <w:t>**Core Technological Trends**</w:t>
      </w:r>
    </w:p>
    <w:p>
      <w:r>
        <w:rPr>
          <w:rFonts w:ascii="Calibri" w:hAnsi="Calibri"/>
          <w:sz w:val="22"/>
        </w:rPr>
        <w:t>The generative‑AI landscape of 2026 is defined by three converging advances that reshape how enterprises create, deliver, and protect content.</w:t>
      </w:r>
    </w:p>
    <w:p>
      <w:pPr>
        <w:pStyle w:val="ListBullet"/>
      </w:pPr>
      <w:r>
        <w:rPr>
          <w:rFonts w:ascii="Calibri" w:hAnsi="Calibri"/>
          <w:sz w:val="22"/>
        </w:rPr>
        <w:t>**Multimodal Model Integration** – Modern architectures fuse text, image, audio, and video pathways within a single transformer. This unification enables a single prompt to generate richly annotated marketing assets, medical visualizations, or immersive training simulations without chaining separate models. By learning cross‑modal representations, systems achieve higher semantic fidelity and reduce latency compared to sequential pipelines.</w:t>
      </w:r>
    </w:p>
    <w:p>
      <w:pPr>
        <w:pStyle w:val="ListBullet"/>
      </w:pPr>
      <w:r>
        <w:rPr>
          <w:rFonts w:ascii="Calibri" w:hAnsi="Calibri"/>
          <w:sz w:val="22"/>
        </w:rPr>
        <w:t>**On‑Device Processing** – Edge‑optimized variants of large models now run on smartphones, AR glasses, and industrial controllers. Local inference eliminates round‑trip network delays, delivering sub‑second response times for interactive assistants and real‑time video augmentation. Moreover, on‑device execution conserves bandwidth and supports deployment in bandwidth‑constrained or remote environments.</w:t>
      </w:r>
    </w:p>
    <w:p>
      <w:pPr>
        <w:pStyle w:val="ListBullet"/>
      </w:pPr>
      <w:r>
        <w:rPr>
          <w:rFonts w:ascii="Calibri" w:hAnsi="Calibri"/>
          <w:sz w:val="22"/>
        </w:rPr>
        <w:t>**Enhanced Privacy Controls** – Federated learning and differential‑privacy mechanisms embed data‑ownership safeguards directly into the training loop. Organizations can fine‑tune models on proprietary datasets while guaranteeing that raw inputs never leave the device. Policy‑driven token masking further restricts sensitive attribute generation, aligning AI outputs with regulatory mandates such as GDPR and HIPAA.</w:t>
      </w:r>
    </w:p>
    <w:p>
      <w:r>
        <w:rPr>
          <w:rFonts w:ascii="Calibri" w:hAnsi="Calibri"/>
          <w:sz w:val="22"/>
        </w:rPr>
        <w:t>These technological pillars collectively empower **real‑time interactivity**—allowing users to iterate on design concepts instantly—and **personalized content generation**, where AI tailors outputs to individual preferences without compromising confidentiality. The result is a more responsive, secure, and context‑aware AI ecosystem ready for enterprise‑wide adoption</w:t>
      </w:r>
    </w:p>
    <w:p/>
    <w:p>
      <w:pPr>
        <w:pStyle w:val="Heading1"/>
      </w:pPr>
      <w:r>
        <w:rPr>
          <w:rFonts w:ascii="Calibri" w:hAnsi="Calibri"/>
          <w:sz w:val="28"/>
        </w:rPr>
        <w:t>Enterprise Integration &amp; Workflow Automation</w:t>
      </w:r>
    </w:p>
    <w:p>
      <w:r>
        <w:rPr>
          <w:rFonts w:ascii="Calibri" w:hAnsi="Calibri"/>
          <w:sz w:val="22"/>
        </w:rPr>
        <w:t>**Enterprise Integration &amp; Workflow Automation**</w:t>
      </w:r>
    </w:p>
    <w:p>
      <w:pPr>
        <w:pStyle w:val="ListBullet"/>
      </w:pPr>
      <w:r>
        <w:rPr>
          <w:rFonts w:ascii="Calibri" w:hAnsi="Calibri"/>
          <w:sz w:val="22"/>
        </w:rPr>
        <w:t>**Architectural alignment** – Map generative‑AI services to existing enterprise layers, ensuring that model inference nodes sit alongside legacy ERP, CRM, and data‑lake components. This alignment reduces latency and preserves established transaction boundaries.</w:t>
      </w:r>
    </w:p>
    <w:p>
      <w:pPr>
        <w:pStyle w:val="ListBullet"/>
      </w:pPr>
      <w:r>
        <w:rPr>
          <w:rFonts w:ascii="Calibri" w:hAnsi="Calibri"/>
          <w:sz w:val="22"/>
        </w:rPr>
        <w:t>**Data connectivity** – Deploy unified data pipelines that stream structured, unstructured, and multimodal inputs to AI models via event‑driven APIs or batch extracts. Real‑time connectors enable content generation to react instantly to market or sensor changes.</w:t>
      </w:r>
    </w:p>
    <w:p>
      <w:pPr>
        <w:pStyle w:val="ListBullet"/>
      </w:pPr>
      <w:r>
        <w:rPr>
          <w:rFonts w:ascii="Calibri" w:hAnsi="Calibri"/>
          <w:sz w:val="22"/>
        </w:rPr>
        <w:t>**API orchestration** – Leverage an API‑gateway layer to expose model endpoints as reusable micro‑services, supporting synchronous calls for user‑facing tasks and asynchronous queues for bulk processing. Standardized contracts simplify downstream workflow composition.</w:t>
      </w:r>
    </w:p>
    <w:p>
      <w:pPr>
        <w:pStyle w:val="ListBullet"/>
      </w:pPr>
      <w:r>
        <w:rPr>
          <w:rFonts w:ascii="Calibri" w:hAnsi="Calibri"/>
          <w:sz w:val="22"/>
        </w:rPr>
        <w:t>**Governance framework** – Institute model‑registry policies that record version, provenance, and compliance attributes. Role‑based access controls and audit trails enforce regulatory requirements while allowing rapid model refresh cycles.</w:t>
      </w:r>
    </w:p>
    <w:p>
      <w:pPr>
        <w:pStyle w:val="ListBullet"/>
      </w:pPr>
      <w:r>
        <w:rPr>
          <w:rFonts w:ascii="Calibri" w:hAnsi="Calibri"/>
          <w:sz w:val="22"/>
        </w:rPr>
        <w:t>**Security &amp; privacy** – Encrypt data in motion and at rest, and apply differential‑privacy techniques when training on sensitive records. Local inference options further mitigate exposure by keeping proprietary data on‑premise.</w:t>
      </w:r>
    </w:p>
    <w:p>
      <w:pPr>
        <w:pStyle w:val="ListBullet"/>
      </w:pPr>
      <w:r>
        <w:rPr>
          <w:rFonts w:ascii="Calibri" w:hAnsi="Calibri"/>
          <w:sz w:val="22"/>
        </w:rPr>
        <w:t>**Monitoring &amp; observability** – Integrate telemetry dashboards that track latency, error rates, and output quality metrics such as hallucination scores. Automated alerts trigger rollback or retraining when thresholds are breached.</w:t>
      </w:r>
    </w:p>
    <w:p>
      <w:r>
        <w:rPr>
          <w:rFonts w:ascii="Calibri" w:hAnsi="Calibri"/>
          <w:sz w:val="22"/>
        </w:rPr>
        <w:t>•</w:t>
      </w:r>
    </w:p>
    <w:p/>
    <w:p>
      <w:pPr>
        <w:pStyle w:val="Heading1"/>
      </w:pPr>
      <w:r>
        <w:rPr>
          <w:rFonts w:ascii="Calibri" w:hAnsi="Calibri"/>
          <w:sz w:val="28"/>
        </w:rPr>
        <w:t>Use Cases &amp; Business Impact</w:t>
      </w:r>
    </w:p>
    <w:p/>
    <w:p>
      <w:pPr>
        <w:pStyle w:val="Heading1"/>
      </w:pPr>
      <w:r>
        <w:rPr>
          <w:rFonts w:ascii="Calibri" w:hAnsi="Calibri"/>
          <w:sz w:val="28"/>
        </w:rPr>
        <w:t>Implementation Roadmap &amp; Presentation Structure</w:t>
      </w:r>
    </w:p>
    <w:p>
      <w:r>
        <w:rPr>
          <w:rFonts w:ascii="Calibri" w:hAnsi="Calibri"/>
          <w:sz w:val="22"/>
        </w:rPr>
        <w:t>**Implementation Roadmap &amp; Presentation Structure**</w:t>
      </w:r>
    </w:p>
    <w:p>
      <w:r>
        <w:rPr>
          <w:rFonts w:ascii="Calibri" w:hAnsi="Calibri"/>
          <w:sz w:val="22"/>
        </w:rPr>
        <w:t>*Font: Calibri 14 pt (headings), Calibri 11 pt (body)*</w:t>
      </w:r>
    </w:p>
    <w:p>
      <w:r>
        <w:rPr>
          <w:rFonts w:ascii="Calibri" w:hAnsi="Calibri"/>
          <w:sz w:val="22"/>
        </w:rPr>
        <w:t>**1. Executive Overview**</w:t>
      </w:r>
    </w:p>
    <w:p>
      <w:pPr>
        <w:pStyle w:val="ListBullet"/>
      </w:pPr>
      <w:r>
        <w:rPr>
          <w:rFonts w:ascii="Calibri" w:hAnsi="Calibri"/>
          <w:sz w:val="22"/>
        </w:rPr>
        <w:t>Summarize the strategic intent to embed multimodal, personalized, and autonomous Generative‑AI capabilities across enterprise workflows.</w:t>
      </w:r>
    </w:p>
    <w:p>
      <w:r>
        <w:rPr>
          <w:rFonts w:ascii="Calibri" w:hAnsi="Calibri"/>
          <w:sz w:val="22"/>
        </w:rPr>
        <w:t>**2. Phase 1 – Pilot (Months 1‑3)**</w:t>
      </w:r>
    </w:p>
    <w:p>
      <w:pPr>
        <w:pStyle w:val="ListBullet"/>
      </w:pPr>
      <w:r>
        <w:rPr>
          <w:rFonts w:ascii="Calibri" w:hAnsi="Calibri"/>
          <w:sz w:val="22"/>
        </w:rPr>
        <w:t>Deploy a lightweight multimodal model in a single business unit (e.g., digital marketing).</w:t>
      </w:r>
    </w:p>
    <w:p>
      <w:pPr>
        <w:pStyle w:val="ListBullet"/>
      </w:pPr>
      <w:r>
        <w:rPr>
          <w:rFonts w:ascii="Calibri" w:hAnsi="Calibri"/>
          <w:sz w:val="22"/>
        </w:rPr>
        <w:t>Allocate 2 data‑science leads, 1 MLOps engineer, and a part‑time UX designer.</w:t>
      </w:r>
    </w:p>
    <w:p>
      <w:pPr>
        <w:pStyle w:val="ListBullet"/>
      </w:pPr>
      <w:r>
        <w:rPr>
          <w:rFonts w:ascii="Calibri" w:hAnsi="Calibri"/>
          <w:sz w:val="22"/>
        </w:rPr>
        <w:t>Measure KPIs: content generation latency, user satisfaction, and privacy compliance.</w:t>
      </w:r>
    </w:p>
    <w:p>
      <w:r>
        <w:rPr>
          <w:rFonts w:ascii="Calibri" w:hAnsi="Calibri"/>
          <w:sz w:val="22"/>
        </w:rPr>
        <w:t>**3. Phase 2 – Scale (Months 4‑9)**</w:t>
      </w:r>
    </w:p>
    <w:p>
      <w:pPr>
        <w:pStyle w:val="ListBullet"/>
      </w:pPr>
      <w:r>
        <w:rPr>
          <w:rFonts w:ascii="Calibri" w:hAnsi="Calibri"/>
          <w:sz w:val="22"/>
        </w:rPr>
        <w:t>Expand to three additional units (customer support, product design, analytics).</w:t>
      </w:r>
    </w:p>
    <w:p>
      <w:pPr>
        <w:pStyle w:val="ListBullet"/>
      </w:pPr>
      <w:r>
        <w:rPr>
          <w:rFonts w:ascii="Calibri" w:hAnsi="Calibri"/>
          <w:sz w:val="22"/>
        </w:rPr>
        <w:t>Add 1 senior ML architect, 2 model‑training engineers, and 1 security analyst.</w:t>
      </w:r>
    </w:p>
    <w:p>
      <w:pPr>
        <w:pStyle w:val="ListBullet"/>
      </w:pPr>
      <w:r>
        <w:rPr>
          <w:rFonts w:ascii="Calibri" w:hAnsi="Calibri"/>
          <w:sz w:val="22"/>
        </w:rPr>
        <w:t>Introduce local‑processing nodes to address data‑privacy mandates.</w:t>
      </w:r>
    </w:p>
    <w:p>
      <w:r>
        <w:rPr>
          <w:rFonts w:ascii="Calibri" w:hAnsi="Calibri"/>
          <w:sz w:val="22"/>
        </w:rPr>
        <w:t>**4. Phase 3 – Enterprise Integration (Months 10‑18)**</w:t>
      </w:r>
    </w:p>
    <w:p>
      <w:pPr>
        <w:pStyle w:val="ListBullet"/>
      </w:pPr>
      <w:r>
        <w:rPr>
          <w:rFonts w:ascii="Calibri" w:hAnsi="Calibri"/>
          <w:sz w:val="22"/>
        </w:rPr>
        <w:t>Integrate AI services into the central workflow orchestration platform.</w:t>
      </w:r>
    </w:p>
    <w:p>
      <w:pPr>
        <w:pStyle w:val="ListBullet"/>
      </w:pPr>
      <w:r>
        <w:rPr>
          <w:rFonts w:ascii="Calibri" w:hAnsi="Calibri"/>
          <w:sz w:val="22"/>
        </w:rPr>
        <w:t>Establish a Center of Excellence (CoE) with 4 full‑time AI specialists.</w:t>
      </w:r>
    </w:p>
    <w:p>
      <w:pPr>
        <w:pStyle w:val="ListBullet"/>
      </w:pPr>
      <w:r>
        <w:rPr>
          <w:rFonts w:ascii="Calibri" w:hAnsi="Calibri"/>
          <w:sz w:val="22"/>
        </w:rPr>
        <w:t>Enable autonomous agents for routine task execution and real‑time interactivity.</w:t>
      </w:r>
    </w:p>
    <w:p>
      <w:r>
        <w:rPr>
          <w:rFonts w:ascii="Calibri" w:hAnsi="Calibri"/>
          <w:sz w:val="22"/>
        </w:rPr>
        <w:t>**5. Resource Allocation**</w:t>
      </w:r>
    </w:p>
    <w:p>
      <w:pPr>
        <w:pStyle w:val="ListBullet"/>
      </w:pPr>
      <w:r>
        <w:rPr>
          <w:rFonts w:ascii="Calibri" w:hAnsi="Calibri"/>
          <w:sz w:val="22"/>
        </w:rPr>
        <w:t>Budget split: 40 % talent, 35 % infrastructure (cloud + edge), 15 % licensing, 10 % training &amp; change management.</w:t>
      </w:r>
    </w:p>
    <w:p>
      <w:pPr>
        <w:pStyle w:val="ListBullet"/>
      </w:pPr>
      <w:r>
        <w:rPr>
          <w:rFonts w:ascii="Calibri" w:hAnsi="Calibri"/>
          <w:sz w:val="22"/>
        </w:rPr>
        <w:t>Leverage existing cloud credits and negotiate volume discounts for GPU clusters.</w:t>
      </w:r>
    </w:p>
    <w:p>
      <w:r>
        <w:rPr>
          <w:rFonts w:ascii="Calibri" w:hAnsi="Calibri"/>
          <w:sz w:val="22"/>
        </w:rPr>
        <w:t>**6. Risk Mitigation**</w:t>
      </w:r>
    </w:p>
    <w:p>
      <w:pPr>
        <w:pStyle w:val="ListBullet"/>
      </w:pPr>
      <w:r>
        <w:rPr>
          <w:rFonts w:ascii="Calibri" w:hAnsi="Calibri"/>
          <w:sz w:val="22"/>
        </w:rPr>
        <w:t>Conduct privacy impact assessments before each rollout.</w:t>
      </w:r>
    </w:p>
    <w:p>
      <w:pPr>
        <w:pStyle w:val="ListBullet"/>
      </w:pPr>
      <w:r>
        <w:rPr>
          <w:rFonts w:ascii="Calibri" w:hAnsi="Calibri"/>
          <w:sz w:val="22"/>
        </w:rPr>
        <w:t>Implement continuous model monitoring to detect bias drift.</w:t>
      </w:r>
    </w:p>
    <w:p>
      <w:pPr>
        <w:pStyle w:val="ListBullet"/>
      </w:pPr>
      <w:r>
        <w:rPr>
          <w:rFonts w:ascii="Calibri" w:hAnsi="Calibri"/>
          <w:sz w:val="22"/>
        </w:rPr>
        <w:t>Maintain a rollback plan and</w:t>
      </w:r>
    </w:p>
    <w:p/>
    <w:p>
      <w:r>
        <w:br w:type="page"/>
      </w:r>
    </w:p>
    <w:p>
      <w:pPr>
        <w:pStyle w:val="Heading1"/>
      </w:pPr>
      <w:r>
        <w:rPr>
          <w:rFonts w:ascii="Calibri" w:hAnsi="Calibri"/>
          <w:sz w:val="28"/>
        </w:rPr>
        <w:t>References &amp; Sources</w:t>
      </w:r>
    </w:p>
    <w:p>
      <w:r>
        <w:rPr>
          <w:rFonts w:ascii="Calibri" w:hAnsi="Calibri"/>
          <w:sz w:val="22"/>
        </w:rPr>
        <w:t>[1] PPT - Top-Trends-and-Developments-in-Generative-AI PowerPoint Presentation - ID:13779924 — https://www.slideserve.com/Yessenia123/top-trends-and-developments-in-generative-ai</w:t>
      </w:r>
    </w:p>
    <w:p>
      <w:r>
        <w:rPr>
          <w:rFonts w:ascii="Calibri" w:hAnsi="Calibri"/>
          <w:sz w:val="22"/>
        </w:rPr>
        <w:t>[2] Generative AI Trends 2026: The Future of Work &amp; Life — https://www.kellton.com/kellton-tech-blog/generative-ai-trends-2026-transform-work-everyday-life</w:t>
      </w:r>
    </w:p>
    <w:p>
      <w:r>
        <w:rPr>
          <w:rFonts w:ascii="Calibri" w:hAnsi="Calibri"/>
          <w:sz w:val="22"/>
        </w:rPr>
        <w:t>[3] Generative AI Trends in 2026: 10 Key Ways to Grow - Dataforest — https://dataforest.ai/blog/key-trends-in-generative-ai-10-main-ways-of-development</w:t>
      </w:r>
    </w:p>
    <w:p>
      <w:r>
        <w:rPr>
          <w:rFonts w:ascii="Calibri" w:hAnsi="Calibri"/>
          <w:sz w:val="22"/>
        </w:rPr>
        <w:t>[4] Top-Trends-and-Developments-in-Generative-AI — https://www.slideserve.com/Yessenia123/top-trends-and-developments-in-generative-ai</w:t>
      </w:r>
    </w:p>
    <w:p>
      <w:r>
        <w:rPr>
          <w:rFonts w:ascii="Calibri" w:hAnsi="Calibri"/>
          <w:sz w:val="22"/>
        </w:rPr>
        <w:t>[5] Top Generative AI trends in 2024 — https://saxon.ai/blogs/6-generative-ai-trends-to-watch-out-for-in-2024</w:t>
      </w:r>
    </w:p>
    <w:p>
      <w:r>
        <w:rPr>
          <w:rFonts w:ascii="Calibri" w:hAnsi="Calibri"/>
          <w:sz w:val="22"/>
        </w:rPr>
        <w:t>[6] The coming generative AI trends of 2024.pdf — https://www.slideshare.net/slideshow/the-coming-generative-ai-trends-of-2024pdf/264394632</w:t>
      </w:r>
    </w:p>
    <w:p>
      <w:r>
        <w:rPr>
          <w:rFonts w:ascii="Calibri" w:hAnsi="Calibri"/>
          <w:sz w:val="22"/>
        </w:rPr>
        <w:t>[7] Top Generative AI Use Cases and Applications — https://www.xenonstack.com/blog/generative-ai-use-cases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