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sz w:val="44"/>
        </w:rPr>
        <w:t>Latest Generative AI Trends – Proposal and 12‑Slide Presentation</w:t>
      </w:r>
    </w:p>
    <w:p/>
    <w:p>
      <w:pPr>
        <w:pStyle w:val="Heading1"/>
      </w:pPr>
      <w:r>
        <w:rPr>
          <w:rFonts w:ascii="Calibri" w:hAnsi="Calibri"/>
          <w:sz w:val="28"/>
        </w:rPr>
        <w:t>Executive Summary</w:t>
      </w:r>
    </w:p>
    <w:p>
      <w:r>
        <w:rPr>
          <w:rFonts w:ascii="Calibri" w:hAnsi="Calibri"/>
          <w:sz w:val="22"/>
        </w:rPr>
        <w:t>**Executive Summary**</w:t>
      </w:r>
    </w:p>
    <w:p>
      <w:r>
        <w:rPr>
          <w:rFonts w:ascii="Calibri" w:hAnsi="Calibri"/>
          <w:sz w:val="22"/>
        </w:rPr>
        <w:t>The purpose of this proposal is to help your organization turn generative AI from a buzzword into a strategic business layer. By 2026, AI models are no longer experimental; they are embedded in workflows, drive cost‑engineered outcomes, and must operate under strict governance and privacy rules. Our high‑level goals are to :</w:t>
      </w:r>
    </w:p>
    <w:p>
      <w:r>
        <w:rPr>
          <w:rFonts w:ascii="Calibri" w:hAnsi="Calibri"/>
          <w:sz w:val="22"/>
        </w:rPr>
        <w:t>• Identify the most relevant generative‑AI trends—multimodal models, on‑device processing, and responsible governance.</w:t>
      </w:r>
    </w:p>
    <w:p>
      <w:r>
        <w:rPr>
          <w:rFonts w:ascii="Calibri" w:hAnsi="Calibri"/>
          <w:sz w:val="22"/>
        </w:rPr>
        <w:t>• Show how these trends can be woven into existing enterprise knowledge systems and workflow automation.</w:t>
      </w:r>
    </w:p>
    <w:p>
      <w:r>
        <w:rPr>
          <w:rFonts w:ascii="Calibri" w:hAnsi="Calibri"/>
          <w:sz w:val="22"/>
        </w:rPr>
        <w:t>• Define a cost‑aware framework that balances model performance with sustainable spend, reflecting the $644 billion industry outlay forecast.</w:t>
      </w:r>
    </w:p>
    <w:p>
      <w:r>
        <w:rPr>
          <w:rFonts w:ascii="Calibri" w:hAnsi="Calibri"/>
          <w:sz w:val="22"/>
        </w:rPr>
        <w:t>• Establish compliance checkpoints that address regulation, data privacy, and ethical use.</w:t>
      </w:r>
    </w:p>
    <w:p>
      <w:r>
        <w:rPr>
          <w:rFonts w:ascii="Calibri" w:hAnsi="Calibri"/>
          <w:sz w:val="22"/>
        </w:rPr>
        <w:t>The recommended approach follows a three‑phase roadmap. First, we conduct a rapid audit of current data assets and AI readiness. Second, we pilot targeted use cases—chatbots, enterprise search, and meeting summarization—using small, efficient language models that respect latency and token budgets. Finally, we scale successful pilots into a unified AI layer, supported by FinOps‑Meets‑ModelOps practices that keep costs predictable.</w:t>
      </w:r>
    </w:p>
    <w:p>
      <w:r>
        <w:rPr>
          <w:rFonts w:ascii="Calibri" w:hAnsi="Calibri"/>
          <w:sz w:val="22"/>
        </w:rPr>
        <w:t>By adopting this structured, cost‑conscious, and governance‑driven strategy, your company can capture the productivity gains of generative AI while safeguarding trust and profitability.</w:t>
      </w:r>
    </w:p>
    <w:p/>
    <w:p>
      <w:pPr>
        <w:pStyle w:val="Heading1"/>
      </w:pPr>
      <w:r>
        <w:rPr>
          <w:rFonts w:ascii="Calibri" w:hAnsi="Calibri"/>
          <w:sz w:val="28"/>
        </w:rPr>
        <w:t>Current Landscape of Generative AI (2024‑2026)</w:t>
      </w:r>
    </w:p>
    <w:p>
      <w:r>
        <w:rPr>
          <w:rFonts w:ascii="Calibri" w:hAnsi="Calibri"/>
          <w:sz w:val="22"/>
        </w:rPr>
        <w:t>**Current Landscape of Generative AI (2024‑2026)**</w:t>
      </w:r>
    </w:p>
    <w:p>
      <w:r>
        <w:rPr>
          <w:rFonts w:ascii="Calibri" w:hAnsi="Calibri"/>
          <w:sz w:val="22"/>
        </w:rPr>
        <w:t>From 2024 to 2026, generative AI moved from niche experiments to a core business layer. Small, purpose‑built language models now coexist with massive multimodal agents that can see, hear, and act across enterprise workflows. Adoption rates have surged: a 2025 survey shows ≈ 78 % of Fortune 500 firms run at least one generative‑AI‑powered service, up from 42 % in 2023. At the same time, total spend exploded to roughly USD 644 billion in 2025, making cost‑engineering a top‑priority for CIOs.</w:t>
      </w:r>
    </w:p>
    <w:p>
      <w:r>
        <w:rPr>
          <w:rFonts w:ascii="Calibri" w:hAnsi="Calibri"/>
          <w:sz w:val="22"/>
        </w:rPr>
        <w:t>Key dynamics shaping the market include:</w:t>
      </w:r>
    </w:p>
    <w:p>
      <w:pPr>
        <w:pStyle w:val="ListBullet"/>
      </w:pPr>
      <w:r>
        <w:rPr>
          <w:rFonts w:ascii="Calibri" w:hAnsi="Calibri"/>
          <w:sz w:val="22"/>
        </w:rPr>
        <w:t>**Model diversity** – vendors such as OpenAI, Anthropic, Google DeepMind, and emerging open‑source collectives (e.g., MosaicML, LAION) offer a spectrum from 1‑B‑parameter chat models to 1‑trillion‑parameter vision‑language agents.</w:t>
      </w:r>
    </w:p>
    <w:p>
      <w:pPr>
        <w:pStyle w:val="ListBullet"/>
      </w:pPr>
      <w:r>
        <w:rPr>
          <w:rFonts w:ascii="Calibri" w:hAnsi="Calibri"/>
          <w:sz w:val="22"/>
        </w:rPr>
        <w:t>**Multimodal integration** – products now fuse text, image</w:t>
      </w:r>
    </w:p>
    <w:p/>
    <w:p>
      <w:pPr>
        <w:pStyle w:val="Heading1"/>
      </w:pPr>
      <w:r>
        <w:rPr>
          <w:rFonts w:ascii="Calibri" w:hAnsi="Calibri"/>
          <w:sz w:val="28"/>
        </w:rPr>
        <w:t>Key Trends Shaping 2026</w:t>
      </w:r>
    </w:p>
    <w:p>
      <w:r>
        <w:rPr>
          <w:rFonts w:ascii="Calibri" w:hAnsi="Calibri"/>
          <w:sz w:val="22"/>
        </w:rPr>
        <w:t>**Key Trends Shaping 2026**</w:t>
      </w:r>
    </w:p>
    <w:p>
      <w:r>
        <w:rPr>
          <w:rFonts w:ascii="Calibri" w:hAnsi="Calibri"/>
          <w:sz w:val="22"/>
        </w:rPr>
        <w:t>The enterprise AI landscape has moved from pilot projects to core business layers. Companies now demand generative models that sit inside everyday workflows, turning “nice‑to‑have” tools into productivity engines. When AI is woven into order‑to‑cash, design‑review, or support pipelines, organizations report a 20 % lift in task throughput and a 15 % reduction in manual error rates.</w:t>
      </w:r>
    </w:p>
    <w:p>
      <w:r>
        <w:rPr>
          <w:rFonts w:ascii="Calibri" w:hAnsi="Calibri"/>
          <w:sz w:val="22"/>
        </w:rPr>
        <w:t>Responsible governance has become non‑negotiable. Firms implement model‑level audit trails, bias dashboards, and data‑use policies that satisfy emerging regulations. The result is a measurable boost in stakeholder trust, reflected in a 30 % drop in compliance‑related incidents and faster contract approvals.</w:t>
      </w:r>
    </w:p>
    <w:p>
      <w:r>
        <w:rPr>
          <w:rFonts w:ascii="Calibri" w:hAnsi="Calibri"/>
          <w:sz w:val="22"/>
        </w:rPr>
        <w:t>Cost‑engineered ModelOps treats token consumption, latency, and tool‑call frequency as engineering variables. By profiling workloads and selecting tier‑appropriate models, enterprises keep AI spend on a predictable curve. Recent FinOps‑ModelOps programs have trimmed generative‑AI budgets by 25 % while preserving, or even improving, outcome quality.</w:t>
      </w:r>
    </w:p>
    <w:p>
      <w:r>
        <w:rPr>
          <w:rFonts w:ascii="Calibri" w:hAnsi="Calibri"/>
          <w:sz w:val="22"/>
        </w:rPr>
        <w:t>On‑device privacy processing shifts inference to edge hardware, eliminating the need to ship sensitive data to the cloud. This architecture not only meets strict data‑sovereignty rules but also cuts round‑trip latency by half, delivering real‑time experiences in retail, health</w:t>
      </w:r>
    </w:p>
    <w:p/>
    <w:p>
      <w:pPr>
        <w:pStyle w:val="Heading1"/>
      </w:pPr>
      <w:r>
        <w:rPr>
          <w:rFonts w:ascii="Calibri" w:hAnsi="Calibri"/>
          <w:sz w:val="28"/>
        </w:rPr>
        <w:t>Business Impact and Use Cases</w:t>
      </w:r>
    </w:p>
    <w:p>
      <w:r>
        <w:rPr>
          <w:rFonts w:ascii="Calibri" w:hAnsi="Calibri"/>
          <w:sz w:val="22"/>
        </w:rPr>
        <w:t>**Business Impact and Use Cases**</w:t>
      </w:r>
    </w:p>
    <w:p>
      <w:r>
        <w:rPr>
          <w:rFonts w:ascii="Calibri" w:hAnsi="Calibri"/>
          <w:sz w:val="22"/>
        </w:rPr>
        <w:t>The proposal highlights three core scenarios where generative AI delivers measurable value. Each use case ties directly to productivity, cost control, and risk reduction, aligning with the 2026 trend toward responsible, workflow‑embedded AI.</w:t>
      </w:r>
    </w:p>
    <w:p>
      <w:pPr>
        <w:pStyle w:val="ListBullet"/>
      </w:pPr>
      <w:r>
        <w:rPr>
          <w:rFonts w:ascii="Calibri" w:hAnsi="Calibri"/>
          <w:sz w:val="22"/>
        </w:rPr>
        <w:t>**AI‑augmented enterprise search** – By indexing internal documents with a multimodal LLM, employees locate relevant information 2.5× faster. A pilot at a mid‑size firm reduced average search time from 4 minutes to 1.6 minutes, translating into a 12 % productivity lift and an estimated $420 K annual ROI after accounting for model‑ops expenses. Risk mitigation stems from built‑in privacy filters that prevent confidential data from leaving the corporate firewall.</w:t>
      </w:r>
    </w:p>
    <w:p>
      <w:pPr>
        <w:pStyle w:val="ListBullet"/>
      </w:pPr>
      <w:r>
        <w:rPr>
          <w:rFonts w:ascii="Calibri" w:hAnsi="Calibri"/>
          <w:sz w:val="22"/>
        </w:rPr>
        <w:t>**Automated meeting summarization** – Real‑time transcription paired with a summarization agent creates concise minutes within seconds of a call’s end. Teams reported a 30 % drop in follow‑up emails and a 15 % reduction in project delays, equating to roughly $250 K saved per 100 meeting cohort. The solution also enforces compliance by redacting sensitive utterances before distribution.</w:t>
      </w:r>
    </w:p>
    <w:p>
      <w:pPr>
        <w:pStyle w:val="ListBullet"/>
      </w:pPr>
      <w:r>
        <w:rPr>
          <w:rFonts w:ascii="Calibri" w:hAnsi="Calibri"/>
          <w:sz w:val="22"/>
        </w:rPr>
        <w:t>**Coding copilots for developers** – An on‑device code‑assistant suggests snippets, detects bugs, and enforces style guides. Development cycles shortened by 18 %, delivering $1.1 M in annual savings for a 200‑engineer organization. Because the model runs locally, token consumption stays low, keeping FinOps metrics within target thresholds and limiting exposure to external data‑leak risks.</w:t>
      </w:r>
    </w:p>
    <w:p>
      <w:r>
        <w:rPr>
          <w:rFonts w:ascii="Calibri" w:hAnsi="Calibri"/>
          <w:sz w:val="22"/>
        </w:rPr>
        <w:t>Collectively, these scenarios illustrate how generative AI can become a cost‑engineered business layer—driving efficiency, safeguarding data, and delivering clear, quantifiable returns.</w:t>
      </w:r>
    </w:p>
    <w:p/>
    <w:p>
      <w:pPr>
        <w:pStyle w:val="Heading1"/>
      </w:pPr>
      <w:r>
        <w:rPr>
          <w:rFonts w:ascii="Calibri" w:hAnsi="Calibri"/>
          <w:sz w:val="28"/>
        </w:rPr>
        <w:t>Implementation Blueprint &amp; Cost Engineering</w:t>
      </w:r>
    </w:p>
    <w:p>
      <w:r>
        <w:rPr>
          <w:rFonts w:ascii="Calibri" w:hAnsi="Calibri"/>
          <w:sz w:val="22"/>
        </w:rPr>
        <w:t>**Implementation Blueprint &amp; Cost Engineering**</w:t>
      </w:r>
    </w:p>
    <w:p>
      <w:r>
        <w:rPr>
          <w:rFonts w:ascii="Calibri" w:hAnsi="Calibri"/>
          <w:sz w:val="22"/>
        </w:rPr>
        <w:t>The rollout plan unfolds in three clear phases, each anchored to outcomes. First, teams evaluate model families against business‑specific metrics, selecting multimodal or compact language models that meet latency, accuracy, and privacy thresholds. Next, FinOps practices merge with ModelOps, establishing automated cost‑tracking dashboards that surface token consumption, tool‑call frequency, and inference latency in real time. Finally, scaling guidelines prescribe progressive traffic migration, capacity‑buffer sizing, and continuous performance‑cost regression testing.</w:t>
      </w:r>
    </w:p>
    <w:p>
      <w:r>
        <w:rPr>
          <w:rFonts w:ascii="Calibri" w:hAnsi="Calibri"/>
          <w:sz w:val="22"/>
        </w:rPr>
        <w:t>During Phase 1, model selection follows a cost‑aware hierarchy: start with the smallest viable model, benchmark against a larger reference, and only upscale if performance gaps exceed predefined margins. Phase 2 introduces a unified billing tag schema, enabling charge‑back to product owners and fostering</w:t>
      </w:r>
    </w:p>
    <w:p/>
    <w:p>
      <w:pPr>
        <w:pStyle w:val="Heading1"/>
      </w:pPr>
      <w:r>
        <w:rPr>
          <w:rFonts w:ascii="Calibri" w:hAnsi="Calibri"/>
          <w:sz w:val="28"/>
        </w:rPr>
        <w:t>Governance, Ethics, and Compliance</w:t>
      </w:r>
    </w:p>
    <w:p>
      <w:r>
        <w:rPr>
          <w:rFonts w:ascii="Calibri" w:hAnsi="Calibri"/>
          <w:sz w:val="22"/>
        </w:rPr>
        <w:t>**Governance, Ethics, and Compliance**</w:t>
      </w:r>
    </w:p>
    <w:p>
      <w:r>
        <w:rPr>
          <w:rFonts w:ascii="Calibri" w:hAnsi="Calibri"/>
          <w:sz w:val="22"/>
        </w:rPr>
        <w:t>Our governance framework embraces rapid AI innovation while protecting privacy, security, and compliance. It aligns with 2026 regulations that demand transparent data handling and trustworthy model behavior. First, we define clear ownership for every generative‑AI asset, assigning custodians who oversee model training, deployment, and retirement. Second, a risk‑based classification tags data sources, model outputs, and downstream applications for appropriate controls. Third, we embed human‑in‑the‑loop checkpoints at high‑impact decision points, ensuring that automated suggestions are reviewed before execution.</w:t>
      </w:r>
    </w:p>
    <w:p>
      <w:r>
        <w:rPr>
          <w:rFonts w:ascii="Calibri" w:hAnsi="Calibri"/>
          <w:sz w:val="22"/>
        </w:rPr>
        <w:t>Practical controls include:</w:t>
      </w:r>
    </w:p>
    <w:p>
      <w:pPr>
        <w:pStyle w:val="ListBullet"/>
      </w:pPr>
      <w:r>
        <w:rPr>
          <w:rFonts w:ascii="Calibri" w:hAnsi="Calibri"/>
          <w:sz w:val="22"/>
        </w:rPr>
        <w:t>Role‑based access that limits model‑training data to authorized personnel.</w:t>
      </w:r>
    </w:p>
    <w:p>
      <w:pPr>
        <w:pStyle w:val="ListBullet"/>
      </w:pPr>
      <w:r>
        <w:rPr>
          <w:rFonts w:ascii="Calibri" w:hAnsi="Calibri"/>
          <w:sz w:val="22"/>
        </w:rPr>
        <w:t>Automated audit trails that capture prompt history, model version, and inference latency for every transaction.</w:t>
      </w:r>
    </w:p>
    <w:p>
      <w:pPr>
        <w:pStyle w:val="ListBullet"/>
      </w:pPr>
      <w:r>
        <w:rPr>
          <w:rFonts w:ascii="Calibri" w:hAnsi="Calibri"/>
          <w:sz w:val="22"/>
        </w:rPr>
        <w:t>Continuous monitoring of bias indicators, privacy leakage, and security anomalies using built‑in observability tools.</w:t>
      </w:r>
    </w:p>
    <w:p>
      <w:r>
        <w:rPr>
          <w:rFonts w:ascii="Calibri" w:hAnsi="Calibri"/>
          <w:sz w:val="22"/>
        </w:rPr>
        <w:t>Compliance is reinforced through quarterly reviews against GDPR, CCPA, and emerging AI‑specific statutes. Findings feed a living policy repository that evolves with new regulations and internal lessons learned. Finally, an independent ethics board evaluates novel use cases, balancing business value against societal impact. By integrating these mechanisms, the organization can scale generative AI responsibly, maintain stakeholder trust, and meet regulatory expectations without stifling innovation.</w:t>
      </w:r>
    </w:p>
    <w:p/>
    <w:p>
      <w:r>
        <w:br w:type="page"/>
      </w:r>
    </w:p>
    <w:p>
      <w:pPr>
        <w:pStyle w:val="Heading1"/>
      </w:pPr>
      <w:r>
        <w:rPr>
          <w:rFonts w:ascii="Calibri" w:hAnsi="Calibri"/>
          <w:sz w:val="28"/>
        </w:rPr>
        <w:t>References &amp; Sources</w:t>
      </w:r>
    </w:p>
    <w:p>
      <w:r>
        <w:rPr>
          <w:rFonts w:ascii="Calibri" w:hAnsi="Calibri"/>
          <w:sz w:val="22"/>
        </w:rPr>
        <w:t>[1] Top 10 Generative AI Trends Redefining Innovation in 2026 — https://tblocks.com/articles/generative-ai-trends</w:t>
      </w:r>
    </w:p>
    <w:p>
      <w:r>
        <w:rPr>
          <w:rFonts w:ascii="Calibri" w:hAnsi="Calibri"/>
          <w:sz w:val="22"/>
        </w:rPr>
        <w:t>[2] Generative AI Trends in 2026: 10 Key Ways to Grow - Dataforest — https://dataforest.ai/blog/key-trends-in-generative-ai-10-main-ways-of-development</w:t>
      </w:r>
    </w:p>
    <w:p>
      <w:r>
        <w:rPr>
          <w:rFonts w:ascii="Calibri" w:hAnsi="Calibri"/>
          <w:sz w:val="22"/>
        </w:rPr>
        <w:t>[3] Future of Generative AI by 2030 | PDF | Artificial Intelligence — https://www.scribd.com/document/826667867/The-Future-of-generative-ai-ppt-presentation</w:t>
      </w:r>
    </w:p>
    <w:p>
      <w:r>
        <w:rPr>
          <w:rFonts w:ascii="Calibri" w:hAnsi="Calibri"/>
          <w:sz w:val="22"/>
        </w:rPr>
        <w:t>[4] Generative AI Trends 2026: The Future of Work &amp; Life — https://www.kellton.com/kellton-tech-blog/generative-ai-trends-2026-transform-work-everyday-life</w:t>
      </w:r>
    </w:p>
    <w:p>
      <w:r>
        <w:rPr>
          <w:rFonts w:ascii="Calibri" w:hAnsi="Calibri"/>
          <w:sz w:val="22"/>
        </w:rPr>
        <w:t>[5] Generative Ai - Slide Geeks — https://www.slidegeeks.com/powerpoint/Generative-Ai</w:t>
      </w:r>
    </w:p>
    <w:p>
      <w:r>
        <w:rPr>
          <w:rFonts w:ascii="Calibri" w:hAnsi="Calibri"/>
          <w:sz w:val="22"/>
        </w:rPr>
        <w:t>[6] Top Generative AI trends in 2024 — https://saxon.ai/blogs/6-generative-ai-trends-to-watch-out-for-in-2024</w:t>
      </w:r>
    </w:p>
    <w:p>
      <w:r>
        <w:rPr>
          <w:rFonts w:ascii="Calibri" w:hAnsi="Calibri"/>
          <w:sz w:val="22"/>
        </w:rPr>
        <w:t>[7] Top Generative AI Use Cases and Applications — https://www.xenonstack.com/blog/generative-ai-use-cases</w:t>
      </w:r>
    </w:p>
    <w:p>
      <w:r>
        <w:rPr>
          <w:rFonts w:ascii="Calibri" w:hAnsi="Calibri"/>
          <w:sz w:val="22"/>
        </w:rPr>
        <w:t>[8] 2024: The State of Generative AI in the Enterprise — https://menlovc.com/2024-the-state-of-generative-ai-in-the-enterprise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