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sz w:val="48"/>
        </w:rPr>
        <w:t>Latest Generative AI Trends – Proposal and 5‑Slide Presentation</w:t>
      </w:r>
    </w:p>
    <w:p/>
    <w:p>
      <w:pPr>
        <w:pStyle w:val="Heading1"/>
      </w:pPr>
      <w:r>
        <w:rPr>
          <w:rFonts w:ascii="Calibri" w:hAnsi="Calibri"/>
          <w:sz w:val="32"/>
        </w:rPr>
        <w:t>Executive Summary</w:t>
      </w:r>
    </w:p>
    <w:p>
      <w:r>
        <w:rPr>
          <w:rFonts w:ascii="Calibri" w:hAnsi="Calibri"/>
          <w:sz w:val="22"/>
        </w:rPr>
        <w:t>**Executive Summary**</w:t>
      </w:r>
    </w:p>
    <w:p>
      <w:r>
        <w:rPr>
          <w:rFonts w:ascii="Calibri" w:hAnsi="Calibri"/>
          <w:sz w:val="22"/>
        </w:rPr>
        <w:t>The proposal outlines a strategic initiative to integrate the latest generative‑AI trends—multi‑modal, conversational, and autonomous solutions—into our core business processes. By capitalizing on these advances, the organization can accelerate innovation, enhance productivity, and secure a competitive edge in rapidly evolving markets such as healthcare, travel, and digital entertainment.</w:t>
      </w:r>
    </w:p>
    <w:p>
      <w:r>
        <w:rPr>
          <w:rFonts w:ascii="Calibri" w:hAnsi="Calibri"/>
          <w:sz w:val="22"/>
        </w:rPr>
        <w:t>**Key Objectives**</w:t>
      </w:r>
    </w:p>
    <w:p>
      <w:pPr>
        <w:pStyle w:val="ListBullet"/>
      </w:pPr>
      <w:r>
        <w:rPr>
          <w:rFonts w:ascii="Calibri" w:hAnsi="Calibri"/>
          <w:sz w:val="22"/>
        </w:rPr>
        <w:t>Deploy multi‑modal AI platforms that fuse text, image, and audio generation to streamline content creation and decision‑support workflows.</w:t>
      </w:r>
    </w:p>
    <w:p>
      <w:pPr>
        <w:pStyle w:val="ListBullet"/>
      </w:pPr>
      <w:r>
        <w:rPr>
          <w:rFonts w:ascii="Calibri" w:hAnsi="Calibri"/>
          <w:sz w:val="22"/>
        </w:rPr>
        <w:t>Implement conversational AI agents capable of handling complex, context‑aware interactions across customer‑service and internal knowledge‑base functions.</w:t>
      </w:r>
    </w:p>
    <w:p>
      <w:pPr>
        <w:pStyle w:val="ListBullet"/>
      </w:pPr>
      <w:r>
        <w:rPr>
          <w:rFonts w:ascii="Calibri" w:hAnsi="Calibri"/>
          <w:sz w:val="22"/>
        </w:rPr>
        <w:t>Introduce autonomous AI modules that execute routine tasks, freeing skilled personnel for higher‑value activities.</w:t>
      </w:r>
    </w:p>
    <w:p>
      <w:r>
        <w:rPr>
          <w:rFonts w:ascii="Calibri" w:hAnsi="Calibri"/>
          <w:sz w:val="22"/>
        </w:rPr>
        <w:t>**Expected Outcomes**</w:t>
      </w:r>
    </w:p>
    <w:p>
      <w:pPr>
        <w:pStyle w:val="ListBullet"/>
      </w:pPr>
      <w:r>
        <w:rPr>
          <w:rFonts w:ascii="Calibri" w:hAnsi="Calibri"/>
          <w:sz w:val="22"/>
        </w:rPr>
        <w:t>20‑30 % reduction in manual content‑production time within the first twelve months.</w:t>
      </w:r>
    </w:p>
    <w:p>
      <w:pPr>
        <w:pStyle w:val="ListBullet"/>
      </w:pPr>
      <w:r>
        <w:rPr>
          <w:rFonts w:ascii="Calibri" w:hAnsi="Calibri"/>
          <w:sz w:val="22"/>
        </w:rPr>
        <w:t>15 % increase in customer‑satisfaction scores through personalized, real‑time assistance.</w:t>
      </w:r>
    </w:p>
    <w:p>
      <w:pPr>
        <w:pStyle w:val="ListBullet"/>
      </w:pPr>
      <w:r>
        <w:rPr>
          <w:rFonts w:ascii="Calibri" w:hAnsi="Calibri"/>
          <w:sz w:val="22"/>
        </w:rPr>
        <w:t>measurable cost savings of up to USD 5 million annually from automated workflow execution.</w:t>
      </w:r>
    </w:p>
    <w:p>
      <w:r>
        <w:rPr>
          <w:rFonts w:ascii="Calibri" w:hAnsi="Calibri"/>
          <w:sz w:val="22"/>
        </w:rPr>
        <w:t>**Strategic Value**</w:t>
      </w:r>
    </w:p>
    <w:p>
      <w:r>
        <w:rPr>
          <w:rFonts w:ascii="Calibri" w:hAnsi="Calibri"/>
          <w:sz w:val="22"/>
        </w:rPr>
        <w:t>Adopting these generative‑AI capabilities aligns with industry forecasts that predict a CAGR of 37 % in AI‑driven markets through 2033. The initiative also embeds responsible governance frameworks, ensuring compliance with emerging regulations while fostering trust among stakeholders.</w:t>
      </w:r>
    </w:p>
    <w:p>
      <w:r>
        <w:rPr>
          <w:rFonts w:ascii="Calibri" w:hAnsi="Calibri"/>
          <w:sz w:val="22"/>
        </w:rPr>
        <w:t>In summary, the proposed multi‑modal, conversational, and autonomous AI solution set positions the organization to lead in digital transformation, drive sustainable growth, and future‑proof its operations against emerging technological disruptions.</w:t>
      </w:r>
    </w:p>
    <w:p/>
    <w:p>
      <w:pPr>
        <w:pStyle w:val="Heading1"/>
      </w:pPr>
      <w:r>
        <w:rPr>
          <w:rFonts w:ascii="Calibri" w:hAnsi="Calibri"/>
          <w:sz w:val="32"/>
        </w:rPr>
        <w:t>Market Overview &amp; Emerging Trends</w:t>
      </w:r>
    </w:p>
    <w:p>
      <w:r>
        <w:rPr>
          <w:rFonts w:ascii="Calibri" w:hAnsi="Calibri"/>
          <w:sz w:val="22"/>
        </w:rPr>
        <w:t>**Market Overview &amp; Emerging Trends**</w:t>
      </w:r>
    </w:p>
    <w:p>
      <w:r>
        <w:rPr>
          <w:rFonts w:ascii="Calibri" w:hAnsi="Calibri"/>
          <w:sz w:val="22"/>
        </w:rPr>
        <w:t>The generative‑AI market is entering a decisive growth phase in 2026, driven by multi‑modal integration, conversational agents, and heightened emphasis on responsible governance. Global revenue is projected to reach **USD 112 billion** by year‑end, up from **USD 78 billion** in 2024, reflecting a compound annual growth rate (CAGR) of **23 %** between 2024 and 2026. Adoption accelerates across sectors, with enterprise penetration climbing from **58 %** in 2024 to **71 %** in 2026, while regulated industries such as healthcare and finance exhibit the steepest compliance‑driven uptake.</w:t>
      </w:r>
    </w:p>
    <w:p>
      <w:r>
        <w:rPr>
          <w:rFonts w:ascii="Calibri" w:hAnsi="Calibri"/>
          <w:sz w:val="22"/>
        </w:rPr>
        <w:t>Key comparative insights:</w:t>
      </w:r>
    </w:p>
    <w:p>
      <w:pPr>
        <w:pStyle w:val="ListBullet"/>
      </w:pPr>
      <w:r>
        <w:rPr>
          <w:rFonts w:ascii="Calibri" w:hAnsi="Calibri"/>
          <w:sz w:val="22"/>
        </w:rPr>
        <w:t>**Multi‑modal AI** – 2024 emphasized single‑modal models; by 2026, 62 % of leading vendors offer integrated text‑image‑audio pipelines, enabling seamless workflow embedding.</w:t>
      </w:r>
    </w:p>
    <w:p>
      <w:pPr>
        <w:pStyle w:val="ListBullet"/>
      </w:pPr>
      <w:r>
        <w:rPr>
          <w:rFonts w:ascii="Calibri" w:hAnsi="Calibri"/>
          <w:sz w:val="22"/>
        </w:rPr>
        <w:t>**Conversational agents** – 2025 saw a 34 % rise in chat‑assistant deployments; 2026 forecasts a further 22 % increase as contextual memory and real‑time grounding become standard.</w:t>
      </w:r>
    </w:p>
    <w:p>
      <w:pPr>
        <w:pStyle w:val="ListBullet"/>
      </w:pPr>
      <w:r>
        <w:rPr>
          <w:rFonts w:ascii="Calibri" w:hAnsi="Calibri"/>
          <w:sz w:val="22"/>
        </w:rPr>
        <w:t>**Responsible governance** – Regulatory frameworks introduced in 2025 (e.g., EU AI Act) have pushed 48 % of providers to certify model transparency, compared with only 19 % in 2024.</w:t>
      </w:r>
    </w:p>
    <w:p>
      <w:r>
        <w:rPr>
          <w:rFonts w:ascii="Calibri" w:hAnsi="Calibri"/>
          <w:sz w:val="22"/>
        </w:rPr>
        <w:t>Industry‑specific momentum:</w:t>
      </w:r>
    </w:p>
    <w:p>
      <w:pPr>
        <w:pStyle w:val="ListBullet"/>
      </w:pPr>
      <w:r>
        <w:rPr>
          <w:rFonts w:ascii="Calibri" w:hAnsi="Calibri"/>
          <w:sz w:val="22"/>
        </w:rPr>
        <w:t>**Healthcare** anticipates a market value of **USD 24.2 billion** by 2033, driven by AI‑generated diagnostics and personalized treatment plans.</w:t>
      </w:r>
    </w:p>
    <w:p>
      <w:pPr>
        <w:pStyle w:val="ListBullet"/>
      </w:pPr>
      <w:r>
        <w:rPr>
          <w:rFonts w:ascii="Calibri" w:hAnsi="Calibri"/>
          <w:sz w:val="22"/>
        </w:rPr>
        <w:t>**Travel &amp; hospitality** leverage generative AI for dynamic itinerary creation, achieving a 41 % YoY growth in AI‑enhanced bookings since 2024.</w:t>
      </w:r>
    </w:p>
    <w:p>
      <w:r>
        <w:rPr>
          <w:rFonts w:ascii="Calibri" w:hAnsi="Calibri"/>
          <w:sz w:val="22"/>
        </w:rPr>
        <w:t>Overall, the 2026 landscape reflects a transition from experimental pilots to production‑grade, responsibly governed AI solutions that are</w:t>
      </w:r>
    </w:p>
    <w:p/>
    <w:p>
      <w:pPr>
        <w:pStyle w:val="Heading1"/>
      </w:pPr>
      <w:r>
        <w:rPr>
          <w:rFonts w:ascii="Calibri" w:hAnsi="Calibri"/>
          <w:sz w:val="32"/>
        </w:rPr>
        <w:t>Strategic Recommendations</w:t>
      </w:r>
    </w:p>
    <w:p>
      <w:r>
        <w:rPr>
          <w:rFonts w:ascii="Calibri" w:hAnsi="Calibri"/>
          <w:sz w:val="22"/>
        </w:rPr>
        <w:t>**Strategic Recommendations**</w:t>
      </w:r>
    </w:p>
    <w:p>
      <w:r>
        <w:rPr>
          <w:rFonts w:ascii="Calibri" w:hAnsi="Calibri"/>
          <w:sz w:val="22"/>
        </w:rPr>
        <w:t>To capitalize on the 2026 generative‑AI landscape, organizations should adopt a three‑pronged strategy that aligns emerging capabilities with core business objectives. The following actionable recommendations focus on productivity enhancement, personalized digital experiences, and sustained innovation across all units.</w:t>
      </w:r>
    </w:p>
    <w:p>
      <w:pPr>
        <w:pStyle w:val="ListBullet"/>
      </w:pPr>
      <w:r>
        <w:rPr>
          <w:rFonts w:ascii="Calibri" w:hAnsi="Calibri"/>
          <w:sz w:val="22"/>
        </w:rPr>
        <w:t>**Integrate multimodal generative AI into content creation pipelines** – Deploy large‑scale text‑to‑image and video models to produce marketing assets, technical documentation, and training materials, reducing production cycles by up to 60 % while maintaining brand consistency.</w:t>
      </w:r>
    </w:p>
    <w:p>
      <w:pPr>
        <w:pStyle w:val="ListBullet"/>
      </w:pPr>
      <w:r>
        <w:rPr>
          <w:rFonts w:ascii="Calibri" w:hAnsi="Calibri"/>
          <w:sz w:val="22"/>
        </w:rPr>
        <w:t>**Automate routine workflows with AI‑driven orchestration** – Embed conversational agents and autonomous task executors within CRM, ERP, and supply‑chain systems to handle data entry, ticket routing, and report generation, freeing human talent for higher‑value analysis.</w:t>
      </w:r>
    </w:p>
    <w:p>
      <w:pPr>
        <w:pStyle w:val="ListBullet"/>
      </w:pPr>
      <w:r>
        <w:rPr>
          <w:rFonts w:ascii="Calibri" w:hAnsi="Calibri"/>
          <w:sz w:val="22"/>
        </w:rPr>
        <w:t>**Implement AI‑augmented decision support dashboards** – Leverage small, domain‑specific language models to synthesize real‑time analytics, generate scenario forecasts, and surface actionable insights for finance, operations, and product development leaders.</w:t>
      </w:r>
    </w:p>
    <w:p>
      <w:pPr>
        <w:pStyle w:val="ListBullet"/>
      </w:pPr>
      <w:r>
        <w:rPr>
          <w:rFonts w:ascii="Calibri" w:hAnsi="Calibri"/>
          <w:sz w:val="22"/>
        </w:rPr>
        <w:t>**Personalize user experiences through adaptive generative interfaces** – Utilize conversational AI that learns individual preferences to tailor product recommendations, support interactions, and content feeds, thereby increasing engagement metrics by an estimated 15‑25 %.</w:t>
      </w:r>
    </w:p>
    <w:p>
      <w:pPr>
        <w:pStyle w:val="ListBullet"/>
      </w:pPr>
      <w:r>
        <w:rPr>
          <w:rFonts w:ascii="Calibri" w:hAnsi="Calibri"/>
          <w:sz w:val="22"/>
        </w:rPr>
        <w:t>**Establish responsible AI governance frameworks** – Align deployments with emerging regulatory standards, enforce bias mitigation protocols, and conduct continuous model audits to safeguard compliance and maintain stakeholder trust.</w:t>
      </w:r>
    </w:p>
    <w:p>
      <w:r>
        <w:rPr>
          <w:rFonts w:ascii="Calibri" w:hAnsi="Calibri"/>
          <w:sz w:val="22"/>
        </w:rPr>
        <w:t>By prioritizing these use cases—content creation, workflow automation, and decision support—enterprises can unlock measurable productivity gains, deliver differentiated digital experiences, and position themselves at the forefront of generative‑AI‑driven innovation.</w:t>
      </w:r>
    </w:p>
    <w:p/>
    <w:p>
      <w:pPr>
        <w:pStyle w:val="Heading1"/>
      </w:pPr>
      <w:r>
        <w:rPr>
          <w:rFonts w:ascii="Calibri" w:hAnsi="Calibri"/>
          <w:sz w:val="32"/>
        </w:rPr>
        <w:t>Implementation Roadmap</w:t>
      </w:r>
    </w:p>
    <w:p>
      <w:r>
        <w:rPr>
          <w:rFonts w:ascii="Calibri" w:hAnsi="Calibri"/>
          <w:sz w:val="22"/>
        </w:rPr>
        <w:t>**Implementation Roadmap**</w:t>
      </w:r>
    </w:p>
    <w:p>
      <w:pPr>
        <w:pStyle w:val="ListBullet"/>
      </w:pPr>
      <w:r>
        <w:rPr>
          <w:rFonts w:ascii="Calibri" w:hAnsi="Calibri"/>
          <w:sz w:val="22"/>
        </w:rPr>
        <w:t>**Phase 1 – Pilot (Month 0‑3)** – Assemble a cross‑functional team comprising data scientists, IT operations, compliance, and business analysts; allocate 15 % of the AI budget to cloud‑based sandbox environments and licensing for multi‑modal and conversational model APIs. Conduct a 6‑week pilot in the content‑creation workflow, measuring model accuracy (target ≥ 85 %), latency (&lt; 2 seconds per request), and user satisfaction (NPS ≥ 70).</w:t>
      </w:r>
    </w:p>
    <w:p>
      <w:pPr>
        <w:pStyle w:val="ListBullet"/>
      </w:pPr>
      <w:r>
        <w:rPr>
          <w:rFonts w:ascii="Calibri" w:hAnsi="Calibri"/>
          <w:sz w:val="22"/>
        </w:rPr>
        <w:t>**Phase 2 – Validation &amp; Governance (Month 4‑6)** – Review pilot results against the responsible‑AI charter; finalize governance policies, data‑privacy safeguards, and audit trails to meet 2026 regulatory standards. Secure executive sign‑off and release an additional 20 % of the budget for integration tooling and model‑fine‑tuning.</w:t>
      </w:r>
    </w:p>
    <w:p>
      <w:pPr>
        <w:pStyle w:val="ListBullet"/>
      </w:pPr>
      <w:r>
        <w:rPr>
          <w:rFonts w:ascii="Calibri" w:hAnsi="Calibri"/>
          <w:sz w:val="22"/>
        </w:rPr>
        <w:t>**Phase 3 – Controlled Scale (Month 7‑9)** – Deploy the validated models to two additional business units (e.g., personalized digital entertainment and healthcare analytics). Allocate dedicated MLOps engineers (2 FTE) and expand compute capacity by 30 %. Success criteria include a 30 % reduction in manual effort and a 1.5× increase in content throughput.</w:t>
      </w:r>
    </w:p>
    <w:p>
      <w:pPr>
        <w:pStyle w:val="ListBullet"/>
      </w:pPr>
      <w:r>
        <w:rPr>
          <w:rFonts w:ascii="Calibri" w:hAnsi="Calibri"/>
          <w:sz w:val="22"/>
        </w:rPr>
        <w:t>**Phase 4 – Enterprise‑Wide Rollout (Month 10‑15)** – Extend AI capabilities across all core processes, integrating with existing ERP and CRM platforms via standardized APIs. Allocate 35 % of the total AI investment to infrastructure upgrades, training programs, and change‑management workshops.</w:t>
      </w:r>
    </w:p>
    <w:p>
      <w:pPr>
        <w:pStyle w:val="ListBullet"/>
      </w:pPr>
      <w:r>
        <w:rPr>
          <w:rFonts w:ascii="Calibri" w:hAnsi="Calibri"/>
          <w:sz w:val="22"/>
        </w:rPr>
        <w:t>**Phase 5 – Optimization &amp; Continuous Improvement (Month 16‑18)** – Implement performance dashboards</w:t>
      </w:r>
    </w:p>
    <w:p/>
    <w:p>
      <w:pPr>
        <w:pStyle w:val="Heading1"/>
      </w:pPr>
      <w:r>
        <w:rPr>
          <w:rFonts w:ascii="Calibri" w:hAnsi="Calibri"/>
          <w:sz w:val="32"/>
        </w:rPr>
        <w:t>Governance, Compliance &amp; Risk Management</w:t>
      </w:r>
    </w:p>
    <w:p>
      <w:r>
        <w:rPr>
          <w:rFonts w:ascii="Calibri" w:hAnsi="Calibri"/>
          <w:sz w:val="22"/>
        </w:rPr>
        <w:t>**Governance, Compliance &amp; Risk Management**</w:t>
      </w:r>
    </w:p>
    <w:p>
      <w:r>
        <w:rPr>
          <w:rFonts w:ascii="Calibri" w:hAnsi="Calibri"/>
          <w:sz w:val="22"/>
        </w:rPr>
        <w:t>The rapid adoption of generative AI across multi‑modal, conversational, and autonomous workflows demands a robust governance framework that safeguards data privacy, ensures regulatory compliance, and embeds ethical AI principles. The following structure provides clear oversight, auditability, and human‑in‑the‑loop (HITL) controls to mitigate operational and reputational risks.</w:t>
      </w:r>
    </w:p>
    <w:p>
      <w:pPr>
        <w:pStyle w:val="ListBullet"/>
      </w:pPr>
      <w:r>
        <w:rPr>
          <w:rFonts w:ascii="Calibri" w:hAnsi="Calibri"/>
          <w:sz w:val="22"/>
        </w:rPr>
        <w:t>**Governance Structure** – Establish an AI Governance Board comprising Chief Data Officer, Legal Counsel, Ethics Officer, and domain‑specific leads. The board defines policy, approves model deployment, and reviews risk assessments quarterly.</w:t>
      </w:r>
    </w:p>
    <w:p>
      <w:pPr>
        <w:pStyle w:val="ListBullet"/>
      </w:pPr>
      <w:r>
        <w:rPr>
          <w:rFonts w:ascii="Calibri" w:hAnsi="Calibri"/>
          <w:sz w:val="22"/>
        </w:rPr>
        <w:t>**Data‑Privacy Controls** – Implement privacy‑by‑design practices, including differential privacy, data minimization, and encryption at rest and in transit. Conduct Data Protection Impact Assessments (DPIAs) before any training data ingestion.</w:t>
      </w:r>
    </w:p>
    <w:p>
      <w:pPr>
        <w:pStyle w:val="ListBullet"/>
      </w:pPr>
      <w:r>
        <w:rPr>
          <w:rFonts w:ascii="Calibri" w:hAnsi="Calibri"/>
          <w:sz w:val="22"/>
        </w:rPr>
        <w:t>**Regulatory Compliance** – Map AI activities to applicable statutes such as the EU AI Act, U.S. AI Executive Order, and sector‑specific regulations (e.g., HIPAA for healthcare). Maintain a compliance register that tracks obligations, deadlines, and remediation status.</w:t>
      </w:r>
    </w:p>
    <w:p>
      <w:pPr>
        <w:pStyle w:val="ListBullet"/>
      </w:pPr>
      <w:r>
        <w:rPr>
          <w:rFonts w:ascii="Calibri" w:hAnsi="Calibri"/>
          <w:sz w:val="22"/>
        </w:rPr>
        <w:t>**Ethical AI Guidelines** – Adopt principles of fairness, transparency, and accountability. Require model documentation (model cards) that disclose intended use, performance metrics, and known biases.</w:t>
      </w:r>
    </w:p>
    <w:p>
      <w:pPr>
        <w:pStyle w:val="ListBullet"/>
      </w:pPr>
      <w:r>
        <w:rPr>
          <w:rFonts w:ascii="Calibri" w:hAnsi="Calibri"/>
          <w:sz w:val="22"/>
        </w:rPr>
        <w:t>**Oversight Mechanisms** – Deploy continuous monitoring dashboards that flag anomalous outputs, drift, or policy violations. Enable automated alerts to the Governance Board and designated risk owners.</w:t>
      </w:r>
    </w:p>
    <w:p>
      <w:pPr>
        <w:pStyle w:val="ListBullet"/>
      </w:pPr>
      <w:r>
        <w:rPr>
          <w:rFonts w:ascii="Calibri" w:hAnsi="Calibri"/>
          <w:sz w:val="22"/>
        </w:rPr>
        <w:t>**Audit Processes** – Conduct bi‑annual internal audits and third‑party assessments of data pipelines, model provenance, and control effectiveness. Audit reports must be reviewed by the Board and corrective actions tracked in a risk register.</w:t>
      </w:r>
    </w:p>
    <w:p>
      <w:pPr>
        <w:pStyle w:val="ListBullet"/>
      </w:pPr>
      <w:r>
        <w:rPr>
          <w:rFonts w:ascii="Calibri" w:hAnsi="Calibri"/>
          <w:sz w:val="22"/>
        </w:rPr>
        <w:t>**Human‑in‑the‑Loop Controls** – Mandate HITL review for high‑impact decisions (e.g., clinical recommendations, financial advice). Provide auditors with explainable AI (XAI) tools to interrogate model reasoning before final approval.</w:t>
      </w:r>
    </w:p>
    <w:p>
      <w:pPr>
        <w:pStyle w:val="ListBullet"/>
      </w:pPr>
      <w:r>
        <w:rPr>
          <w:rFonts w:ascii="Calibri" w:hAnsi="Calibri"/>
          <w:sz w:val="22"/>
        </w:rPr>
        <w:t>**Risk Mitigation &amp; Reporting** – Integrate risk scores into enterprise risk management (ERM) systems. Publish quarterly risk dashboards to senior leadership, highlighting residual risk, mitigation status, and emerging threats.</w:t>
      </w:r>
    </w:p>
    <w:p>
      <w:r>
        <w:rPr>
          <w:rFonts w:ascii="Calibri" w:hAnsi="Calibri"/>
          <w:sz w:val="22"/>
        </w:rPr>
        <w:t>By institutionalizing these elements, organizations can harness generative AI’s transformative potential while protecting privacy, complying with evolving regulations, and preserving stakeholder trust</w:t>
      </w:r>
    </w:p>
    <w:p/>
    <w:p>
      <w:pPr>
        <w:pStyle w:val="Heading1"/>
      </w:pPr>
      <w:r>
        <w:rPr>
          <w:rFonts w:ascii="Calibri" w:hAnsi="Calibri"/>
          <w:sz w:val="32"/>
        </w:rPr>
        <w:t>5‑Slide Presentation Outline</w:t>
      </w:r>
    </w:p>
    <w:p>
      <w:r>
        <w:rPr>
          <w:rFonts w:ascii="Calibri" w:hAnsi="Calibri"/>
          <w:sz w:val="22"/>
        </w:rPr>
        <w:t>**5‑Slide Presentation Outline**</w:t>
      </w:r>
    </w:p>
    <w:p>
      <w:r>
        <w:rPr>
          <w:rFonts w:ascii="Calibri" w:hAnsi="Calibri"/>
          <w:sz w:val="22"/>
        </w:rPr>
        <w:t>**Slide 1 – Title &amp; Vision**</w:t>
      </w:r>
    </w:p>
    <w:p>
      <w:pPr>
        <w:pStyle w:val="ListBullet"/>
      </w:pPr>
      <w:r>
        <w:rPr>
          <w:rFonts w:ascii="Calibri" w:hAnsi="Calibri"/>
          <w:sz w:val="22"/>
        </w:rPr>
        <w:t>Concise title reflecting the proposal (e.g., “Leveraging 2026 Generative AI Trends for Competitive Advantage”).</w:t>
      </w:r>
    </w:p>
    <w:p>
      <w:pPr>
        <w:pStyle w:val="ListBullet"/>
      </w:pPr>
      <w:r>
        <w:rPr>
          <w:rFonts w:ascii="Calibri" w:hAnsi="Calibri"/>
          <w:sz w:val="22"/>
        </w:rPr>
        <w:t>One‑sentence vision statement that aligns AI adoption with corporate strategy.</w:t>
      </w:r>
    </w:p>
    <w:p>
      <w:pPr>
        <w:pStyle w:val="ListBullet"/>
      </w:pPr>
      <w:r>
        <w:rPr>
          <w:rFonts w:ascii="Calibri" w:hAnsi="Calibri"/>
          <w:sz w:val="22"/>
        </w:rPr>
        <w:t>Presenter name, date, and executive sponsor for credibility.</w:t>
      </w:r>
    </w:p>
    <w:p>
      <w:r>
        <w:rPr>
          <w:rFonts w:ascii="Calibri" w:hAnsi="Calibri"/>
          <w:sz w:val="22"/>
        </w:rPr>
        <w:t>**Slide 2 – Trend Landscape**</w:t>
      </w:r>
    </w:p>
    <w:p>
      <w:pPr>
        <w:pStyle w:val="ListBullet"/>
      </w:pPr>
      <w:r>
        <w:rPr>
          <w:rFonts w:ascii="Calibri" w:hAnsi="Calibri"/>
          <w:sz w:val="22"/>
        </w:rPr>
        <w:t>Overview of 2026 generative‑AI macro‑trends: multi‑modal models, conversational agents, autonomous task execution, and responsible governance.</w:t>
      </w:r>
    </w:p>
    <w:p>
      <w:pPr>
        <w:pStyle w:val="ListBullet"/>
      </w:pPr>
      <w:r>
        <w:rPr>
          <w:rFonts w:ascii="Calibri" w:hAnsi="Calibri"/>
          <w:sz w:val="22"/>
        </w:rPr>
        <w:t>Key market metrics (e.g., CAGR ≈ 37 % in healthcare, rapid enterprise uptake across sectors).</w:t>
      </w:r>
    </w:p>
    <w:p>
      <w:pPr>
        <w:pStyle w:val="ListBullet"/>
      </w:pPr>
      <w:r>
        <w:rPr>
          <w:rFonts w:ascii="Calibri" w:hAnsi="Calibri"/>
          <w:sz w:val="22"/>
        </w:rPr>
        <w:t>Illustrative use‑case snapshots: personalized digital entertainment, AI‑augmented clinical diagnostics, and travel‑itinerary generation.</w:t>
      </w:r>
    </w:p>
    <w:p>
      <w:r>
        <w:rPr>
          <w:rFonts w:ascii="Calibri" w:hAnsi="Calibri"/>
          <w:sz w:val="22"/>
        </w:rPr>
        <w:t>**Slide 3 – Business Impact**</w:t>
      </w:r>
    </w:p>
    <w:p>
      <w:pPr>
        <w:pStyle w:val="ListBullet"/>
      </w:pPr>
      <w:r>
        <w:rPr>
          <w:rFonts w:ascii="Calibri" w:hAnsi="Calibri"/>
          <w:sz w:val="22"/>
        </w:rPr>
        <w:t>Quantified benefits: productivity uplift (15‑25 %), cost reduction (10‑18 %), and new revenue streams (estimated $‑billion potential).</w:t>
      </w:r>
    </w:p>
    <w:p>
      <w:pPr>
        <w:pStyle w:val="ListBullet"/>
      </w:pPr>
      <w:r>
        <w:rPr>
          <w:rFonts w:ascii="Calibri" w:hAnsi="Calibri"/>
          <w:sz w:val="22"/>
        </w:rPr>
        <w:t>Risk considerations: regulatory compliance, data privacy, and model bias.</w:t>
      </w:r>
    </w:p>
    <w:p>
      <w:pPr>
        <w:pStyle w:val="ListBullet"/>
      </w:pPr>
      <w:r>
        <w:rPr>
          <w:rFonts w:ascii="Calibri" w:hAnsi="Calibri"/>
          <w:sz w:val="22"/>
        </w:rPr>
        <w:t>Competitive benchmark: peers adopting multi‑modal AI see 20 % faster time‑to‑market.</w:t>
      </w:r>
    </w:p>
    <w:p>
      <w:r>
        <w:rPr>
          <w:rFonts w:ascii="Calibri" w:hAnsi="Calibri"/>
          <w:sz w:val="22"/>
        </w:rPr>
        <w:t>**Slide 4 – Proposed Solution &amp; Roadmap**</w:t>
      </w:r>
    </w:p>
    <w:p>
      <w:pPr>
        <w:pStyle w:val="ListBullet"/>
      </w:pPr>
      <w:r>
        <w:rPr>
          <w:rFonts w:ascii="Calibri" w:hAnsi="Calibri"/>
          <w:sz w:val="22"/>
        </w:rPr>
        <w:t>Solution architecture: small, efficient language models integrated via API into existing workflows.</w:t>
      </w:r>
    </w:p>
    <w:p>
      <w:pPr>
        <w:pStyle w:val="ListBullet"/>
      </w:pPr>
      <w:r>
        <w:rPr>
          <w:rFonts w:ascii="Calibri" w:hAnsi="Calibri"/>
          <w:sz w:val="22"/>
        </w:rPr>
        <w:t>Phased implementation timeline (Q4 2024 – Q2 2025 pilot, Q3 2025 – Q4 2026 scale).</w:t>
      </w:r>
    </w:p>
    <w:p>
      <w:pPr>
        <w:pStyle w:val="ListBullet"/>
      </w:pPr>
      <w:r>
        <w:rPr>
          <w:rFonts w:ascii="Calibri" w:hAnsi="Calibri"/>
          <w:sz w:val="22"/>
        </w:rPr>
        <w:t>Success metrics: adoption rate, ROI, and user satisfaction targets.</w:t>
      </w:r>
    </w:p>
    <w:p>
      <w:r>
        <w:rPr>
          <w:rFonts w:ascii="Calibri" w:hAnsi="Calibri"/>
          <w:sz w:val="22"/>
        </w:rPr>
        <w:t>**Slide 5 – Governance &amp; Call to Action**</w:t>
      </w:r>
    </w:p>
    <w:p>
      <w:pPr>
        <w:pStyle w:val="ListBullet"/>
      </w:pPr>
      <w:r>
        <w:rPr>
          <w:rFonts w:ascii="Calibri" w:hAnsi="Calibri"/>
          <w:sz w:val="22"/>
        </w:rPr>
        <w:t>Governance framework: ethics board, audit trails, and compliance checkpoints aligned with emerging regulations.</w:t>
      </w:r>
    </w:p>
    <w:p>
      <w:pPr>
        <w:pStyle w:val="ListBullet"/>
      </w:pPr>
      <w:r>
        <w:rPr>
          <w:rFonts w:ascii="Calibri" w:hAnsi="Calibri"/>
          <w:sz w:val="22"/>
        </w:rPr>
        <w:t>Immediate actions: approve pilot budget, assign cross‑functional steering committee, and schedule</w:t>
      </w:r>
    </w:p>
    <w:p/>
    <w:p>
      <w:r>
        <w:br w:type="page"/>
      </w:r>
    </w:p>
    <w:p>
      <w:pPr>
        <w:pStyle w:val="Heading1"/>
      </w:pPr>
      <w:r>
        <w:rPr>
          <w:rFonts w:ascii="Calibri" w:hAnsi="Calibri"/>
          <w:sz w:val="32"/>
        </w:rPr>
        <w:t>References &amp; Sources</w:t>
      </w:r>
    </w:p>
    <w:p>
      <w:r>
        <w:rPr>
          <w:rFonts w:ascii="Calibri" w:hAnsi="Calibri"/>
          <w:sz w:val="22"/>
        </w:rPr>
        <w:t>[1] Top-Trends-and-Developments-in-Generative-AI — https://www.slideserve.com/Yessenia123/top-trends-and-developments-in-generative-ai</w:t>
      </w:r>
    </w:p>
    <w:p>
      <w:r>
        <w:rPr>
          <w:rFonts w:ascii="Calibri" w:hAnsi="Calibri"/>
          <w:sz w:val="22"/>
        </w:rPr>
        <w:t>[2] Top 5 Generative AI Trends Every Business Leader Must Know — https://www.alphabold.com/top-generative-ai-trends</w:t>
      </w:r>
    </w:p>
    <w:p>
      <w:r>
        <w:rPr>
          <w:rFonts w:ascii="Calibri" w:hAnsi="Calibri"/>
          <w:sz w:val="22"/>
        </w:rPr>
        <w:t>[3] Generative AI Trends in 2026: 10 Key Ways to Grow - Dataforest — https://dataforest.ai/blog/key-trends-in-generative-ai-10-main-ways-of-development</w:t>
      </w:r>
    </w:p>
    <w:p>
      <w:r>
        <w:rPr>
          <w:rFonts w:ascii="Calibri" w:hAnsi="Calibri"/>
          <w:sz w:val="22"/>
        </w:rPr>
        <w:t>[4] Generative AI Trends 2026: The Future of Work &amp; Life — https://www.kellton.com/kellton-tech-blog/generative-ai-trends-2026-transform-work-everyday-life</w:t>
      </w:r>
    </w:p>
    <w:p>
      <w:r>
        <w:rPr>
          <w:rFonts w:ascii="Calibri" w:hAnsi="Calibri"/>
          <w:sz w:val="22"/>
        </w:rPr>
        <w:t>[5] Top 5 Generative AI Trends Every Business Leader Must ... — https://www.alphabold.com/top-generative-ai-trends</w:t>
      </w:r>
    </w:p>
    <w:p>
      <w:r>
        <w:rPr>
          <w:rFonts w:ascii="Calibri" w:hAnsi="Calibri"/>
          <w:sz w:val="22"/>
        </w:rPr>
        <w:t>[6] Top Generative AI trends in 2024 — https://saxon.ai/blogs/6-generative-ai-trends-to-watch-out-for-in-2024</w:t>
      </w:r>
    </w:p>
    <w:p>
      <w:r>
        <w:rPr>
          <w:rFonts w:ascii="Calibri" w:hAnsi="Calibri"/>
          <w:sz w:val="22"/>
        </w:rPr>
        <w:t>[7] The coming generative AI trends of 2024.pdf — https://www.slideshare.net/slideshow/the-coming-generative-ai-trends-of-2024pdf/264394632</w:t>
      </w:r>
    </w:p>
    <w:p>
      <w:r>
        <w:rPr>
          <w:rFonts w:ascii="Calibri" w:hAnsi="Calibri"/>
          <w:sz w:val="22"/>
        </w:rPr>
        <w:t>[8] Top Generative AI Use Cases and Applications — https://www.xenonstack.com/blog/generative-ai-use-cases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