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2825" w14:textId="48B45B3F" w:rsidR="004A75A6" w:rsidRDefault="004A75A6" w:rsidP="009E4805">
      <w:pPr>
        <w:spacing w:line="360" w:lineRule="auto"/>
      </w:pPr>
      <w:r>
        <w:t>‘’’</w:t>
      </w:r>
    </w:p>
    <w:p w14:paraId="042727D9" w14:textId="1BAA15BA" w:rsidR="009E4805" w:rsidRDefault="009E4805" w:rsidP="009E4805">
      <w:pPr>
        <w:spacing w:line="360" w:lineRule="auto"/>
      </w:pPr>
      <w:r>
        <w:t xml:space="preserve">This is a study to assess the execution quality of FINRA reported trades vs lit-market trades by assessing how far off the NBBO each trade was for thin stocks </w:t>
      </w:r>
      <w:r w:rsidR="004A75A6">
        <w:t xml:space="preserve">with </w:t>
      </w:r>
      <w:proofErr w:type="gramStart"/>
      <w:r w:rsidR="004A75A6">
        <w:t>fairly wide</w:t>
      </w:r>
      <w:proofErr w:type="gramEnd"/>
      <w:r w:rsidR="004A75A6">
        <w:t xml:space="preserve"> spreads </w:t>
      </w:r>
      <w:r>
        <w:t xml:space="preserve">that trade in the tens of dollars--not the hyper liquid names. </w:t>
      </w:r>
    </w:p>
    <w:p w14:paraId="772499F0" w14:textId="77777777" w:rsidR="004A75A6" w:rsidRDefault="009E4805" w:rsidP="009E4805">
      <w:pPr>
        <w:spacing w:line="360" w:lineRule="auto"/>
      </w:pPr>
      <w:r>
        <w:t xml:space="preserve">FINRA reported trades are Payment for Order Flow (PFOF), Internalized, and Dark Pool trades. This study will compare FINRA reported trades’ price improvement to the price improvement offered on all the LIT and ATS markets to assess execution quality. </w:t>
      </w:r>
    </w:p>
    <w:p w14:paraId="490D265B" w14:textId="67104B46" w:rsidR="009E4805" w:rsidRDefault="009E4805" w:rsidP="009E4805">
      <w:pPr>
        <w:spacing w:line="360" w:lineRule="auto"/>
      </w:pPr>
      <w:r>
        <w:t xml:space="preserve">My hypothesis is that PFOF provides dramatically worse prices in illiquid names with </w:t>
      </w:r>
      <w:proofErr w:type="gramStart"/>
      <w:r>
        <w:t>fairly large</w:t>
      </w:r>
      <w:proofErr w:type="gramEnd"/>
      <w:r>
        <w:t xml:space="preserve"> spreads.</w:t>
      </w:r>
    </w:p>
    <w:p w14:paraId="3607D287" w14:textId="52328067" w:rsidR="009E4805" w:rsidRDefault="009E4805" w:rsidP="009E4805">
      <w:pPr>
        <w:spacing w:line="360" w:lineRule="auto"/>
      </w:pPr>
      <w:r>
        <w:t xml:space="preserve">The study uses the first 1000 trades each from 33 low volume issues on 11/15/22. These were chosen with a market screener for prices between $10 and $50 and daily volume between 5000 and 25000 shares. </w:t>
      </w:r>
    </w:p>
    <w:p w14:paraId="6524688C" w14:textId="77777777" w:rsidR="009E4805" w:rsidRDefault="009E4805" w:rsidP="009E4805">
      <w:pPr>
        <w:spacing w:line="360" w:lineRule="auto"/>
      </w:pPr>
      <w:r>
        <w:t>The data comes from Interactive Brokers Python API</w:t>
      </w:r>
    </w:p>
    <w:p w14:paraId="5F894237" w14:textId="7674BEC4" w:rsidR="009E4805" w:rsidRDefault="009E4805" w:rsidP="009E4805">
      <w:pPr>
        <w:spacing w:line="360" w:lineRule="auto"/>
      </w:pPr>
      <w:r>
        <w:t xml:space="preserve">Each trade records the price, the volume of the trade, the NBBO, and the exchange of the trade. </w:t>
      </w:r>
    </w:p>
    <w:p w14:paraId="2FBE102C" w14:textId="77777777" w:rsidR="009E4805" w:rsidRDefault="009E4805" w:rsidP="009E4805">
      <w:pPr>
        <w:spacing w:line="360" w:lineRule="auto"/>
      </w:pPr>
      <w:r>
        <w:t xml:space="preserve">The procedure for the study is: </w:t>
      </w:r>
    </w:p>
    <w:p w14:paraId="10D97B2A" w14:textId="0691BE73" w:rsidR="009E4805" w:rsidRDefault="009E4805" w:rsidP="009E4805">
      <w:pPr>
        <w:spacing w:line="360" w:lineRule="auto"/>
      </w:pPr>
      <w:r>
        <w:t>1) For each trade find the smallest absolute value of its price difference from the National Nest Bid (NBB) and the National Best Offer (NBO). I used the standard assumption that trades closer to the offer are buys, while those closer to the bid are sells. The absolute value allows me to sum them.</w:t>
      </w:r>
    </w:p>
    <w:p w14:paraId="2A71CA4E" w14:textId="0CAFF18F" w:rsidR="009E4805" w:rsidRDefault="009E4805" w:rsidP="009E4805">
      <w:pPr>
        <w:spacing w:line="360" w:lineRule="auto"/>
      </w:pPr>
      <w:r>
        <w:t xml:space="preserve">2) Group the sum of these difference off the NBBO by exchange and sum the total volume grouped by exchange. Divide the sum of the differences by the sum of the total volume by exchange to get the weight per share price improvement off the NBBO for each </w:t>
      </w:r>
      <w:r w:rsidR="004A75A6">
        <w:t>exchange</w:t>
      </w:r>
      <w:r>
        <w:t>.</w:t>
      </w:r>
    </w:p>
    <w:p w14:paraId="442E6AB1" w14:textId="33D86327" w:rsidR="004A75A6" w:rsidRPr="004A75A6" w:rsidRDefault="009E4805" w:rsidP="004A75A6">
      <w:pPr>
        <w:shd w:val="clear" w:color="auto" w:fill="FFFFFF"/>
        <w:rPr>
          <w:rFonts w:eastAsia="Times New Roman" w:cstheme="minorHAnsi"/>
          <w:color w:val="000000"/>
        </w:rPr>
      </w:pPr>
      <w:r>
        <w:t>3</w:t>
      </w:r>
      <w:r w:rsidRPr="004A75A6">
        <w:rPr>
          <w:rFonts w:cstheme="minorHAnsi"/>
        </w:rPr>
        <w:t xml:space="preserve">) </w:t>
      </w:r>
      <w:r w:rsidR="004A75A6">
        <w:rPr>
          <w:rFonts w:cstheme="minorHAnsi"/>
        </w:rPr>
        <w:t>C</w:t>
      </w:r>
      <w:r w:rsidRPr="004A75A6">
        <w:rPr>
          <w:rFonts w:cstheme="minorHAnsi"/>
        </w:rPr>
        <w:t>ompare them: We can see</w:t>
      </w:r>
      <w:r w:rsidR="004A75A6">
        <w:rPr>
          <w:rFonts w:cstheme="minorHAnsi"/>
        </w:rPr>
        <w:t xml:space="preserve"> from the output table</w:t>
      </w:r>
      <w:r w:rsidRPr="004A75A6">
        <w:rPr>
          <w:rFonts w:cstheme="minorHAnsi"/>
        </w:rPr>
        <w:t xml:space="preserve"> that </w:t>
      </w:r>
      <w:r w:rsidR="004A75A6" w:rsidRPr="004A75A6">
        <w:rPr>
          <w:rFonts w:eastAsia="Times New Roman" w:cstheme="minorHAnsi"/>
          <w:color w:val="000000"/>
        </w:rPr>
        <w:t>FINRA reported trades are .</w:t>
      </w:r>
      <w:r w:rsidR="004A75A6" w:rsidRPr="004A75A6">
        <w:rPr>
          <w:rFonts w:eastAsia="Times New Roman" w:cstheme="minorHAnsi"/>
          <w:color w:val="000000"/>
          <w:spacing w:val="-2"/>
        </w:rPr>
        <w:t>00</w:t>
      </w:r>
      <w:r w:rsidR="004A75A6" w:rsidRPr="004A75A6">
        <w:rPr>
          <w:rFonts w:eastAsia="Times New Roman" w:cstheme="minorHAnsi"/>
          <w:color w:val="000000"/>
        </w:rPr>
        <w:t>5</w:t>
      </w:r>
      <w:r w:rsidR="004A75A6" w:rsidRPr="004A75A6">
        <w:rPr>
          <w:rFonts w:eastAsia="Times New Roman" w:cstheme="minorHAnsi"/>
          <w:color w:val="000000"/>
          <w:spacing w:val="-2"/>
        </w:rPr>
        <w:t xml:space="preserve">5 </w:t>
      </w:r>
      <w:r w:rsidR="004A75A6" w:rsidRPr="004A75A6">
        <w:rPr>
          <w:rFonts w:eastAsia="Times New Roman" w:cstheme="minorHAnsi"/>
          <w:color w:val="000000"/>
        </w:rPr>
        <w:t xml:space="preserve">worse than NYSE, .024 worse than ISLD and a staggering .056 worse than IEX per share. </w:t>
      </w:r>
    </w:p>
    <w:p w14:paraId="233848EB" w14:textId="43BFD3E7" w:rsidR="009E4805" w:rsidRDefault="009E4805" w:rsidP="009E4805">
      <w:pPr>
        <w:spacing w:line="360" w:lineRule="auto"/>
      </w:pPr>
    </w:p>
    <w:tbl>
      <w:tblPr>
        <w:tblW w:w="9500" w:type="dxa"/>
        <w:tblLook w:val="04A0" w:firstRow="1" w:lastRow="0" w:firstColumn="1" w:lastColumn="0" w:noHBand="0" w:noVBand="1"/>
      </w:tblPr>
      <w:tblGrid>
        <w:gridCol w:w="2560"/>
        <w:gridCol w:w="1960"/>
        <w:gridCol w:w="1960"/>
        <w:gridCol w:w="3035"/>
      </w:tblGrid>
      <w:tr w:rsidR="009E4805" w:rsidRPr="009E4805" w14:paraId="600AA5D2" w14:textId="77777777" w:rsidTr="009E4805">
        <w:trPr>
          <w:trHeight w:val="390"/>
        </w:trPr>
        <w:tc>
          <w:tcPr>
            <w:tcW w:w="2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9A51B6"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Exchange</w:t>
            </w:r>
          </w:p>
        </w:tc>
        <w:tc>
          <w:tcPr>
            <w:tcW w:w="1960" w:type="dxa"/>
            <w:tcBorders>
              <w:top w:val="single" w:sz="8" w:space="0" w:color="auto"/>
              <w:left w:val="nil"/>
              <w:bottom w:val="single" w:sz="8" w:space="0" w:color="auto"/>
              <w:right w:val="single" w:sz="8" w:space="0" w:color="auto"/>
            </w:tcBorders>
            <w:shd w:val="clear" w:color="auto" w:fill="auto"/>
            <w:noWrap/>
            <w:vAlign w:val="center"/>
            <w:hideMark/>
          </w:tcPr>
          <w:p w14:paraId="6C3DA53B"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Trade count</w:t>
            </w:r>
          </w:p>
        </w:tc>
        <w:tc>
          <w:tcPr>
            <w:tcW w:w="1960" w:type="dxa"/>
            <w:tcBorders>
              <w:top w:val="single" w:sz="8" w:space="0" w:color="auto"/>
              <w:left w:val="nil"/>
              <w:bottom w:val="single" w:sz="8" w:space="0" w:color="auto"/>
              <w:right w:val="single" w:sz="8" w:space="0" w:color="auto"/>
            </w:tcBorders>
            <w:shd w:val="clear" w:color="auto" w:fill="auto"/>
            <w:noWrap/>
            <w:vAlign w:val="center"/>
            <w:hideMark/>
          </w:tcPr>
          <w:p w14:paraId="13F8BAC7"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Total Volume</w:t>
            </w:r>
          </w:p>
        </w:tc>
        <w:tc>
          <w:tcPr>
            <w:tcW w:w="3020" w:type="dxa"/>
            <w:tcBorders>
              <w:top w:val="single" w:sz="8" w:space="0" w:color="auto"/>
              <w:left w:val="nil"/>
              <w:bottom w:val="single" w:sz="8" w:space="0" w:color="auto"/>
              <w:right w:val="single" w:sz="8" w:space="0" w:color="auto"/>
            </w:tcBorders>
            <w:shd w:val="clear" w:color="auto" w:fill="auto"/>
            <w:noWrap/>
            <w:vAlign w:val="center"/>
            <w:hideMark/>
          </w:tcPr>
          <w:p w14:paraId="48221EF6" w14:textId="77777777" w:rsidR="009E4805" w:rsidRPr="009E4805" w:rsidRDefault="009E4805" w:rsidP="009E4805">
            <w:pPr>
              <w:spacing w:after="0" w:line="240" w:lineRule="auto"/>
              <w:rPr>
                <w:rFonts w:ascii="Calibri" w:eastAsia="Times New Roman" w:hAnsi="Calibri" w:cs="Calibri"/>
                <w:color w:val="000000"/>
                <w:sz w:val="28"/>
                <w:szCs w:val="28"/>
              </w:rPr>
            </w:pPr>
            <w:proofErr w:type="spellStart"/>
            <w:r w:rsidRPr="009E4805">
              <w:rPr>
                <w:rFonts w:ascii="Calibri" w:eastAsia="Times New Roman" w:hAnsi="Calibri" w:cs="Calibri"/>
                <w:color w:val="000000"/>
                <w:sz w:val="28"/>
                <w:szCs w:val="28"/>
              </w:rPr>
              <w:t>improvement_off_NBBO</w:t>
            </w:r>
            <w:proofErr w:type="spellEnd"/>
          </w:p>
        </w:tc>
      </w:tr>
      <w:tr w:rsidR="009E4805" w:rsidRPr="009E4805" w14:paraId="679B592E"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13885D0E"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AMEX</w:t>
            </w:r>
          </w:p>
        </w:tc>
        <w:tc>
          <w:tcPr>
            <w:tcW w:w="1960" w:type="dxa"/>
            <w:tcBorders>
              <w:top w:val="nil"/>
              <w:left w:val="nil"/>
              <w:bottom w:val="single" w:sz="8" w:space="0" w:color="auto"/>
              <w:right w:val="single" w:sz="8" w:space="0" w:color="auto"/>
            </w:tcBorders>
            <w:shd w:val="clear" w:color="auto" w:fill="auto"/>
            <w:noWrap/>
            <w:vAlign w:val="center"/>
            <w:hideMark/>
          </w:tcPr>
          <w:p w14:paraId="7166ADE9"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110</w:t>
            </w:r>
          </w:p>
        </w:tc>
        <w:tc>
          <w:tcPr>
            <w:tcW w:w="1960" w:type="dxa"/>
            <w:tcBorders>
              <w:top w:val="nil"/>
              <w:left w:val="nil"/>
              <w:bottom w:val="single" w:sz="8" w:space="0" w:color="auto"/>
              <w:right w:val="single" w:sz="8" w:space="0" w:color="auto"/>
            </w:tcBorders>
            <w:shd w:val="clear" w:color="auto" w:fill="auto"/>
            <w:noWrap/>
            <w:vAlign w:val="center"/>
            <w:hideMark/>
          </w:tcPr>
          <w:p w14:paraId="0B2ABCF5"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5599</w:t>
            </w:r>
          </w:p>
        </w:tc>
        <w:tc>
          <w:tcPr>
            <w:tcW w:w="3020" w:type="dxa"/>
            <w:tcBorders>
              <w:top w:val="nil"/>
              <w:left w:val="nil"/>
              <w:bottom w:val="single" w:sz="8" w:space="0" w:color="auto"/>
              <w:right w:val="single" w:sz="8" w:space="0" w:color="auto"/>
            </w:tcBorders>
            <w:shd w:val="clear" w:color="auto" w:fill="auto"/>
            <w:noWrap/>
            <w:vAlign w:val="center"/>
            <w:hideMark/>
          </w:tcPr>
          <w:p w14:paraId="019FB97B"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0.064</w:t>
            </w:r>
          </w:p>
        </w:tc>
      </w:tr>
      <w:tr w:rsidR="009E4805" w:rsidRPr="009E4805" w14:paraId="1E70BF76"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4DB92E13"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DRCTEDGE</w:t>
            </w:r>
          </w:p>
        </w:tc>
        <w:tc>
          <w:tcPr>
            <w:tcW w:w="1960" w:type="dxa"/>
            <w:tcBorders>
              <w:top w:val="nil"/>
              <w:left w:val="nil"/>
              <w:bottom w:val="single" w:sz="8" w:space="0" w:color="auto"/>
              <w:right w:val="single" w:sz="8" w:space="0" w:color="auto"/>
            </w:tcBorders>
            <w:shd w:val="clear" w:color="auto" w:fill="auto"/>
            <w:noWrap/>
            <w:vAlign w:val="center"/>
            <w:hideMark/>
          </w:tcPr>
          <w:p w14:paraId="54297794"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987</w:t>
            </w:r>
          </w:p>
        </w:tc>
        <w:tc>
          <w:tcPr>
            <w:tcW w:w="1960" w:type="dxa"/>
            <w:tcBorders>
              <w:top w:val="nil"/>
              <w:left w:val="nil"/>
              <w:bottom w:val="single" w:sz="8" w:space="0" w:color="auto"/>
              <w:right w:val="single" w:sz="8" w:space="0" w:color="auto"/>
            </w:tcBorders>
            <w:shd w:val="clear" w:color="auto" w:fill="auto"/>
            <w:noWrap/>
            <w:vAlign w:val="center"/>
            <w:hideMark/>
          </w:tcPr>
          <w:p w14:paraId="55DD3916"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46701</w:t>
            </w:r>
          </w:p>
        </w:tc>
        <w:tc>
          <w:tcPr>
            <w:tcW w:w="3020" w:type="dxa"/>
            <w:tcBorders>
              <w:top w:val="nil"/>
              <w:left w:val="nil"/>
              <w:bottom w:val="single" w:sz="8" w:space="0" w:color="auto"/>
              <w:right w:val="single" w:sz="8" w:space="0" w:color="auto"/>
            </w:tcBorders>
            <w:shd w:val="clear" w:color="auto" w:fill="auto"/>
            <w:noWrap/>
            <w:vAlign w:val="center"/>
            <w:hideMark/>
          </w:tcPr>
          <w:p w14:paraId="22E3F668"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0.084</w:t>
            </w:r>
          </w:p>
        </w:tc>
      </w:tr>
      <w:tr w:rsidR="009E4805" w:rsidRPr="009E4805" w14:paraId="105DAFE4"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666DD6E0"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BEX</w:t>
            </w:r>
          </w:p>
        </w:tc>
        <w:tc>
          <w:tcPr>
            <w:tcW w:w="1960" w:type="dxa"/>
            <w:tcBorders>
              <w:top w:val="nil"/>
              <w:left w:val="nil"/>
              <w:bottom w:val="single" w:sz="8" w:space="0" w:color="auto"/>
              <w:right w:val="single" w:sz="8" w:space="0" w:color="auto"/>
            </w:tcBorders>
            <w:shd w:val="clear" w:color="auto" w:fill="auto"/>
            <w:noWrap/>
            <w:vAlign w:val="center"/>
            <w:hideMark/>
          </w:tcPr>
          <w:p w14:paraId="1ED93461"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173</w:t>
            </w:r>
          </w:p>
        </w:tc>
        <w:tc>
          <w:tcPr>
            <w:tcW w:w="1960" w:type="dxa"/>
            <w:tcBorders>
              <w:top w:val="nil"/>
              <w:left w:val="nil"/>
              <w:bottom w:val="single" w:sz="8" w:space="0" w:color="auto"/>
              <w:right w:val="single" w:sz="8" w:space="0" w:color="auto"/>
            </w:tcBorders>
            <w:shd w:val="clear" w:color="auto" w:fill="auto"/>
            <w:noWrap/>
            <w:vAlign w:val="center"/>
            <w:hideMark/>
          </w:tcPr>
          <w:p w14:paraId="0DBB4163"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2878</w:t>
            </w:r>
          </w:p>
        </w:tc>
        <w:tc>
          <w:tcPr>
            <w:tcW w:w="3020" w:type="dxa"/>
            <w:tcBorders>
              <w:top w:val="nil"/>
              <w:left w:val="nil"/>
              <w:bottom w:val="single" w:sz="8" w:space="0" w:color="auto"/>
              <w:right w:val="single" w:sz="8" w:space="0" w:color="auto"/>
            </w:tcBorders>
            <w:shd w:val="clear" w:color="auto" w:fill="auto"/>
            <w:noWrap/>
            <w:vAlign w:val="center"/>
            <w:hideMark/>
          </w:tcPr>
          <w:p w14:paraId="63C825C4"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0.093</w:t>
            </w:r>
          </w:p>
        </w:tc>
      </w:tr>
      <w:tr w:rsidR="009E4805" w:rsidRPr="009E4805" w14:paraId="28DB41C9"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75316F94"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lastRenderedPageBreak/>
              <w:t>BYX</w:t>
            </w:r>
          </w:p>
        </w:tc>
        <w:tc>
          <w:tcPr>
            <w:tcW w:w="1960" w:type="dxa"/>
            <w:tcBorders>
              <w:top w:val="nil"/>
              <w:left w:val="nil"/>
              <w:bottom w:val="single" w:sz="8" w:space="0" w:color="auto"/>
              <w:right w:val="single" w:sz="8" w:space="0" w:color="auto"/>
            </w:tcBorders>
            <w:shd w:val="clear" w:color="auto" w:fill="auto"/>
            <w:noWrap/>
            <w:vAlign w:val="center"/>
            <w:hideMark/>
          </w:tcPr>
          <w:p w14:paraId="049271FC"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300</w:t>
            </w:r>
          </w:p>
        </w:tc>
        <w:tc>
          <w:tcPr>
            <w:tcW w:w="1960" w:type="dxa"/>
            <w:tcBorders>
              <w:top w:val="nil"/>
              <w:left w:val="nil"/>
              <w:bottom w:val="single" w:sz="8" w:space="0" w:color="auto"/>
              <w:right w:val="single" w:sz="8" w:space="0" w:color="auto"/>
            </w:tcBorders>
            <w:shd w:val="clear" w:color="auto" w:fill="auto"/>
            <w:noWrap/>
            <w:vAlign w:val="center"/>
            <w:hideMark/>
          </w:tcPr>
          <w:p w14:paraId="012B95B6"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6702</w:t>
            </w:r>
          </w:p>
        </w:tc>
        <w:tc>
          <w:tcPr>
            <w:tcW w:w="3020" w:type="dxa"/>
            <w:tcBorders>
              <w:top w:val="nil"/>
              <w:left w:val="nil"/>
              <w:bottom w:val="single" w:sz="8" w:space="0" w:color="auto"/>
              <w:right w:val="single" w:sz="8" w:space="0" w:color="auto"/>
            </w:tcBorders>
            <w:shd w:val="clear" w:color="auto" w:fill="auto"/>
            <w:noWrap/>
            <w:vAlign w:val="center"/>
            <w:hideMark/>
          </w:tcPr>
          <w:p w14:paraId="001B0D56"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0.094</w:t>
            </w:r>
          </w:p>
        </w:tc>
      </w:tr>
      <w:tr w:rsidR="009E4805" w:rsidRPr="009E4805" w14:paraId="2C271E3B"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7E777B11" w14:textId="77777777" w:rsidR="009E4805" w:rsidRPr="009E4805" w:rsidRDefault="009E4805" w:rsidP="009E4805">
            <w:pPr>
              <w:spacing w:after="0" w:line="240" w:lineRule="auto"/>
              <w:rPr>
                <w:rFonts w:ascii="Calibri" w:eastAsia="Times New Roman" w:hAnsi="Calibri" w:cs="Calibri"/>
                <w:color w:val="FF0000"/>
                <w:sz w:val="28"/>
                <w:szCs w:val="28"/>
              </w:rPr>
            </w:pPr>
            <w:r w:rsidRPr="009E4805">
              <w:rPr>
                <w:rFonts w:ascii="Calibri" w:eastAsia="Times New Roman" w:hAnsi="Calibri" w:cs="Calibri"/>
                <w:color w:val="FF0000"/>
                <w:sz w:val="28"/>
                <w:szCs w:val="28"/>
              </w:rPr>
              <w:t>FINRA</w:t>
            </w:r>
          </w:p>
        </w:tc>
        <w:tc>
          <w:tcPr>
            <w:tcW w:w="1960" w:type="dxa"/>
            <w:tcBorders>
              <w:top w:val="nil"/>
              <w:left w:val="nil"/>
              <w:bottom w:val="single" w:sz="8" w:space="0" w:color="auto"/>
              <w:right w:val="single" w:sz="8" w:space="0" w:color="auto"/>
            </w:tcBorders>
            <w:shd w:val="clear" w:color="auto" w:fill="auto"/>
            <w:noWrap/>
            <w:vAlign w:val="center"/>
            <w:hideMark/>
          </w:tcPr>
          <w:p w14:paraId="48B934B6" w14:textId="77777777" w:rsidR="009E4805" w:rsidRPr="009E4805" w:rsidRDefault="009E4805" w:rsidP="009E4805">
            <w:pPr>
              <w:spacing w:after="0" w:line="240" w:lineRule="auto"/>
              <w:jc w:val="right"/>
              <w:rPr>
                <w:rFonts w:ascii="Calibri" w:eastAsia="Times New Roman" w:hAnsi="Calibri" w:cs="Calibri"/>
                <w:color w:val="FF0000"/>
                <w:sz w:val="28"/>
                <w:szCs w:val="28"/>
              </w:rPr>
            </w:pPr>
            <w:r w:rsidRPr="009E4805">
              <w:rPr>
                <w:rFonts w:ascii="Calibri" w:eastAsia="Times New Roman" w:hAnsi="Calibri" w:cs="Calibri"/>
                <w:color w:val="FF0000"/>
                <w:sz w:val="28"/>
                <w:szCs w:val="28"/>
              </w:rPr>
              <w:t>3006</w:t>
            </w:r>
          </w:p>
        </w:tc>
        <w:tc>
          <w:tcPr>
            <w:tcW w:w="1960" w:type="dxa"/>
            <w:tcBorders>
              <w:top w:val="nil"/>
              <w:left w:val="nil"/>
              <w:bottom w:val="single" w:sz="8" w:space="0" w:color="auto"/>
              <w:right w:val="single" w:sz="8" w:space="0" w:color="auto"/>
            </w:tcBorders>
            <w:shd w:val="clear" w:color="auto" w:fill="auto"/>
            <w:noWrap/>
            <w:vAlign w:val="center"/>
            <w:hideMark/>
          </w:tcPr>
          <w:p w14:paraId="0427F593" w14:textId="77777777" w:rsidR="009E4805" w:rsidRPr="009E4805" w:rsidRDefault="009E4805" w:rsidP="009E4805">
            <w:pPr>
              <w:spacing w:after="0" w:line="240" w:lineRule="auto"/>
              <w:jc w:val="right"/>
              <w:rPr>
                <w:rFonts w:ascii="Calibri" w:eastAsia="Times New Roman" w:hAnsi="Calibri" w:cs="Calibri"/>
                <w:color w:val="FF0000"/>
                <w:sz w:val="28"/>
                <w:szCs w:val="28"/>
              </w:rPr>
            </w:pPr>
            <w:r w:rsidRPr="009E4805">
              <w:rPr>
                <w:rFonts w:ascii="Calibri" w:eastAsia="Times New Roman" w:hAnsi="Calibri" w:cs="Calibri"/>
                <w:color w:val="FF0000"/>
                <w:sz w:val="28"/>
                <w:szCs w:val="28"/>
              </w:rPr>
              <w:t>211549</w:t>
            </w:r>
          </w:p>
        </w:tc>
        <w:tc>
          <w:tcPr>
            <w:tcW w:w="3020" w:type="dxa"/>
            <w:tcBorders>
              <w:top w:val="nil"/>
              <w:left w:val="nil"/>
              <w:bottom w:val="single" w:sz="8" w:space="0" w:color="auto"/>
              <w:right w:val="single" w:sz="8" w:space="0" w:color="auto"/>
            </w:tcBorders>
            <w:shd w:val="clear" w:color="auto" w:fill="auto"/>
            <w:noWrap/>
            <w:vAlign w:val="center"/>
            <w:hideMark/>
          </w:tcPr>
          <w:p w14:paraId="0C04B883" w14:textId="77777777" w:rsidR="009E4805" w:rsidRPr="009E4805" w:rsidRDefault="009E4805" w:rsidP="009E4805">
            <w:pPr>
              <w:spacing w:after="0" w:line="240" w:lineRule="auto"/>
              <w:jc w:val="right"/>
              <w:rPr>
                <w:rFonts w:ascii="Calibri" w:eastAsia="Times New Roman" w:hAnsi="Calibri" w:cs="Calibri"/>
                <w:color w:val="FF0000"/>
                <w:sz w:val="28"/>
                <w:szCs w:val="28"/>
              </w:rPr>
            </w:pPr>
            <w:r w:rsidRPr="009E4805">
              <w:rPr>
                <w:rFonts w:ascii="Calibri" w:eastAsia="Times New Roman" w:hAnsi="Calibri" w:cs="Calibri"/>
                <w:color w:val="FF0000"/>
                <w:sz w:val="28"/>
                <w:szCs w:val="28"/>
              </w:rPr>
              <w:t>0.105</w:t>
            </w:r>
          </w:p>
        </w:tc>
      </w:tr>
      <w:tr w:rsidR="009E4805" w:rsidRPr="009E4805" w14:paraId="6475D428"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73BF9074"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NYSE</w:t>
            </w:r>
          </w:p>
        </w:tc>
        <w:tc>
          <w:tcPr>
            <w:tcW w:w="1960" w:type="dxa"/>
            <w:tcBorders>
              <w:top w:val="nil"/>
              <w:left w:val="nil"/>
              <w:bottom w:val="single" w:sz="8" w:space="0" w:color="auto"/>
              <w:right w:val="single" w:sz="8" w:space="0" w:color="auto"/>
            </w:tcBorders>
            <w:shd w:val="clear" w:color="auto" w:fill="auto"/>
            <w:noWrap/>
            <w:vAlign w:val="center"/>
            <w:hideMark/>
          </w:tcPr>
          <w:p w14:paraId="171595DF"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210</w:t>
            </w:r>
          </w:p>
        </w:tc>
        <w:tc>
          <w:tcPr>
            <w:tcW w:w="1960" w:type="dxa"/>
            <w:tcBorders>
              <w:top w:val="nil"/>
              <w:left w:val="nil"/>
              <w:bottom w:val="single" w:sz="8" w:space="0" w:color="auto"/>
              <w:right w:val="single" w:sz="8" w:space="0" w:color="auto"/>
            </w:tcBorders>
            <w:shd w:val="clear" w:color="auto" w:fill="auto"/>
            <w:noWrap/>
            <w:vAlign w:val="center"/>
            <w:hideMark/>
          </w:tcPr>
          <w:p w14:paraId="32235CDC"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7090</w:t>
            </w:r>
          </w:p>
        </w:tc>
        <w:tc>
          <w:tcPr>
            <w:tcW w:w="3020" w:type="dxa"/>
            <w:tcBorders>
              <w:top w:val="nil"/>
              <w:left w:val="nil"/>
              <w:bottom w:val="single" w:sz="8" w:space="0" w:color="auto"/>
              <w:right w:val="single" w:sz="8" w:space="0" w:color="auto"/>
            </w:tcBorders>
            <w:shd w:val="clear" w:color="auto" w:fill="auto"/>
            <w:noWrap/>
            <w:vAlign w:val="center"/>
            <w:hideMark/>
          </w:tcPr>
          <w:p w14:paraId="11AE3D64"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0.110</w:t>
            </w:r>
          </w:p>
        </w:tc>
      </w:tr>
      <w:tr w:rsidR="009E4805" w:rsidRPr="009E4805" w14:paraId="0AECBF98"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1758F087"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PEARL</w:t>
            </w:r>
          </w:p>
        </w:tc>
        <w:tc>
          <w:tcPr>
            <w:tcW w:w="1960" w:type="dxa"/>
            <w:tcBorders>
              <w:top w:val="nil"/>
              <w:left w:val="nil"/>
              <w:bottom w:val="single" w:sz="8" w:space="0" w:color="auto"/>
              <w:right w:val="single" w:sz="8" w:space="0" w:color="auto"/>
            </w:tcBorders>
            <w:shd w:val="clear" w:color="auto" w:fill="auto"/>
            <w:noWrap/>
            <w:vAlign w:val="center"/>
            <w:hideMark/>
          </w:tcPr>
          <w:p w14:paraId="4A103765"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20</w:t>
            </w:r>
          </w:p>
        </w:tc>
        <w:tc>
          <w:tcPr>
            <w:tcW w:w="1960" w:type="dxa"/>
            <w:tcBorders>
              <w:top w:val="nil"/>
              <w:left w:val="nil"/>
              <w:bottom w:val="single" w:sz="8" w:space="0" w:color="auto"/>
              <w:right w:val="single" w:sz="8" w:space="0" w:color="auto"/>
            </w:tcBorders>
            <w:shd w:val="clear" w:color="auto" w:fill="auto"/>
            <w:noWrap/>
            <w:vAlign w:val="center"/>
            <w:hideMark/>
          </w:tcPr>
          <w:p w14:paraId="6B29FB0D"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876</w:t>
            </w:r>
          </w:p>
        </w:tc>
        <w:tc>
          <w:tcPr>
            <w:tcW w:w="3020" w:type="dxa"/>
            <w:tcBorders>
              <w:top w:val="nil"/>
              <w:left w:val="nil"/>
              <w:bottom w:val="single" w:sz="8" w:space="0" w:color="auto"/>
              <w:right w:val="single" w:sz="8" w:space="0" w:color="auto"/>
            </w:tcBorders>
            <w:shd w:val="clear" w:color="auto" w:fill="auto"/>
            <w:noWrap/>
            <w:vAlign w:val="center"/>
            <w:hideMark/>
          </w:tcPr>
          <w:p w14:paraId="44910800"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0.118</w:t>
            </w:r>
          </w:p>
        </w:tc>
      </w:tr>
      <w:tr w:rsidR="009E4805" w:rsidRPr="009E4805" w14:paraId="340B75EE"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377EEAA8"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PSX</w:t>
            </w:r>
          </w:p>
        </w:tc>
        <w:tc>
          <w:tcPr>
            <w:tcW w:w="1960" w:type="dxa"/>
            <w:tcBorders>
              <w:top w:val="nil"/>
              <w:left w:val="nil"/>
              <w:bottom w:val="single" w:sz="8" w:space="0" w:color="auto"/>
              <w:right w:val="single" w:sz="8" w:space="0" w:color="auto"/>
            </w:tcBorders>
            <w:shd w:val="clear" w:color="auto" w:fill="auto"/>
            <w:noWrap/>
            <w:vAlign w:val="center"/>
            <w:hideMark/>
          </w:tcPr>
          <w:p w14:paraId="1AFD10F7"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39</w:t>
            </w:r>
          </w:p>
        </w:tc>
        <w:tc>
          <w:tcPr>
            <w:tcW w:w="1960" w:type="dxa"/>
            <w:tcBorders>
              <w:top w:val="nil"/>
              <w:left w:val="nil"/>
              <w:bottom w:val="single" w:sz="8" w:space="0" w:color="auto"/>
              <w:right w:val="single" w:sz="8" w:space="0" w:color="auto"/>
            </w:tcBorders>
            <w:shd w:val="clear" w:color="auto" w:fill="auto"/>
            <w:noWrap/>
            <w:vAlign w:val="center"/>
            <w:hideMark/>
          </w:tcPr>
          <w:p w14:paraId="798096B7"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821</w:t>
            </w:r>
          </w:p>
        </w:tc>
        <w:tc>
          <w:tcPr>
            <w:tcW w:w="3020" w:type="dxa"/>
            <w:tcBorders>
              <w:top w:val="nil"/>
              <w:left w:val="nil"/>
              <w:bottom w:val="single" w:sz="8" w:space="0" w:color="auto"/>
              <w:right w:val="single" w:sz="8" w:space="0" w:color="auto"/>
            </w:tcBorders>
            <w:shd w:val="clear" w:color="auto" w:fill="auto"/>
            <w:noWrap/>
            <w:vAlign w:val="center"/>
            <w:hideMark/>
          </w:tcPr>
          <w:p w14:paraId="5522D328"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0.121</w:t>
            </w:r>
          </w:p>
        </w:tc>
      </w:tr>
      <w:tr w:rsidR="009E4805" w:rsidRPr="009E4805" w14:paraId="0CC7B5BF"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36B8017B"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BATS</w:t>
            </w:r>
          </w:p>
        </w:tc>
        <w:tc>
          <w:tcPr>
            <w:tcW w:w="1960" w:type="dxa"/>
            <w:tcBorders>
              <w:top w:val="nil"/>
              <w:left w:val="nil"/>
              <w:bottom w:val="single" w:sz="8" w:space="0" w:color="auto"/>
              <w:right w:val="single" w:sz="8" w:space="0" w:color="auto"/>
            </w:tcBorders>
            <w:shd w:val="clear" w:color="auto" w:fill="auto"/>
            <w:noWrap/>
            <w:vAlign w:val="center"/>
            <w:hideMark/>
          </w:tcPr>
          <w:p w14:paraId="4C1D933D"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675</w:t>
            </w:r>
          </w:p>
        </w:tc>
        <w:tc>
          <w:tcPr>
            <w:tcW w:w="1960" w:type="dxa"/>
            <w:tcBorders>
              <w:top w:val="nil"/>
              <w:left w:val="nil"/>
              <w:bottom w:val="single" w:sz="8" w:space="0" w:color="auto"/>
              <w:right w:val="single" w:sz="8" w:space="0" w:color="auto"/>
            </w:tcBorders>
            <w:shd w:val="clear" w:color="auto" w:fill="auto"/>
            <w:noWrap/>
            <w:vAlign w:val="center"/>
            <w:hideMark/>
          </w:tcPr>
          <w:p w14:paraId="25A676E9"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14702</w:t>
            </w:r>
          </w:p>
        </w:tc>
        <w:tc>
          <w:tcPr>
            <w:tcW w:w="3020" w:type="dxa"/>
            <w:tcBorders>
              <w:top w:val="nil"/>
              <w:left w:val="nil"/>
              <w:bottom w:val="single" w:sz="8" w:space="0" w:color="auto"/>
              <w:right w:val="single" w:sz="8" w:space="0" w:color="auto"/>
            </w:tcBorders>
            <w:shd w:val="clear" w:color="auto" w:fill="auto"/>
            <w:noWrap/>
            <w:vAlign w:val="center"/>
            <w:hideMark/>
          </w:tcPr>
          <w:p w14:paraId="7E2C83C2"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0.122</w:t>
            </w:r>
          </w:p>
        </w:tc>
      </w:tr>
      <w:tr w:rsidR="009E4805" w:rsidRPr="009E4805" w14:paraId="5D63E707"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6494150F"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CHX</w:t>
            </w:r>
          </w:p>
        </w:tc>
        <w:tc>
          <w:tcPr>
            <w:tcW w:w="1960" w:type="dxa"/>
            <w:tcBorders>
              <w:top w:val="nil"/>
              <w:left w:val="nil"/>
              <w:bottom w:val="single" w:sz="8" w:space="0" w:color="auto"/>
              <w:right w:val="single" w:sz="8" w:space="0" w:color="auto"/>
            </w:tcBorders>
            <w:shd w:val="clear" w:color="auto" w:fill="auto"/>
            <w:noWrap/>
            <w:vAlign w:val="center"/>
            <w:hideMark/>
          </w:tcPr>
          <w:p w14:paraId="1FF8D4E4"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56</w:t>
            </w:r>
          </w:p>
        </w:tc>
        <w:tc>
          <w:tcPr>
            <w:tcW w:w="1960" w:type="dxa"/>
            <w:tcBorders>
              <w:top w:val="nil"/>
              <w:left w:val="nil"/>
              <w:bottom w:val="single" w:sz="8" w:space="0" w:color="auto"/>
              <w:right w:val="single" w:sz="8" w:space="0" w:color="auto"/>
            </w:tcBorders>
            <w:shd w:val="clear" w:color="auto" w:fill="auto"/>
            <w:noWrap/>
            <w:vAlign w:val="center"/>
            <w:hideMark/>
          </w:tcPr>
          <w:p w14:paraId="280BECA5"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3036</w:t>
            </w:r>
          </w:p>
        </w:tc>
        <w:tc>
          <w:tcPr>
            <w:tcW w:w="3020" w:type="dxa"/>
            <w:tcBorders>
              <w:top w:val="nil"/>
              <w:left w:val="nil"/>
              <w:bottom w:val="single" w:sz="8" w:space="0" w:color="auto"/>
              <w:right w:val="single" w:sz="8" w:space="0" w:color="auto"/>
            </w:tcBorders>
            <w:shd w:val="clear" w:color="auto" w:fill="auto"/>
            <w:noWrap/>
            <w:vAlign w:val="center"/>
            <w:hideMark/>
          </w:tcPr>
          <w:p w14:paraId="6C824A29"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0.124</w:t>
            </w:r>
          </w:p>
        </w:tc>
      </w:tr>
      <w:tr w:rsidR="009E4805" w:rsidRPr="009E4805" w14:paraId="6FD6BE6E"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5CA2D32E"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NYSENAT</w:t>
            </w:r>
          </w:p>
        </w:tc>
        <w:tc>
          <w:tcPr>
            <w:tcW w:w="1960" w:type="dxa"/>
            <w:tcBorders>
              <w:top w:val="nil"/>
              <w:left w:val="nil"/>
              <w:bottom w:val="single" w:sz="8" w:space="0" w:color="auto"/>
              <w:right w:val="single" w:sz="8" w:space="0" w:color="auto"/>
            </w:tcBorders>
            <w:shd w:val="clear" w:color="auto" w:fill="auto"/>
            <w:noWrap/>
            <w:vAlign w:val="center"/>
            <w:hideMark/>
          </w:tcPr>
          <w:p w14:paraId="6D8C6B2B"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59</w:t>
            </w:r>
          </w:p>
        </w:tc>
        <w:tc>
          <w:tcPr>
            <w:tcW w:w="1960" w:type="dxa"/>
            <w:tcBorders>
              <w:top w:val="nil"/>
              <w:left w:val="nil"/>
              <w:bottom w:val="single" w:sz="8" w:space="0" w:color="auto"/>
              <w:right w:val="single" w:sz="8" w:space="0" w:color="auto"/>
            </w:tcBorders>
            <w:shd w:val="clear" w:color="auto" w:fill="auto"/>
            <w:noWrap/>
            <w:vAlign w:val="center"/>
            <w:hideMark/>
          </w:tcPr>
          <w:p w14:paraId="3EF83A32"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1206</w:t>
            </w:r>
          </w:p>
        </w:tc>
        <w:tc>
          <w:tcPr>
            <w:tcW w:w="3020" w:type="dxa"/>
            <w:tcBorders>
              <w:top w:val="nil"/>
              <w:left w:val="nil"/>
              <w:bottom w:val="single" w:sz="8" w:space="0" w:color="auto"/>
              <w:right w:val="single" w:sz="8" w:space="0" w:color="auto"/>
            </w:tcBorders>
            <w:shd w:val="clear" w:color="auto" w:fill="auto"/>
            <w:noWrap/>
            <w:vAlign w:val="center"/>
            <w:hideMark/>
          </w:tcPr>
          <w:p w14:paraId="53DD6774"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0.124</w:t>
            </w:r>
          </w:p>
        </w:tc>
      </w:tr>
      <w:tr w:rsidR="009E4805" w:rsidRPr="009E4805" w14:paraId="4BA8BD09"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1C547461"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ARCA</w:t>
            </w:r>
          </w:p>
        </w:tc>
        <w:tc>
          <w:tcPr>
            <w:tcW w:w="1960" w:type="dxa"/>
            <w:tcBorders>
              <w:top w:val="nil"/>
              <w:left w:val="nil"/>
              <w:bottom w:val="single" w:sz="8" w:space="0" w:color="auto"/>
              <w:right w:val="single" w:sz="8" w:space="0" w:color="auto"/>
            </w:tcBorders>
            <w:shd w:val="clear" w:color="auto" w:fill="auto"/>
            <w:noWrap/>
            <w:vAlign w:val="center"/>
            <w:hideMark/>
          </w:tcPr>
          <w:p w14:paraId="6F016ECC"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1102</w:t>
            </w:r>
          </w:p>
        </w:tc>
        <w:tc>
          <w:tcPr>
            <w:tcW w:w="1960" w:type="dxa"/>
            <w:tcBorders>
              <w:top w:val="nil"/>
              <w:left w:val="nil"/>
              <w:bottom w:val="single" w:sz="8" w:space="0" w:color="auto"/>
              <w:right w:val="single" w:sz="8" w:space="0" w:color="auto"/>
            </w:tcBorders>
            <w:shd w:val="clear" w:color="auto" w:fill="auto"/>
            <w:noWrap/>
            <w:vAlign w:val="center"/>
            <w:hideMark/>
          </w:tcPr>
          <w:p w14:paraId="250485D7"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33934</w:t>
            </w:r>
          </w:p>
        </w:tc>
        <w:tc>
          <w:tcPr>
            <w:tcW w:w="3020" w:type="dxa"/>
            <w:tcBorders>
              <w:top w:val="nil"/>
              <w:left w:val="nil"/>
              <w:bottom w:val="single" w:sz="8" w:space="0" w:color="auto"/>
              <w:right w:val="single" w:sz="8" w:space="0" w:color="auto"/>
            </w:tcBorders>
            <w:shd w:val="clear" w:color="auto" w:fill="auto"/>
            <w:noWrap/>
            <w:vAlign w:val="center"/>
            <w:hideMark/>
          </w:tcPr>
          <w:p w14:paraId="398F5B27"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0.126</w:t>
            </w:r>
          </w:p>
        </w:tc>
      </w:tr>
      <w:tr w:rsidR="009E4805" w:rsidRPr="009E4805" w14:paraId="0A8441D2"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2368E241"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MEMX</w:t>
            </w:r>
          </w:p>
        </w:tc>
        <w:tc>
          <w:tcPr>
            <w:tcW w:w="1960" w:type="dxa"/>
            <w:tcBorders>
              <w:top w:val="nil"/>
              <w:left w:val="nil"/>
              <w:bottom w:val="single" w:sz="8" w:space="0" w:color="auto"/>
              <w:right w:val="single" w:sz="8" w:space="0" w:color="auto"/>
            </w:tcBorders>
            <w:shd w:val="clear" w:color="auto" w:fill="auto"/>
            <w:noWrap/>
            <w:vAlign w:val="center"/>
            <w:hideMark/>
          </w:tcPr>
          <w:p w14:paraId="09BCA53E"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244</w:t>
            </w:r>
          </w:p>
        </w:tc>
        <w:tc>
          <w:tcPr>
            <w:tcW w:w="1960" w:type="dxa"/>
            <w:tcBorders>
              <w:top w:val="nil"/>
              <w:left w:val="nil"/>
              <w:bottom w:val="single" w:sz="8" w:space="0" w:color="auto"/>
              <w:right w:val="single" w:sz="8" w:space="0" w:color="auto"/>
            </w:tcBorders>
            <w:shd w:val="clear" w:color="auto" w:fill="auto"/>
            <w:noWrap/>
            <w:vAlign w:val="center"/>
            <w:hideMark/>
          </w:tcPr>
          <w:p w14:paraId="251BF5E5"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8701</w:t>
            </w:r>
          </w:p>
        </w:tc>
        <w:tc>
          <w:tcPr>
            <w:tcW w:w="3020" w:type="dxa"/>
            <w:tcBorders>
              <w:top w:val="nil"/>
              <w:left w:val="nil"/>
              <w:bottom w:val="single" w:sz="8" w:space="0" w:color="auto"/>
              <w:right w:val="single" w:sz="8" w:space="0" w:color="auto"/>
            </w:tcBorders>
            <w:shd w:val="clear" w:color="auto" w:fill="auto"/>
            <w:noWrap/>
            <w:vAlign w:val="center"/>
            <w:hideMark/>
          </w:tcPr>
          <w:p w14:paraId="3CB518C6"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0.128</w:t>
            </w:r>
          </w:p>
        </w:tc>
      </w:tr>
      <w:tr w:rsidR="009E4805" w:rsidRPr="009E4805" w14:paraId="7DA3AD12"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0EDDB942"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ISLAND</w:t>
            </w:r>
          </w:p>
        </w:tc>
        <w:tc>
          <w:tcPr>
            <w:tcW w:w="1960" w:type="dxa"/>
            <w:tcBorders>
              <w:top w:val="nil"/>
              <w:left w:val="nil"/>
              <w:bottom w:val="single" w:sz="8" w:space="0" w:color="auto"/>
              <w:right w:val="single" w:sz="8" w:space="0" w:color="auto"/>
            </w:tcBorders>
            <w:shd w:val="clear" w:color="auto" w:fill="auto"/>
            <w:noWrap/>
            <w:vAlign w:val="center"/>
            <w:hideMark/>
          </w:tcPr>
          <w:p w14:paraId="6B18D3A5"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3999</w:t>
            </w:r>
          </w:p>
        </w:tc>
        <w:tc>
          <w:tcPr>
            <w:tcW w:w="1960" w:type="dxa"/>
            <w:tcBorders>
              <w:top w:val="nil"/>
              <w:left w:val="nil"/>
              <w:bottom w:val="single" w:sz="8" w:space="0" w:color="auto"/>
              <w:right w:val="single" w:sz="8" w:space="0" w:color="auto"/>
            </w:tcBorders>
            <w:shd w:val="clear" w:color="auto" w:fill="auto"/>
            <w:noWrap/>
            <w:vAlign w:val="center"/>
            <w:hideMark/>
          </w:tcPr>
          <w:p w14:paraId="327C4366"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146967</w:t>
            </w:r>
          </w:p>
        </w:tc>
        <w:tc>
          <w:tcPr>
            <w:tcW w:w="3020" w:type="dxa"/>
            <w:tcBorders>
              <w:top w:val="nil"/>
              <w:left w:val="nil"/>
              <w:bottom w:val="single" w:sz="8" w:space="0" w:color="auto"/>
              <w:right w:val="single" w:sz="8" w:space="0" w:color="auto"/>
            </w:tcBorders>
            <w:shd w:val="clear" w:color="auto" w:fill="auto"/>
            <w:noWrap/>
            <w:vAlign w:val="center"/>
            <w:hideMark/>
          </w:tcPr>
          <w:p w14:paraId="64326D9B"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0.128</w:t>
            </w:r>
          </w:p>
        </w:tc>
      </w:tr>
      <w:tr w:rsidR="009E4805" w:rsidRPr="009E4805" w14:paraId="71C5367A"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0B337C9C"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IEX</w:t>
            </w:r>
          </w:p>
        </w:tc>
        <w:tc>
          <w:tcPr>
            <w:tcW w:w="1960" w:type="dxa"/>
            <w:tcBorders>
              <w:top w:val="nil"/>
              <w:left w:val="nil"/>
              <w:bottom w:val="single" w:sz="8" w:space="0" w:color="auto"/>
              <w:right w:val="single" w:sz="8" w:space="0" w:color="auto"/>
            </w:tcBorders>
            <w:shd w:val="clear" w:color="auto" w:fill="auto"/>
            <w:noWrap/>
            <w:vAlign w:val="center"/>
            <w:hideMark/>
          </w:tcPr>
          <w:p w14:paraId="514023E5"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997</w:t>
            </w:r>
          </w:p>
        </w:tc>
        <w:tc>
          <w:tcPr>
            <w:tcW w:w="1960" w:type="dxa"/>
            <w:tcBorders>
              <w:top w:val="nil"/>
              <w:left w:val="nil"/>
              <w:bottom w:val="single" w:sz="8" w:space="0" w:color="auto"/>
              <w:right w:val="single" w:sz="8" w:space="0" w:color="auto"/>
            </w:tcBorders>
            <w:shd w:val="clear" w:color="auto" w:fill="auto"/>
            <w:noWrap/>
            <w:vAlign w:val="center"/>
            <w:hideMark/>
          </w:tcPr>
          <w:p w14:paraId="24ADDD03"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41783</w:t>
            </w:r>
          </w:p>
        </w:tc>
        <w:tc>
          <w:tcPr>
            <w:tcW w:w="3020" w:type="dxa"/>
            <w:tcBorders>
              <w:top w:val="nil"/>
              <w:left w:val="nil"/>
              <w:bottom w:val="single" w:sz="8" w:space="0" w:color="auto"/>
              <w:right w:val="single" w:sz="8" w:space="0" w:color="auto"/>
            </w:tcBorders>
            <w:shd w:val="clear" w:color="auto" w:fill="auto"/>
            <w:noWrap/>
            <w:vAlign w:val="center"/>
            <w:hideMark/>
          </w:tcPr>
          <w:p w14:paraId="3D04873E"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0.162</w:t>
            </w:r>
          </w:p>
        </w:tc>
      </w:tr>
      <w:tr w:rsidR="009E4805" w:rsidRPr="009E4805" w14:paraId="2F263E6B" w14:textId="77777777" w:rsidTr="009E4805">
        <w:trPr>
          <w:trHeight w:val="390"/>
        </w:trPr>
        <w:tc>
          <w:tcPr>
            <w:tcW w:w="2560" w:type="dxa"/>
            <w:tcBorders>
              <w:top w:val="nil"/>
              <w:left w:val="single" w:sz="8" w:space="0" w:color="auto"/>
              <w:bottom w:val="single" w:sz="8" w:space="0" w:color="auto"/>
              <w:right w:val="single" w:sz="8" w:space="0" w:color="auto"/>
            </w:tcBorders>
            <w:shd w:val="clear" w:color="auto" w:fill="auto"/>
            <w:noWrap/>
            <w:vAlign w:val="center"/>
            <w:hideMark/>
          </w:tcPr>
          <w:p w14:paraId="35C7E82C" w14:textId="77777777" w:rsidR="009E4805" w:rsidRPr="009E4805" w:rsidRDefault="009E4805" w:rsidP="009E4805">
            <w:pPr>
              <w:spacing w:after="0" w:line="240" w:lineRule="auto"/>
              <w:rPr>
                <w:rFonts w:ascii="Calibri" w:eastAsia="Times New Roman" w:hAnsi="Calibri" w:cs="Calibri"/>
                <w:color w:val="000000"/>
                <w:sz w:val="28"/>
                <w:szCs w:val="28"/>
              </w:rPr>
            </w:pPr>
            <w:r w:rsidRPr="009E4805">
              <w:rPr>
                <w:rFonts w:ascii="Calibri" w:eastAsia="Times New Roman" w:hAnsi="Calibri" w:cs="Calibri"/>
                <w:color w:val="000000"/>
                <w:sz w:val="28"/>
                <w:szCs w:val="28"/>
              </w:rPr>
              <w:t>EDGEA</w:t>
            </w:r>
          </w:p>
        </w:tc>
        <w:tc>
          <w:tcPr>
            <w:tcW w:w="1960" w:type="dxa"/>
            <w:tcBorders>
              <w:top w:val="nil"/>
              <w:left w:val="nil"/>
              <w:bottom w:val="single" w:sz="8" w:space="0" w:color="auto"/>
              <w:right w:val="single" w:sz="8" w:space="0" w:color="auto"/>
            </w:tcBorders>
            <w:shd w:val="clear" w:color="auto" w:fill="auto"/>
            <w:noWrap/>
            <w:vAlign w:val="center"/>
            <w:hideMark/>
          </w:tcPr>
          <w:p w14:paraId="5122B195"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244</w:t>
            </w:r>
          </w:p>
        </w:tc>
        <w:tc>
          <w:tcPr>
            <w:tcW w:w="1960" w:type="dxa"/>
            <w:tcBorders>
              <w:top w:val="nil"/>
              <w:left w:val="nil"/>
              <w:bottom w:val="single" w:sz="8" w:space="0" w:color="auto"/>
              <w:right w:val="single" w:sz="8" w:space="0" w:color="auto"/>
            </w:tcBorders>
            <w:shd w:val="clear" w:color="auto" w:fill="auto"/>
            <w:noWrap/>
            <w:vAlign w:val="center"/>
            <w:hideMark/>
          </w:tcPr>
          <w:p w14:paraId="3B03738D"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5786</w:t>
            </w:r>
          </w:p>
        </w:tc>
        <w:tc>
          <w:tcPr>
            <w:tcW w:w="3020" w:type="dxa"/>
            <w:tcBorders>
              <w:top w:val="nil"/>
              <w:left w:val="nil"/>
              <w:bottom w:val="single" w:sz="8" w:space="0" w:color="auto"/>
              <w:right w:val="single" w:sz="8" w:space="0" w:color="auto"/>
            </w:tcBorders>
            <w:shd w:val="clear" w:color="auto" w:fill="auto"/>
            <w:noWrap/>
            <w:vAlign w:val="center"/>
            <w:hideMark/>
          </w:tcPr>
          <w:p w14:paraId="0E74BA92" w14:textId="77777777" w:rsidR="009E4805" w:rsidRPr="009E4805" w:rsidRDefault="009E4805" w:rsidP="009E4805">
            <w:pPr>
              <w:spacing w:after="0" w:line="240" w:lineRule="auto"/>
              <w:jc w:val="right"/>
              <w:rPr>
                <w:rFonts w:ascii="Calibri" w:eastAsia="Times New Roman" w:hAnsi="Calibri" w:cs="Calibri"/>
                <w:color w:val="000000"/>
                <w:sz w:val="28"/>
                <w:szCs w:val="28"/>
              </w:rPr>
            </w:pPr>
            <w:r w:rsidRPr="009E4805">
              <w:rPr>
                <w:rFonts w:ascii="Calibri" w:eastAsia="Times New Roman" w:hAnsi="Calibri" w:cs="Calibri"/>
                <w:color w:val="000000"/>
                <w:sz w:val="28"/>
                <w:szCs w:val="28"/>
              </w:rPr>
              <w:t>0.167</w:t>
            </w:r>
          </w:p>
        </w:tc>
      </w:tr>
    </w:tbl>
    <w:p w14:paraId="245DF1CF" w14:textId="77777777" w:rsidR="009E4805" w:rsidRDefault="009E4805" w:rsidP="009E4805">
      <w:pPr>
        <w:spacing w:line="360" w:lineRule="auto"/>
      </w:pPr>
    </w:p>
    <w:p w14:paraId="5519D706" w14:textId="77777777" w:rsidR="009E4805" w:rsidRDefault="009E4805" w:rsidP="009E4805">
      <w:pPr>
        <w:spacing w:line="360" w:lineRule="auto"/>
      </w:pPr>
    </w:p>
    <w:p w14:paraId="1A146661" w14:textId="77777777" w:rsidR="009E4805" w:rsidRDefault="009E4805" w:rsidP="009E4805"/>
    <w:p w14:paraId="1BA85402" w14:textId="77777777" w:rsidR="009E4805" w:rsidRDefault="009E4805" w:rsidP="009E4805"/>
    <w:p w14:paraId="23AB901E" w14:textId="4FC075AA" w:rsidR="009E4805" w:rsidRDefault="004A75A6" w:rsidP="009E4805">
      <w:r>
        <w:t>List of symbols used</w:t>
      </w:r>
    </w:p>
    <w:p w14:paraId="07C49C01" w14:textId="77777777" w:rsidR="009E4805" w:rsidRDefault="009E4805" w:rsidP="009E4805">
      <w:proofErr w:type="gramStart"/>
      <w:r>
        <w:t>SYMBOL,COMPANY</w:t>
      </w:r>
      <w:proofErr w:type="gramEnd"/>
      <w:r>
        <w:t xml:space="preserve"> NAME,PRICE,CHG,CHG %,VOL</w:t>
      </w:r>
    </w:p>
    <w:p w14:paraId="1CA18252" w14:textId="77777777" w:rsidR="009E4805" w:rsidRDefault="009E4805" w:rsidP="009E4805"/>
    <w:p w14:paraId="7B1140DA" w14:textId="77777777" w:rsidR="009E4805" w:rsidRDefault="009E4805" w:rsidP="009E4805">
      <w:proofErr w:type="gramStart"/>
      <w:r>
        <w:t>DLHC,DLH</w:t>
      </w:r>
      <w:proofErr w:type="gramEnd"/>
      <w:r>
        <w:t xml:space="preserve"> Holdings Corp.,$13.30 ,-0.1,-0.75%,6.36K</w:t>
      </w:r>
    </w:p>
    <w:p w14:paraId="5FF1ECD2" w14:textId="77777777" w:rsidR="009E4805" w:rsidRDefault="009E4805" w:rsidP="009E4805">
      <w:proofErr w:type="spellStart"/>
      <w:proofErr w:type="gramStart"/>
      <w:r>
        <w:t>DSGR,Distribution</w:t>
      </w:r>
      <w:proofErr w:type="spellEnd"/>
      <w:proofErr w:type="gramEnd"/>
      <w:r>
        <w:t xml:space="preserve"> Solutions Group Inc.,$37.56 ,-0.36,-0.95%,19.22K</w:t>
      </w:r>
    </w:p>
    <w:p w14:paraId="5F17176B" w14:textId="77777777" w:rsidR="009E4805" w:rsidRDefault="009E4805" w:rsidP="009E4805">
      <w:proofErr w:type="spellStart"/>
      <w:proofErr w:type="gramStart"/>
      <w:r>
        <w:t>EBTC,Enterprise</w:t>
      </w:r>
      <w:proofErr w:type="spellEnd"/>
      <w:proofErr w:type="gramEnd"/>
      <w:r>
        <w:t xml:space="preserve"> Bancorp Inc.,$34.29 ,0.63,1.87%,13.04K</w:t>
      </w:r>
    </w:p>
    <w:p w14:paraId="13EA49A0" w14:textId="77777777" w:rsidR="009E4805" w:rsidRDefault="009E4805" w:rsidP="009E4805">
      <w:proofErr w:type="gramStart"/>
      <w:r>
        <w:t>ECBK,ECB</w:t>
      </w:r>
      <w:proofErr w:type="gramEnd"/>
      <w:r>
        <w:t xml:space="preserve"> Bancorp Inc.,$16.75 ,0.05,0.30%,14.66K</w:t>
      </w:r>
    </w:p>
    <w:p w14:paraId="1E174C3B" w14:textId="77777777" w:rsidR="009E4805" w:rsidRDefault="009E4805" w:rsidP="009E4805">
      <w:proofErr w:type="spellStart"/>
      <w:proofErr w:type="gramStart"/>
      <w:r>
        <w:t>EDRY,EuroDry</w:t>
      </w:r>
      <w:proofErr w:type="spellEnd"/>
      <w:proofErr w:type="gramEnd"/>
      <w:r>
        <w:t xml:space="preserve"> Ltd.,$16.19 ,0.19,1.19%,18.41K</w:t>
      </w:r>
    </w:p>
    <w:p w14:paraId="7ED42362" w14:textId="77777777" w:rsidR="009E4805" w:rsidRDefault="009E4805" w:rsidP="009E4805">
      <w:proofErr w:type="spellStart"/>
      <w:proofErr w:type="gramStart"/>
      <w:r>
        <w:t>EMCF,Emclaire</w:t>
      </w:r>
      <w:proofErr w:type="spellEnd"/>
      <w:proofErr w:type="gramEnd"/>
      <w:r>
        <w:t xml:space="preserve"> Financial Corp.,$32.65 ,-1.22,-3.60%,5.51K</w:t>
      </w:r>
    </w:p>
    <w:p w14:paraId="2B5E7065" w14:textId="77777777" w:rsidR="009E4805" w:rsidRDefault="009E4805" w:rsidP="009E4805">
      <w:proofErr w:type="spellStart"/>
      <w:proofErr w:type="gramStart"/>
      <w:r>
        <w:t>ENCP,Energem</w:t>
      </w:r>
      <w:proofErr w:type="spellEnd"/>
      <w:proofErr w:type="gramEnd"/>
      <w:r>
        <w:t xml:space="preserve"> Corp. Cl A,$10.36 ,0.06,0.57%,11.68K</w:t>
      </w:r>
    </w:p>
    <w:p w14:paraId="610AAE07" w14:textId="77777777" w:rsidR="009E4805" w:rsidRDefault="009E4805" w:rsidP="009E4805">
      <w:proofErr w:type="gramStart"/>
      <w:r>
        <w:t>ESSA,ESSA</w:t>
      </w:r>
      <w:proofErr w:type="gramEnd"/>
      <w:r>
        <w:t xml:space="preserve"> Bancorp Inc.,$21.42 ,0.24,1.13%,13.27K</w:t>
      </w:r>
    </w:p>
    <w:p w14:paraId="71C32C7D" w14:textId="77777777" w:rsidR="009E4805" w:rsidRDefault="009E4805" w:rsidP="009E4805">
      <w:proofErr w:type="gramStart"/>
      <w:r>
        <w:t>EVI,EVI</w:t>
      </w:r>
      <w:proofErr w:type="gramEnd"/>
      <w:r>
        <w:t xml:space="preserve"> Industries Inc.,$18.65 ,-0.14,-0.75%,7.85K</w:t>
      </w:r>
    </w:p>
    <w:p w14:paraId="678EB177" w14:textId="77777777" w:rsidR="009E4805" w:rsidRDefault="009E4805" w:rsidP="009E4805">
      <w:proofErr w:type="spellStart"/>
      <w:proofErr w:type="gramStart"/>
      <w:r>
        <w:lastRenderedPageBreak/>
        <w:t>FBIZ,First</w:t>
      </w:r>
      <w:proofErr w:type="spellEnd"/>
      <w:proofErr w:type="gramEnd"/>
      <w:r>
        <w:t xml:space="preserve"> Business Financial Services Inc.,$39.39 ,0.14,0.36%,16.23K</w:t>
      </w:r>
    </w:p>
    <w:p w14:paraId="683B1E62" w14:textId="77777777" w:rsidR="009E4805" w:rsidRDefault="009E4805" w:rsidP="009E4805">
      <w:proofErr w:type="spellStart"/>
      <w:proofErr w:type="gramStart"/>
      <w:r>
        <w:t>FET,Forum</w:t>
      </w:r>
      <w:proofErr w:type="spellEnd"/>
      <w:proofErr w:type="gramEnd"/>
      <w:r>
        <w:t xml:space="preserve"> Energy Technologies Inc.,$28.71 ,-0.06,-0.21%,18.31K</w:t>
      </w:r>
    </w:p>
    <w:p w14:paraId="3F0994FB" w14:textId="77777777" w:rsidR="009E4805" w:rsidRDefault="009E4805" w:rsidP="009E4805">
      <w:proofErr w:type="gramStart"/>
      <w:r>
        <w:t>FFBW,FFBW</w:t>
      </w:r>
      <w:proofErr w:type="gramEnd"/>
      <w:r>
        <w:t xml:space="preserve"> Inc.,$11.75 ,-0.13,-1.07%,5.95K</w:t>
      </w:r>
    </w:p>
    <w:p w14:paraId="6DA532EE" w14:textId="77777777" w:rsidR="009E4805" w:rsidRDefault="009E4805" w:rsidP="009E4805">
      <w:proofErr w:type="spellStart"/>
      <w:proofErr w:type="gramStart"/>
      <w:r>
        <w:t>FGBI,First</w:t>
      </w:r>
      <w:proofErr w:type="spellEnd"/>
      <w:proofErr w:type="gramEnd"/>
      <w:r>
        <w:t xml:space="preserve"> Guaranty Bancshares Inc.,$23.91 ,-0.19,-0.79%,7.25K</w:t>
      </w:r>
    </w:p>
    <w:p w14:paraId="759FB4D1" w14:textId="77777777" w:rsidR="009E4805" w:rsidRDefault="009E4805" w:rsidP="009E4805">
      <w:proofErr w:type="spellStart"/>
      <w:proofErr w:type="gramStart"/>
      <w:r>
        <w:t>FLXS,Flexsteel</w:t>
      </w:r>
      <w:proofErr w:type="spellEnd"/>
      <w:proofErr w:type="gramEnd"/>
      <w:r>
        <w:t xml:space="preserve"> Industries Inc.,$15.44 ,0.79,5.39%,14.43K</w:t>
      </w:r>
    </w:p>
    <w:p w14:paraId="0AE8A68C" w14:textId="77777777" w:rsidR="009E4805" w:rsidRDefault="009E4805" w:rsidP="009E4805">
      <w:proofErr w:type="spellStart"/>
      <w:proofErr w:type="gramStart"/>
      <w:r>
        <w:t>FMAO,Farmers</w:t>
      </w:r>
      <w:proofErr w:type="spellEnd"/>
      <w:proofErr w:type="gramEnd"/>
      <w:r>
        <w:t xml:space="preserve"> &amp; Merchants Bancorp Inc.,$28.58 ,0.06,0.21%,18.03K</w:t>
      </w:r>
    </w:p>
    <w:p w14:paraId="1A49FCA3" w14:textId="77777777" w:rsidR="009E4805" w:rsidRDefault="009E4805" w:rsidP="009E4805">
      <w:proofErr w:type="spellStart"/>
      <w:proofErr w:type="gramStart"/>
      <w:r>
        <w:t>FNLC,First</w:t>
      </w:r>
      <w:proofErr w:type="spellEnd"/>
      <w:proofErr w:type="gramEnd"/>
      <w:r>
        <w:t xml:space="preserve"> Bancorp Inc.,$31.20 ,0.3,0.97%,15.77K</w:t>
      </w:r>
    </w:p>
    <w:p w14:paraId="236DC066" w14:textId="77777777" w:rsidR="009E4805" w:rsidRDefault="009E4805" w:rsidP="009E4805">
      <w:proofErr w:type="spellStart"/>
      <w:proofErr w:type="gramStart"/>
      <w:r>
        <w:t>FRBA,First</w:t>
      </w:r>
      <w:proofErr w:type="spellEnd"/>
      <w:proofErr w:type="gramEnd"/>
      <w:r>
        <w:t xml:space="preserve"> Bank (NJ),$15.25 ,0.15,0.99%,17.91K</w:t>
      </w:r>
    </w:p>
    <w:p w14:paraId="447AD1F6" w14:textId="77777777" w:rsidR="009E4805" w:rsidRDefault="009E4805" w:rsidP="009E4805">
      <w:proofErr w:type="spellStart"/>
      <w:proofErr w:type="gramStart"/>
      <w:r>
        <w:t>FRBN,Forbion</w:t>
      </w:r>
      <w:proofErr w:type="spellEnd"/>
      <w:proofErr w:type="gramEnd"/>
      <w:r>
        <w:t xml:space="preserve"> European Acquisition Corp. Cl A,$10.21 ,-0.01,-0.05%,5.7K</w:t>
      </w:r>
    </w:p>
    <w:p w14:paraId="36D59A17" w14:textId="77777777" w:rsidR="009E4805" w:rsidRDefault="009E4805" w:rsidP="009E4805">
      <w:proofErr w:type="spellStart"/>
      <w:proofErr w:type="gramStart"/>
      <w:r>
        <w:t>FRST,Primis</w:t>
      </w:r>
      <w:proofErr w:type="spellEnd"/>
      <w:proofErr w:type="gramEnd"/>
      <w:r>
        <w:t xml:space="preserve"> Financial Corp.,$12.48 ,0.09,0.73%,24.7K</w:t>
      </w:r>
    </w:p>
    <w:p w14:paraId="3B854863" w14:textId="77777777" w:rsidR="009E4805" w:rsidRDefault="009E4805" w:rsidP="009E4805">
      <w:proofErr w:type="gramStart"/>
      <w:r>
        <w:t>FRW,PWP</w:t>
      </w:r>
      <w:proofErr w:type="gramEnd"/>
      <w:r>
        <w:t xml:space="preserve"> Forward Acquisition Corp. I Cl </w:t>
      </w:r>
      <w:proofErr w:type="gramStart"/>
      <w:r>
        <w:t>A,$</w:t>
      </w:r>
      <w:proofErr w:type="gramEnd"/>
      <w:r>
        <w:t>10.04 ,0.01,0.05%,24.64K</w:t>
      </w:r>
    </w:p>
    <w:p w14:paraId="0336C440" w14:textId="77777777" w:rsidR="009E4805" w:rsidRDefault="009E4805" w:rsidP="009E4805">
      <w:proofErr w:type="spellStart"/>
      <w:proofErr w:type="gramStart"/>
      <w:r>
        <w:t>FSBC,Five</w:t>
      </w:r>
      <w:proofErr w:type="spellEnd"/>
      <w:proofErr w:type="gramEnd"/>
      <w:r>
        <w:t xml:space="preserve"> Star Bancorp,$28.33 ,0.08,0.28%,19.22K</w:t>
      </w:r>
    </w:p>
    <w:p w14:paraId="67138D43" w14:textId="77777777" w:rsidR="009E4805" w:rsidRDefault="009E4805" w:rsidP="009E4805">
      <w:proofErr w:type="gramStart"/>
      <w:r>
        <w:t>FSBW,FS</w:t>
      </w:r>
      <w:proofErr w:type="gramEnd"/>
      <w:r>
        <w:t xml:space="preserve"> Bancorp Inc.,$33.10 ,0.11,0.33%,5.73K</w:t>
      </w:r>
    </w:p>
    <w:p w14:paraId="741F1E27" w14:textId="77777777" w:rsidR="009E4805" w:rsidRDefault="009E4805" w:rsidP="009E4805">
      <w:proofErr w:type="spellStart"/>
      <w:proofErr w:type="gramStart"/>
      <w:r>
        <w:t>FSFG,First</w:t>
      </w:r>
      <w:proofErr w:type="spellEnd"/>
      <w:proofErr w:type="gramEnd"/>
      <w:r>
        <w:t xml:space="preserve"> Savings Financial Group Inc.,$23.03 ,0.24,1.05%,8.37K</w:t>
      </w:r>
    </w:p>
    <w:p w14:paraId="68D4B4B4" w14:textId="77777777" w:rsidR="009E4805" w:rsidRDefault="009E4805" w:rsidP="009E4805">
      <w:proofErr w:type="gramStart"/>
      <w:r>
        <w:t>FSTR,L.B.</w:t>
      </w:r>
      <w:proofErr w:type="gramEnd"/>
      <w:r>
        <w:t xml:space="preserve"> Foster Co.,$11.00 ,0.07,0.64%,16.71K</w:t>
      </w:r>
    </w:p>
    <w:p w14:paraId="43254504" w14:textId="77777777" w:rsidR="009E4805" w:rsidRDefault="009E4805" w:rsidP="009E4805">
      <w:proofErr w:type="spellStart"/>
      <w:proofErr w:type="gramStart"/>
      <w:r>
        <w:t>FVCB,FVCBankcorp</w:t>
      </w:r>
      <w:proofErr w:type="spellEnd"/>
      <w:proofErr w:type="gramEnd"/>
      <w:r>
        <w:t xml:space="preserve"> Inc.,$19.87 ,-0.1,-0.50%,18.82K</w:t>
      </w:r>
    </w:p>
    <w:p w14:paraId="07D58C50" w14:textId="77777777" w:rsidR="009E4805" w:rsidRDefault="009E4805" w:rsidP="009E4805">
      <w:proofErr w:type="spellStart"/>
      <w:proofErr w:type="gramStart"/>
      <w:r>
        <w:t>GECC,Great</w:t>
      </w:r>
      <w:proofErr w:type="spellEnd"/>
      <w:proofErr w:type="gramEnd"/>
      <w:r>
        <w:t xml:space="preserve"> Elm Capital Corp.,$10.23 ,0.03,0.31%,8.23K</w:t>
      </w:r>
    </w:p>
    <w:p w14:paraId="26749515" w14:textId="77777777" w:rsidR="009E4805" w:rsidRDefault="009E4805" w:rsidP="009E4805">
      <w:proofErr w:type="spellStart"/>
      <w:proofErr w:type="gramStart"/>
      <w:r>
        <w:t>GHM,Graham</w:t>
      </w:r>
      <w:proofErr w:type="spellEnd"/>
      <w:proofErr w:type="gramEnd"/>
      <w:r>
        <w:t xml:space="preserve"> Corp.,$10.15 ,0.15,1.50%,7.79K</w:t>
      </w:r>
    </w:p>
    <w:p w14:paraId="61880D0F" w14:textId="77777777" w:rsidR="009E4805" w:rsidRDefault="009E4805" w:rsidP="009E4805">
      <w:proofErr w:type="spellStart"/>
      <w:proofErr w:type="gramStart"/>
      <w:r>
        <w:t>GNTY,Guaranty</w:t>
      </w:r>
      <w:proofErr w:type="spellEnd"/>
      <w:proofErr w:type="gramEnd"/>
      <w:r>
        <w:t xml:space="preserve"> Bancshares Inc.,$35.80 ,0.4,1.13%,6.84K</w:t>
      </w:r>
    </w:p>
    <w:p w14:paraId="3B69EEC3" w14:textId="77777777" w:rsidR="009E4805" w:rsidRDefault="009E4805" w:rsidP="009E4805">
      <w:proofErr w:type="spellStart"/>
      <w:proofErr w:type="gramStart"/>
      <w:r>
        <w:t>GRRR,Gorilla</w:t>
      </w:r>
      <w:proofErr w:type="spellEnd"/>
      <w:proofErr w:type="gramEnd"/>
      <w:r>
        <w:t xml:space="preserve"> Technology Group Inc.,$10.80 ,-0.63,-5.53%,5.28K</w:t>
      </w:r>
    </w:p>
    <w:p w14:paraId="69F98169" w14:textId="77777777" w:rsidR="009E4805" w:rsidRDefault="009E4805" w:rsidP="009E4805">
      <w:proofErr w:type="gramStart"/>
      <w:r>
        <w:t>GRVY,GRAVITY</w:t>
      </w:r>
      <w:proofErr w:type="gramEnd"/>
      <w:r>
        <w:t xml:space="preserve"> Co. Ltd. ADR,$45.27 ,0.36,0.80%,5.11K</w:t>
      </w:r>
    </w:p>
    <w:p w14:paraId="23E6796E" w14:textId="77777777" w:rsidR="009E4805" w:rsidRDefault="009E4805" w:rsidP="009E4805">
      <w:proofErr w:type="spellStart"/>
      <w:proofErr w:type="gramStart"/>
      <w:r>
        <w:t>HBB,Hamilton</w:t>
      </w:r>
      <w:proofErr w:type="spellEnd"/>
      <w:proofErr w:type="gramEnd"/>
      <w:r>
        <w:t xml:space="preserve"> Beach Brands Holding Co. Cl A,$13.22 ,-0.52,-3.78%,15.76K</w:t>
      </w:r>
    </w:p>
    <w:p w14:paraId="5BCD3418" w14:textId="77777777" w:rsidR="009E4805" w:rsidRDefault="009E4805" w:rsidP="009E4805">
      <w:proofErr w:type="spellStart"/>
      <w:proofErr w:type="gramStart"/>
      <w:r>
        <w:t>HBCP,Home</w:t>
      </w:r>
      <w:proofErr w:type="spellEnd"/>
      <w:proofErr w:type="gramEnd"/>
      <w:r>
        <w:t xml:space="preserve"> Bancorp Inc.,$42.63 ,0.35,0.83%,11.49K</w:t>
      </w:r>
    </w:p>
    <w:p w14:paraId="6A547354" w14:textId="77777777" w:rsidR="009E4805" w:rsidRDefault="009E4805" w:rsidP="009E4805">
      <w:proofErr w:type="spellStart"/>
      <w:proofErr w:type="gramStart"/>
      <w:r>
        <w:t>HQI,HireQuest</w:t>
      </w:r>
      <w:proofErr w:type="spellEnd"/>
      <w:proofErr w:type="gramEnd"/>
      <w:r>
        <w:t xml:space="preserve"> Inc.,$16.60 ,1.7,11.41%,19.53K</w:t>
      </w:r>
    </w:p>
    <w:p w14:paraId="44D94BF6" w14:textId="77777777" w:rsidR="009E4805" w:rsidRDefault="009E4805" w:rsidP="009E4805">
      <w:proofErr w:type="spellStart"/>
      <w:proofErr w:type="gramStart"/>
      <w:r>
        <w:t>HSON,Hudson</w:t>
      </w:r>
      <w:proofErr w:type="spellEnd"/>
      <w:proofErr w:type="gramEnd"/>
      <w:r>
        <w:t xml:space="preserve"> Global Inc.,$22.38 ,-0.06,-0.25%,13.18K</w:t>
      </w:r>
    </w:p>
    <w:p w14:paraId="5F43EC2A" w14:textId="77777777" w:rsidR="009E4805" w:rsidRDefault="009E4805" w:rsidP="009E4805">
      <w:proofErr w:type="spellStart"/>
      <w:proofErr w:type="gramStart"/>
      <w:r>
        <w:t>HURC,Hurco</w:t>
      </w:r>
      <w:proofErr w:type="spellEnd"/>
      <w:proofErr w:type="gramEnd"/>
      <w:r>
        <w:t xml:space="preserve"> Cos.,$25.65 ,0.42,1.66%,6.49K</w:t>
      </w:r>
    </w:p>
    <w:p w14:paraId="4BC7F241" w14:textId="77777777" w:rsidR="009E4805" w:rsidRDefault="009E4805" w:rsidP="009E4805">
      <w:proofErr w:type="gramStart"/>
      <w:r>
        <w:t>IESC,IES</w:t>
      </w:r>
      <w:proofErr w:type="gramEnd"/>
      <w:r>
        <w:t xml:space="preserve"> Holdings Inc.,$33.17 ,0.05,0.15%,9.88K</w:t>
      </w:r>
    </w:p>
    <w:p w14:paraId="50A59023" w14:textId="77777777" w:rsidR="009E4805" w:rsidRDefault="009E4805" w:rsidP="009E4805"/>
    <w:p w14:paraId="7A977776" w14:textId="77777777" w:rsidR="009E4805" w:rsidRDefault="009E4805" w:rsidP="009E4805"/>
    <w:p w14:paraId="1FCEE786" w14:textId="77777777" w:rsidR="009E4805" w:rsidRDefault="009E4805" w:rsidP="009E4805"/>
    <w:p w14:paraId="01515C6E" w14:textId="5F94CAAE" w:rsidR="00F8066E" w:rsidRPr="009E4805" w:rsidRDefault="009E4805" w:rsidP="009E4805">
      <w:r>
        <w:t>'''</w:t>
      </w:r>
    </w:p>
    <w:sectPr w:rsidR="00F8066E" w:rsidRPr="009E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05"/>
    <w:rsid w:val="004A75A6"/>
    <w:rsid w:val="00592C75"/>
    <w:rsid w:val="007F11AB"/>
    <w:rsid w:val="009E4805"/>
    <w:rsid w:val="00D31305"/>
    <w:rsid w:val="00F24E3B"/>
    <w:rsid w:val="00F8066E"/>
    <w:rsid w:val="00FA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67D0"/>
  <w15:chartTrackingRefBased/>
  <w15:docId w15:val="{4EABEA01-90CC-488C-AABE-0A28C608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05"/>
    <w:pPr>
      <w:keepNext/>
      <w:keepLines/>
      <w:spacing w:before="240" w:after="0"/>
      <w:outlineLvl w:val="0"/>
    </w:pPr>
    <w:rPr>
      <w:rFonts w:ascii="Garamond" w:eastAsiaTheme="majorEastAsia" w:hAnsi="Garamond"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305"/>
    <w:rPr>
      <w:rFonts w:ascii="Garamond" w:eastAsiaTheme="majorEastAsia" w:hAnsi="Garamond" w:cstheme="majorBidi"/>
      <w:sz w:val="32"/>
      <w:szCs w:val="32"/>
    </w:rPr>
  </w:style>
  <w:style w:type="paragraph" w:styleId="Title">
    <w:name w:val="Title"/>
    <w:basedOn w:val="Normal"/>
    <w:next w:val="Normal"/>
    <w:link w:val="TitleChar"/>
    <w:autoRedefine/>
    <w:uiPriority w:val="10"/>
    <w:qFormat/>
    <w:rsid w:val="00D31305"/>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D31305"/>
    <w:rPr>
      <w:rFonts w:asciiTheme="majorHAnsi" w:eastAsiaTheme="majorEastAsia" w:hAnsiTheme="majorHAnsi" w:cstheme="majorBidi"/>
      <w:spacing w:val="-10"/>
      <w:kern w:val="28"/>
      <w:sz w:val="56"/>
      <w:szCs w:val="56"/>
      <w:u w:val="single"/>
    </w:rPr>
  </w:style>
  <w:style w:type="character" w:customStyle="1" w:styleId="pg-1ls1">
    <w:name w:val="pg-1ls1"/>
    <w:basedOn w:val="DefaultParagraphFont"/>
    <w:rsid w:val="004A7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30863">
      <w:bodyDiv w:val="1"/>
      <w:marLeft w:val="0"/>
      <w:marRight w:val="0"/>
      <w:marTop w:val="0"/>
      <w:marBottom w:val="0"/>
      <w:divBdr>
        <w:top w:val="none" w:sz="0" w:space="0" w:color="auto"/>
        <w:left w:val="none" w:sz="0" w:space="0" w:color="auto"/>
        <w:bottom w:val="none" w:sz="0" w:space="0" w:color="auto"/>
        <w:right w:val="none" w:sz="0" w:space="0" w:color="auto"/>
      </w:divBdr>
    </w:div>
    <w:div w:id="11865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 </cp:lastModifiedBy>
  <cp:revision>2</cp:revision>
  <cp:lastPrinted>2022-12-05T13:33:00Z</cp:lastPrinted>
  <dcterms:created xsi:type="dcterms:W3CDTF">2022-12-05T15:33:00Z</dcterms:created>
  <dcterms:modified xsi:type="dcterms:W3CDTF">2022-12-05T15:33:00Z</dcterms:modified>
</cp:coreProperties>
</file>