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6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Jared</w:t>
      </w:r>
      <w:r>
        <w:t xml:space="preserve"> </w:t>
      </w:r>
      <w:r>
        <w:t xml:space="preserve">Andreatta</w:t>
      </w:r>
    </w:p>
    <w:p>
      <w:pPr>
        <w:pStyle w:val="Date"/>
      </w:pPr>
      <w:r>
        <w:t xml:space="preserve">2025-03-30</w:t>
      </w:r>
    </w:p>
    <w:bookmarkStart w:id="20" w:name="problem-1"/>
    <w:p>
      <w:pPr>
        <w:pStyle w:val="Heading1"/>
      </w:pPr>
      <w:r>
        <w:t xml:space="preserve">Problem 1</w:t>
      </w:r>
    </w:p>
    <w:p>
      <w:pPr>
        <w:pStyle w:val="FirstParagraph"/>
      </w:pPr>
      <w:r>
        <w:t xml:space="preserve">The null hypotheses for the p-values is that the leading coefficient for</w:t>
      </w:r>
      <w:r>
        <w:t xml:space="preserve"> </w:t>
      </w:r>
      <w:r>
        <w:t xml:space="preserve">each variable is 0. Formally, we can write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sSub>
            <m:e>
              <m:r>
                <m:t>β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</m:oMath>
      <w:r>
        <w:t xml:space="preserve">. What we can inference off of this is how likely that</w:t>
      </w:r>
      <w:r>
        <w:t xml:space="preserve"> </w:t>
      </w:r>
      <w:r>
        <w:t xml:space="preserve">the coefficient of each variable is statistically significant (most</w:t>
      </w:r>
      <w:r>
        <w:t xml:space="preserve"> </w:t>
      </w:r>
      <w:r>
        <w:t xml:space="preserve">likely not equal to 0). The</w:t>
      </w:r>
      <w:r>
        <w:t xml:space="preserve"> </w:t>
      </w:r>
      <w:r>
        <w:t xml:space="preserve">, and</w:t>
      </w:r>
      <w:r>
        <w:t xml:space="preserve"> </w:t>
      </w:r>
      <w:r>
        <w:t xml:space="preserve"> </w:t>
      </w:r>
      <w:r>
        <w:t xml:space="preserve">all</w:t>
      </w:r>
      <w:r>
        <w:t xml:space="preserve"> </w:t>
      </w:r>
      <w:r>
        <w:t xml:space="preserve">have negligibly small p-values, meaning that there is a very low</w:t>
      </w:r>
      <w:r>
        <w:t xml:space="preserve"> </w:t>
      </w:r>
      <w:r>
        <w:t xml:space="preserve">likelihood of their corresponding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0, meaning that we can</w:t>
      </w:r>
      <w:r>
        <w:t xml:space="preserve"> </w:t>
      </w:r>
      <w:r>
        <w:t xml:space="preserve">reject the null hypothesis with &gt;99% confidence. The</w:t>
      </w:r>
      <w:r>
        <w:t xml:space="preserve"> </w:t>
      </w:r>
      <w:r>
        <w:t xml:space="preserve"> </w:t>
      </w:r>
      <w:r>
        <w:t xml:space="preserve">variable, however, has a p-value of 0.8599, meaning that the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corresponding to</w:t>
      </w:r>
      <w:r>
        <w:t xml:space="preserve"> </w:t>
      </w:r>
      <w:r>
        <w:t xml:space="preserve"> </w:t>
      </w:r>
      <w:r>
        <w:t xml:space="preserve">is likely 0, therefore we fail to</w:t>
      </w:r>
      <w:r>
        <w:t xml:space="preserve"> </w:t>
      </w:r>
      <w:r>
        <w:t xml:space="preserve">reject the null hypothesis that the coefficient estimate is 0.</w:t>
      </w:r>
    </w:p>
    <w:bookmarkEnd w:id="20"/>
    <w:bookmarkStart w:id="21" w:name="problem-7"/>
    <w:p>
      <w:pPr>
        <w:pStyle w:val="Heading1"/>
      </w:pPr>
      <w:r>
        <w:t xml:space="preserve">Problem 7</w:t>
      </w:r>
    </w:p>
    <w:bookmarkEnd w:id="21"/>
    <w:bookmarkStart w:id="35" w:name="problem-8"/>
    <w:p>
      <w:pPr>
        <w:pStyle w:val="Heading1"/>
      </w:pPr>
      <w:r>
        <w:t xml:space="preserve">Problem 8</w:t>
      </w:r>
    </w:p>
    <w:bookmarkStart w:id="26" w:name="a."/>
    <w:p>
      <w:pPr>
        <w:pStyle w:val="Heading2"/>
      </w:pPr>
      <w:r>
        <w:t xml:space="preserve">a.</w:t>
      </w:r>
    </w:p>
    <w:bookmarkStart w:id="22" w:name="i."/>
    <w:p>
      <w:pPr>
        <w:pStyle w:val="Heading3"/>
      </w:pPr>
      <w:r>
        <w:t xml:space="preserve">i.</w:t>
      </w:r>
    </w:p>
    <w:p>
      <w:pPr>
        <w:pStyle w:val="FirstParagraph"/>
      </w:pPr>
      <w:r>
        <w:t xml:space="preserve">There is a statistically significant relationship between the predictor</w:t>
      </w:r>
      <w:r>
        <w:t xml:space="preserve"> </w:t>
      </w:r>
      <w:r>
        <w:t xml:space="preserve">and the response.</w:t>
      </w:r>
    </w:p>
    <w:bookmarkEnd w:id="22"/>
    <w:bookmarkStart w:id="23" w:name="ii."/>
    <w:p>
      <w:pPr>
        <w:pStyle w:val="Heading3"/>
      </w:pPr>
      <w:r>
        <w:t xml:space="preserve">ii.</w:t>
      </w:r>
    </w:p>
    <w:p>
      <w:pPr>
        <w:pStyle w:val="FirstParagraph"/>
      </w:pPr>
      <w:r>
        <w:t xml:space="preserve">The horsepower coefficient estimate is -0.157845, meaning that, on</w:t>
      </w:r>
      <w:r>
        <w:t xml:space="preserve"> </w:t>
      </w:r>
      <w:r>
        <w:t xml:space="preserve">average, for every increase in 1 HP, we expect a .157845 decrease in</w:t>
      </w:r>
      <w:r>
        <w:t xml:space="preserve"> </w:t>
      </w:r>
      <w:r>
        <w:t xml:space="preserve">MPG.</w:t>
      </w:r>
    </w:p>
    <w:bookmarkEnd w:id="23"/>
    <w:bookmarkStart w:id="24" w:name="iii."/>
    <w:p>
      <w:pPr>
        <w:pStyle w:val="Heading3"/>
      </w:pPr>
      <w:r>
        <w:t xml:space="preserve">iii.</w:t>
      </w:r>
    </w:p>
    <w:p>
      <w:pPr>
        <w:pStyle w:val="FirstParagraph"/>
      </w:pPr>
      <w:r>
        <w:t xml:space="preserve">The relationship is negative; as horsepower increases, we expect</w:t>
      </w:r>
      <w:r>
        <w:t xml:space="preserve"> </w:t>
      </w:r>
      <w:r>
        <w:t xml:space="preserve">decreases in MPG.</w:t>
      </w:r>
    </w:p>
    <w:bookmarkEnd w:id="24"/>
    <w:bookmarkStart w:id="25" w:name="iv."/>
    <w:p>
      <w:pPr>
        <w:pStyle w:val="Heading3"/>
      </w:pPr>
      <w:r>
        <w:t xml:space="preserve">iv.</w:t>
      </w:r>
    </w:p>
    <w:p>
      <w:pPr>
        <w:pStyle w:val="FirstParagraph"/>
      </w:pPr>
      <w:r>
        <w:t xml:space="preserve">The estimated MPG of a car with 98 horsepower is 24.4670. The 95%</w:t>
      </w:r>
      <w:r>
        <w:t xml:space="preserve"> </w:t>
      </w:r>
      <w:r>
        <w:t xml:space="preserve">confidence interval is [24.46708 23.97308 24.96108] and the 95%</w:t>
      </w:r>
      <w:r>
        <w:t xml:space="preserve"> </w:t>
      </w:r>
      <w:r>
        <w:t xml:space="preserve">prediction interval is [24.46708 14.8094 34.12476].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</w:p>
    <w:p>
      <w:pPr>
        <w:pStyle w:val="SourceCode"/>
      </w:pPr>
      <w:r>
        <w:rPr>
          <w:rStyle w:val="VerbatimChar"/>
        </w:rPr>
        <w:t xml:space="preserve">## Warning: package 'ISLR2' was built under R version 4.4.3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</w:t>
      </w:r>
      <w:r>
        <w:br/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horsepower,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horsepower,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-13.5710  -3.2592  -0.3435   2.7630  16.9240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39.935861   0.717499   55.66   &lt;2e-16 ***</w:t>
      </w:r>
      <w:r>
        <w:br/>
      </w:r>
      <w:r>
        <w:rPr>
          <w:rStyle w:val="VerbatimChar"/>
        </w:rPr>
        <w:t xml:space="preserve">## horsepower  -0.157845   0.006446  -24.49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4.906 on 390 degrees of freedom</w:t>
      </w:r>
      <w:r>
        <w:br/>
      </w:r>
      <w:r>
        <w:rPr>
          <w:rStyle w:val="VerbatimChar"/>
        </w:rPr>
        <w:t xml:space="preserve">## Multiple R-squared:  0.6059, Adjusted R-squared:  0.6049 </w:t>
      </w:r>
      <w:r>
        <w:br/>
      </w:r>
      <w:r>
        <w:rPr>
          <w:rStyle w:val="VerbatimChar"/>
        </w:rPr>
        <w:t xml:space="preserve">## F-statistic: 599.7 on 1 and 390 DF,  p-value: &lt; 2.2e-16</w:t>
      </w:r>
    </w:p>
    <w:p>
      <w:pPr>
        <w:pStyle w:val="SourceCode"/>
      </w:pPr>
      <w:r>
        <w:rPr>
          <w:rStyle w:val="CommentTok"/>
        </w:rPr>
        <w:t xml:space="preserve">#iv. </w:t>
      </w:r>
      <w:r>
        <w:br/>
      </w:r>
      <w:r>
        <w:rPr>
          <w:rStyle w:val="NormalTok"/>
        </w:rPr>
        <w:t xml:space="preserve">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Estimating for 98 HP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(est)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 24.46708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horsepower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Prediction intervals</w:t>
      </w:r>
    </w:p>
    <w:p>
      <w:pPr>
        <w:pStyle w:val="SourceCode"/>
      </w:pPr>
      <w:r>
        <w:rPr>
          <w:rStyle w:val="VerbatimChar"/>
        </w:rPr>
        <w:t xml:space="preserve">##        fit     lwr      upr</w:t>
      </w:r>
      <w:r>
        <w:br/>
      </w:r>
      <w:r>
        <w:rPr>
          <w:rStyle w:val="VerbatimChar"/>
        </w:rPr>
        <w:t xml:space="preserve">## 1 24.46708 14.8094 34.12476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horsepower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Confidence intervals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24.46708 23.97308 24.96108</w:t>
      </w:r>
    </w:p>
    <w:bookmarkEnd w:id="25"/>
    <w:bookmarkEnd w:id="26"/>
    <w:bookmarkStart w:id="30" w:name="b."/>
    <w:p>
      <w:pPr>
        <w:pStyle w:val="Heading2"/>
      </w:pPr>
      <w:r>
        <w:t xml:space="preserve">b.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horsepower,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"Horsepower"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 vs. HP"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coef=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HW3_files/figure-docx/unnamed-chunk-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c."/>
    <w:p>
      <w:pPr>
        <w:pStyle w:val="Heading2"/>
      </w:pPr>
      <w:r>
        <w:t xml:space="preserve">c.</w:t>
      </w:r>
    </w:p>
    <w:p>
      <w:pPr>
        <w:pStyle w:val="FirstParagraph"/>
      </w:pPr>
      <w:r>
        <w:t xml:space="preserve">A problem easily noticeable, both from the diagnostic plots and the</w:t>
      </w:r>
      <w:r>
        <w:t xml:space="preserve"> </w:t>
      </w:r>
      <w:r>
        <w:t xml:space="preserve">regression plot, is that the linear specification does not quite provide</w:t>
      </w:r>
      <w:r>
        <w:t xml:space="preserve"> </w:t>
      </w:r>
      <w:r>
        <w:t xml:space="preserve">the best estimate of the data. Nonlinearity is inferred from the shape</w:t>
      </w:r>
      <w:r>
        <w:t xml:space="preserve"> </w:t>
      </w:r>
      <w:r>
        <w:t xml:space="preserve">of the residuals vs fitted scatterplot, and also the general shape of</w:t>
      </w:r>
      <w:r>
        <w:t xml:space="preserve"> </w:t>
      </w:r>
      <w:r>
        <w:t xml:space="preserve">the scatterplot of MPG vs. HP, so a possible improvement of the model</w:t>
      </w:r>
      <w:r>
        <w:t xml:space="preserve"> </w:t>
      </w:r>
      <w:r>
        <w:t xml:space="preserve">could be to add a quadratic term to better capture that nonlinearity.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HW3_files/figure-docx/unnamed-chunk-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49" w:name="problem-9"/>
    <w:p>
      <w:pPr>
        <w:pStyle w:val="Heading1"/>
      </w:pPr>
      <w:r>
        <w:t xml:space="preserve">Problem 9</w:t>
      </w:r>
    </w:p>
    <w:bookmarkStart w:id="39" w:name="a.-1"/>
    <w:p>
      <w:pPr>
        <w:pStyle w:val="Heading2"/>
      </w:pPr>
      <w:r>
        <w:t xml:space="preserve">a.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HW3_files/figure-docx/unnamed-chunk-4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b.-1"/>
    <w:p>
      <w:pPr>
        <w:pStyle w:val="Heading2"/>
      </w:pPr>
      <w:r>
        <w:t xml:space="preserve">b.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"mpg"          "cylinders"    "displacement" "horsepower"   "weight"      </w:t>
      </w:r>
      <w:r>
        <w:br/>
      </w:r>
      <w:r>
        <w:rPr>
          <w:rStyle w:val="VerbatimChar"/>
        </w:rPr>
        <w:t xml:space="preserve">## [6] "acceleration" "year"         "origin"       "name"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   mpg  cylinders displacement horsepower     weight</w:t>
      </w:r>
      <w:r>
        <w:br/>
      </w:r>
      <w:r>
        <w:rPr>
          <w:rStyle w:val="VerbatimChar"/>
        </w:rPr>
        <w:t xml:space="preserve">## mpg           1.0000000 -0.7776175   -0.8051269 -0.7784268 -0.8322442</w:t>
      </w:r>
      <w:r>
        <w:br/>
      </w:r>
      <w:r>
        <w:rPr>
          <w:rStyle w:val="VerbatimChar"/>
        </w:rPr>
        <w:t xml:space="preserve">## cylinders    -0.7776175  1.0000000    0.9508233  0.8429834  0.8975273</w:t>
      </w:r>
      <w:r>
        <w:br/>
      </w:r>
      <w:r>
        <w:rPr>
          <w:rStyle w:val="VerbatimChar"/>
        </w:rPr>
        <w:t xml:space="preserve">## displacement -0.8051269  0.9508233    1.0000000  0.8972570  0.9329944</w:t>
      </w:r>
      <w:r>
        <w:br/>
      </w:r>
      <w:r>
        <w:rPr>
          <w:rStyle w:val="VerbatimChar"/>
        </w:rPr>
        <w:t xml:space="preserve">## horsepower   -0.7784268  0.8429834    0.8972570  1.0000000  0.8645377</w:t>
      </w:r>
      <w:r>
        <w:br/>
      </w:r>
      <w:r>
        <w:rPr>
          <w:rStyle w:val="VerbatimChar"/>
        </w:rPr>
        <w:t xml:space="preserve">## weight       -0.8322442  0.8975273    0.9329944  0.8645377  1.0000000</w:t>
      </w:r>
      <w:r>
        <w:br/>
      </w:r>
      <w:r>
        <w:rPr>
          <w:rStyle w:val="VerbatimChar"/>
        </w:rPr>
        <w:t xml:space="preserve">## acceleration  0.4233285 -0.5046834   -0.5438005 -0.6891955 -0.4168392</w:t>
      </w:r>
      <w:r>
        <w:br/>
      </w:r>
      <w:r>
        <w:rPr>
          <w:rStyle w:val="VerbatimChar"/>
        </w:rPr>
        <w:t xml:space="preserve">## year          0.5805410 -0.3456474   -0.3698552 -0.4163615 -0.3091199</w:t>
      </w:r>
      <w:r>
        <w:br/>
      </w:r>
      <w:r>
        <w:rPr>
          <w:rStyle w:val="VerbatimChar"/>
        </w:rPr>
        <w:t xml:space="preserve">## origin        0.5652088 -0.5689316   -0.6145351 -0.4551715 -0.5850054</w:t>
      </w:r>
      <w:r>
        <w:br/>
      </w:r>
      <w:r>
        <w:rPr>
          <w:rStyle w:val="VerbatimChar"/>
        </w:rPr>
        <w:t xml:space="preserve">##              acceleration       year     origin</w:t>
      </w:r>
      <w:r>
        <w:br/>
      </w:r>
      <w:r>
        <w:rPr>
          <w:rStyle w:val="VerbatimChar"/>
        </w:rPr>
        <w:t xml:space="preserve">## mpg             0.4233285  0.5805410  0.5652088</w:t>
      </w:r>
      <w:r>
        <w:br/>
      </w:r>
      <w:r>
        <w:rPr>
          <w:rStyle w:val="VerbatimChar"/>
        </w:rPr>
        <w:t xml:space="preserve">## cylinders      -0.5046834 -0.3456474 -0.5689316</w:t>
      </w:r>
      <w:r>
        <w:br/>
      </w:r>
      <w:r>
        <w:rPr>
          <w:rStyle w:val="VerbatimChar"/>
        </w:rPr>
        <w:t xml:space="preserve">## displacement   -0.5438005 -0.3698552 -0.6145351</w:t>
      </w:r>
      <w:r>
        <w:br/>
      </w:r>
      <w:r>
        <w:rPr>
          <w:rStyle w:val="VerbatimChar"/>
        </w:rPr>
        <w:t xml:space="preserve">## horsepower     -0.6891955 -0.4163615 -0.4551715</w:t>
      </w:r>
      <w:r>
        <w:br/>
      </w:r>
      <w:r>
        <w:rPr>
          <w:rStyle w:val="VerbatimChar"/>
        </w:rPr>
        <w:t xml:space="preserve">## weight         -0.4168392 -0.3091199 -0.5850054</w:t>
      </w:r>
      <w:r>
        <w:br/>
      </w:r>
      <w:r>
        <w:rPr>
          <w:rStyle w:val="VerbatimChar"/>
        </w:rPr>
        <w:t xml:space="preserve">## acceleration    1.0000000  0.2903161  0.2127458</w:t>
      </w:r>
      <w:r>
        <w:br/>
      </w:r>
      <w:r>
        <w:rPr>
          <w:rStyle w:val="VerbatimChar"/>
        </w:rPr>
        <w:t xml:space="preserve">## year            0.2903161  1.0000000  0.1815277</w:t>
      </w:r>
      <w:r>
        <w:br/>
      </w:r>
      <w:r>
        <w:rPr>
          <w:rStyle w:val="VerbatimChar"/>
        </w:rPr>
        <w:t xml:space="preserve">## origin          0.2127458  0.1815277  1.0000000</w:t>
      </w:r>
    </w:p>
    <w:bookmarkEnd w:id="40"/>
    <w:bookmarkStart w:id="44" w:name="c.-1"/>
    <w:p>
      <w:pPr>
        <w:pStyle w:val="Heading2"/>
      </w:pPr>
      <w:r>
        <w:t xml:space="preserve">c.</w:t>
      </w:r>
    </w:p>
    <w:bookmarkStart w:id="41" w:name="i.-1"/>
    <w:p>
      <w:pPr>
        <w:pStyle w:val="Heading3"/>
      </w:pPr>
      <w:r>
        <w:t xml:space="preserve">i.</w:t>
      </w:r>
    </w:p>
    <w:p>
      <w:pPr>
        <w:pStyle w:val="FirstParagraph"/>
      </w:pPr>
      <w:r>
        <w:t xml:space="preserve">Yes, there is a statistically significant relationship between the</w:t>
      </w:r>
      <w:r>
        <w:t xml:space="preserve"> </w:t>
      </w:r>
      <w:r>
        <w:t xml:space="preserve">response and the predictors.</w:t>
      </w:r>
    </w:p>
    <w:bookmarkEnd w:id="41"/>
    <w:bookmarkStart w:id="42" w:name="ii.-1"/>
    <w:p>
      <w:pPr>
        <w:pStyle w:val="Heading3"/>
      </w:pPr>
      <w:r>
        <w:t xml:space="preserve">ii.</w:t>
      </w:r>
    </w:p>
    <w:p>
      <w:pPr>
        <w:pStyle w:val="FirstParagraph"/>
      </w:pPr>
      <w:r>
        <w:t xml:space="preserve">The predictors that have a statistically significant relationship are</w:t>
      </w:r>
      <w:r>
        <w:t xml:space="preserve"> </w:t>
      </w:r>
      <w:r>
        <w:rPr>
          <w:b/>
          <w:bCs/>
        </w:rPr>
        <w:t xml:space="preserve">displacement, weight, year,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origin</w:t>
      </w:r>
      <w:r>
        <w:t xml:space="preserve"> </w:t>
      </w:r>
      <w:r>
        <w:t xml:space="preserve">(and the</w:t>
      </w:r>
      <w:r>
        <w:t xml:space="preserve"> </w:t>
      </w:r>
      <w:r>
        <w:rPr>
          <w:b/>
          <w:bCs/>
        </w:rPr>
        <w:t xml:space="preserve">Intercept</w:t>
      </w:r>
      <w:r>
        <w:t xml:space="preserve">).</w:t>
      </w:r>
    </w:p>
    <w:bookmarkEnd w:id="42"/>
    <w:bookmarkStart w:id="43" w:name="iii.-1"/>
    <w:p>
      <w:pPr>
        <w:pStyle w:val="Heading3"/>
      </w:pPr>
      <w:r>
        <w:t xml:space="preserve">iii.</w:t>
      </w:r>
    </w:p>
    <w:p>
      <w:pPr>
        <w:pStyle w:val="FirstParagraph"/>
      </w:pPr>
      <w:r>
        <w:t xml:space="preserve">The year coefficient suggests that for every increase in year, we expect</w:t>
      </w:r>
      <w:r>
        <w:t xml:space="preserve"> </w:t>
      </w:r>
      <w:r>
        <w:t xml:space="preserve">a .751 increase in mpg of the car on average. From this, we can infer</w:t>
      </w:r>
      <w:r>
        <w:t xml:space="preserve"> </w:t>
      </w:r>
      <w:r>
        <w:t xml:space="preserve">that newer cars tend to have better gas mileage than older cars.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name,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. - name,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-9.5903 -2.1565 -0.1169  1.8690 13.0604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-17.218435   4.644294  -3.707  0.00024 ***</w:t>
      </w:r>
      <w:r>
        <w:br/>
      </w:r>
      <w:r>
        <w:rPr>
          <w:rStyle w:val="VerbatimChar"/>
        </w:rPr>
        <w:t xml:space="preserve">## cylinders     -0.493376   0.323282  -1.526  0.12780    </w:t>
      </w:r>
      <w:r>
        <w:br/>
      </w:r>
      <w:r>
        <w:rPr>
          <w:rStyle w:val="VerbatimChar"/>
        </w:rPr>
        <w:t xml:space="preserve">## displacement   0.019896   0.007515   2.647  0.00844 ** </w:t>
      </w:r>
      <w:r>
        <w:br/>
      </w:r>
      <w:r>
        <w:rPr>
          <w:rStyle w:val="VerbatimChar"/>
        </w:rPr>
        <w:t xml:space="preserve">## horsepower    -0.016951   0.013787  -1.230  0.21963    </w:t>
      </w:r>
      <w:r>
        <w:br/>
      </w:r>
      <w:r>
        <w:rPr>
          <w:rStyle w:val="VerbatimChar"/>
        </w:rPr>
        <w:t xml:space="preserve">## weight        -0.006474   0.000652  -9.929  &lt; 2e-16 ***</w:t>
      </w:r>
      <w:r>
        <w:br/>
      </w:r>
      <w:r>
        <w:rPr>
          <w:rStyle w:val="VerbatimChar"/>
        </w:rPr>
        <w:t xml:space="preserve">## acceleration   0.080576   0.098845   0.815  0.41548    </w:t>
      </w:r>
      <w:r>
        <w:br/>
      </w:r>
      <w:r>
        <w:rPr>
          <w:rStyle w:val="VerbatimChar"/>
        </w:rPr>
        <w:t xml:space="preserve">## year           0.750773   0.050973  14.729  &lt; 2e-16 ***</w:t>
      </w:r>
      <w:r>
        <w:br/>
      </w:r>
      <w:r>
        <w:rPr>
          <w:rStyle w:val="VerbatimChar"/>
        </w:rPr>
        <w:t xml:space="preserve">## origin         1.426141   0.278136   5.127 4.67e-07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3.328 on 384 degrees of freedom</w:t>
      </w:r>
      <w:r>
        <w:br/>
      </w:r>
      <w:r>
        <w:rPr>
          <w:rStyle w:val="VerbatimChar"/>
        </w:rPr>
        <w:t xml:space="preserve">## Multiple R-squared:  0.8215, Adjusted R-squared:  0.8182 </w:t>
      </w:r>
      <w:r>
        <w:br/>
      </w:r>
      <w:r>
        <w:rPr>
          <w:rStyle w:val="VerbatimChar"/>
        </w:rPr>
        <w:t xml:space="preserve">## F-statistic: 252.4 on 7 and 384 DF,  p-value: &lt; 2.2e-16</w:t>
      </w:r>
    </w:p>
    <w:bookmarkEnd w:id="43"/>
    <w:bookmarkEnd w:id="44"/>
    <w:bookmarkStart w:id="48" w:name="d."/>
    <w:p>
      <w:pPr>
        <w:pStyle w:val="Heading2"/>
      </w:pPr>
      <w:r>
        <w:t xml:space="preserve">d.</w:t>
      </w:r>
    </w:p>
    <w:p>
      <w:pPr>
        <w:pStyle w:val="FirstParagraph"/>
      </w:pPr>
      <w:r>
        <w:t xml:space="preserve">The Q-Q plot mostly follows along the line trend up until the second</w:t>
      </w:r>
      <w:r>
        <w:t xml:space="preserve"> </w:t>
      </w:r>
      <w:r>
        <w:t xml:space="preserve">quantile, where the variance of the standardized residuals start to</w:t>
      </w:r>
      <w:r>
        <w:t xml:space="preserve"> </w:t>
      </w:r>
      <w:r>
        <w:t xml:space="preserve">increase, which can also be seen in the residuals vs fitted. This</w:t>
      </w:r>
      <w:r>
        <w:t xml:space="preserve"> </w:t>
      </w:r>
      <w:r>
        <w:t xml:space="preserve">indicates that the model provides a weaker fit for cars with high mpg.</w:t>
      </w:r>
    </w:p>
    <w:p>
      <w:pPr>
        <w:pStyle w:val="BodyText"/>
      </w:pPr>
      <w:r>
        <w:t xml:space="preserve">There doesn’t seem to be any extreme outliers, though it does seem that</w:t>
      </w:r>
      <w:r>
        <w:t xml:space="preserve"> </w:t>
      </w:r>
      <w:r>
        <w:t xml:space="preserve">the standard errors seem to be heteroskeadastic.</w:t>
      </w:r>
    </w:p>
    <w:p>
      <w:pPr>
        <w:pStyle w:val="BodyText"/>
      </w:pPr>
      <w:r>
        <w:t xml:space="preserve">From the leverage plot, there is clear evidence of an observation with</w:t>
      </w:r>
      <w:r>
        <w:t xml:space="preserve"> </w:t>
      </w:r>
      <w:r>
        <w:t xml:space="preserve">extreme leverage.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W3_files/figure-docx/unnamed-chunk-7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bookmarkStart w:id="53" w:name="problem-12"/>
    <w:p>
      <w:pPr>
        <w:pStyle w:val="Heading1"/>
      </w:pPr>
      <w:r>
        <w:t xml:space="preserve">Problem 12</w:t>
      </w:r>
    </w:p>
    <w:bookmarkStart w:id="50" w:name="a.-2"/>
    <w:p>
      <w:pPr>
        <w:pStyle w:val="Heading2"/>
      </w:pPr>
      <w:r>
        <w:t xml:space="preserve">a.</w:t>
      </w:r>
    </w:p>
    <w:p>
      <w:pPr>
        <w:pStyle w:val="FirstParagraph"/>
      </w:pPr>
      <w:r>
        <w:t xml:space="preserve">The coefficient estimate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is equal when we regress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onto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as when we regress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onto</w:t>
      </w:r>
      <w:r>
        <w:t xml:space="preserve"> </w:t>
      </w:r>
      <m:oMath>
        <m:r>
          <m:t>X</m:t>
        </m:r>
      </m:oMath>
      <w:r>
        <w:t xml:space="preserve">. We can use equation (3.38) to show</w:t>
      </w:r>
      <w:r>
        <w:t xml:space="preserve"> </w:t>
      </w:r>
      <w:r>
        <w:t xml:space="preserve">this. Note that I will use linear algebra notation, as it is easier to</w:t>
      </w:r>
      <w:r>
        <w:t xml:space="preserve"> </w:t>
      </w:r>
      <w:r>
        <w:t xml:space="preserve">read (in my opinion). The estimate for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when we regress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onto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β</m:t>
              </m:r>
            </m:e>
          </m:acc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Equivalently, when we regress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onto</w:t>
      </w:r>
      <w:r>
        <w:t xml:space="preserve"> </w:t>
      </w:r>
      <m:oMath>
        <m:r>
          <m:t>X</m:t>
        </m:r>
      </m:oMath>
      <w:r>
        <w:t xml:space="preserve">, the estimate is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β</m:t>
              </m:r>
            </m:e>
          </m:acc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Y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Y</m:t>
              </m:r>
            </m:e>
            <m:sup>
              <m:r>
                <m:t>T</m:t>
              </m:r>
            </m:sup>
          </m:sSup>
          <m:r>
            <m:t>X</m:t>
          </m:r>
        </m:oMath>
      </m:oMathPara>
    </w:p>
    <w:p>
      <w:pPr>
        <w:pStyle w:val="FirstParagraph"/>
      </w:pPr>
      <w:r>
        <w:t xml:space="preserve">We set these equal to each other and find</w:t>
      </w:r>
    </w:p>
    <w:p>
      <w:pPr>
        <w:pStyle w:val="BodyText"/>
      </w:pPr>
    </w:p>
    <w:bookmarkEnd w:id="50"/>
    <w:bookmarkStart w:id="51" w:name="b.-2"/>
    <w:p>
      <w:pPr>
        <w:pStyle w:val="Heading2"/>
      </w:pPr>
      <w:r>
        <w:t xml:space="preserve">b.</w:t>
      </w:r>
    </w:p>
    <w:p>
      <w:pPr>
        <w:pStyle w:val="SourceCode"/>
      </w:pPr>
      <w:r>
        <w:rPr>
          <w:rStyle w:val="CommentTok"/>
        </w:rPr>
        <w:t xml:space="preserve"># Simplest case. Both X and Y are 100x1 random vectors with mean 0 and variance sigma^2. X!=Y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(fitX)</w:t>
      </w:r>
    </w:p>
    <w:p>
      <w:pPr>
        <w:pStyle w:val="SourceCode"/>
      </w:pPr>
      <w:r>
        <w:rPr>
          <w:rStyle w:val="VerbatimChar"/>
        </w:rPr>
        <w:t xml:space="preserve">##          X </w:t>
      </w:r>
      <w:r>
        <w:br/>
      </w:r>
      <w:r>
        <w:rPr>
          <w:rStyle w:val="VerbatimChar"/>
        </w:rPr>
        <w:t xml:space="preserve">## 0.05889304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(fitY)</w:t>
      </w:r>
    </w:p>
    <w:p>
      <w:pPr>
        <w:pStyle w:val="SourceCode"/>
      </w:pPr>
      <w:r>
        <w:rPr>
          <w:rStyle w:val="VerbatimChar"/>
        </w:rPr>
        <w:t xml:space="preserve">##          Y </w:t>
      </w:r>
      <w:r>
        <w:br/>
      </w:r>
      <w:r>
        <w:rPr>
          <w:rStyle w:val="VerbatimChar"/>
        </w:rPr>
        <w:t xml:space="preserve">## 0.07358347</w:t>
      </w:r>
    </w:p>
    <w:bookmarkEnd w:id="51"/>
    <w:bookmarkStart w:id="52" w:name="c.-2"/>
    <w:p>
      <w:pPr>
        <w:pStyle w:val="Heading2"/>
      </w:pPr>
      <w:r>
        <w:t xml:space="preserve">c.</w:t>
      </w:r>
    </w:p>
    <w:p>
      <w:pPr>
        <w:pStyle w:val="SourceCode"/>
      </w:pPr>
      <w:r>
        <w:rPr>
          <w:rStyle w:val="CommentTok"/>
        </w:rPr>
        <w:t xml:space="preserve"># Simplest Case: X is a randon 100x1 vector with mean 0 and variance sigma^2. In this case, Y=X.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fitX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(fitX)</w:t>
      </w:r>
    </w:p>
    <w:p>
      <w:pPr>
        <w:pStyle w:val="SourceCode"/>
      </w:pPr>
      <w:r>
        <w:rPr>
          <w:rStyle w:val="VerbatimChar"/>
        </w:rPr>
        <w:t xml:space="preserve">## X </w:t>
      </w:r>
      <w:r>
        <w:br/>
      </w:r>
      <w:r>
        <w:rPr>
          <w:rStyle w:val="VerbatimChar"/>
        </w:rPr>
        <w:t xml:space="preserve">## 1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(fitY)</w:t>
      </w:r>
    </w:p>
    <w:p>
      <w:pPr>
        <w:pStyle w:val="SourceCode"/>
      </w:pPr>
      <w:r>
        <w:rPr>
          <w:rStyle w:val="VerbatimChar"/>
        </w:rPr>
        <w:t xml:space="preserve">## Y </w:t>
      </w:r>
      <w:r>
        <w:br/>
      </w:r>
      <w:r>
        <w:rPr>
          <w:rStyle w:val="VerbatimChar"/>
        </w:rPr>
        <w:t xml:space="preserve">## 1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3</dc:title>
  <dc:creator>Jared Andreatta</dc:creator>
  <cp:keywords/>
  <dcterms:created xsi:type="dcterms:W3CDTF">2025-03-31T02:44:54Z</dcterms:created>
  <dcterms:modified xsi:type="dcterms:W3CDTF">2025-03-31T02:44:54Z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2025-03-30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