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F99A" w14:textId="77777777" w:rsidR="00104DB3" w:rsidRDefault="00104DB3" w:rsidP="00104DB3">
      <w:pPr>
        <w:jc w:val="center"/>
        <w:rPr>
          <w:rFonts w:ascii="Times New Roman" w:hAnsi="Times New Roman" w:cs="Times New Roman"/>
        </w:rPr>
      </w:pPr>
    </w:p>
    <w:p w14:paraId="1F4A0E85" w14:textId="77777777" w:rsidR="00104DB3" w:rsidRDefault="00104DB3" w:rsidP="00104DB3">
      <w:pPr>
        <w:jc w:val="center"/>
        <w:rPr>
          <w:rFonts w:ascii="Times New Roman" w:hAnsi="Times New Roman" w:cs="Times New Roman"/>
        </w:rPr>
      </w:pPr>
    </w:p>
    <w:p w14:paraId="0226A1B8" w14:textId="77777777" w:rsidR="00104DB3" w:rsidRDefault="00104DB3" w:rsidP="00104DB3">
      <w:pPr>
        <w:jc w:val="center"/>
        <w:rPr>
          <w:rFonts w:ascii="Times New Roman" w:hAnsi="Times New Roman" w:cs="Times New Roman"/>
        </w:rPr>
      </w:pPr>
    </w:p>
    <w:p w14:paraId="44BAD035" w14:textId="77777777" w:rsidR="00104DB3" w:rsidRDefault="00104DB3" w:rsidP="00104DB3">
      <w:pPr>
        <w:jc w:val="center"/>
        <w:rPr>
          <w:rFonts w:ascii="Times New Roman" w:hAnsi="Times New Roman" w:cs="Times New Roman"/>
        </w:rPr>
      </w:pPr>
    </w:p>
    <w:p w14:paraId="1BAF85DD" w14:textId="77777777" w:rsidR="00104DB3" w:rsidRDefault="00104DB3" w:rsidP="00104DB3">
      <w:pPr>
        <w:jc w:val="center"/>
        <w:rPr>
          <w:rFonts w:ascii="Times New Roman" w:hAnsi="Times New Roman" w:cs="Times New Roman"/>
        </w:rPr>
      </w:pPr>
    </w:p>
    <w:p w14:paraId="5D652CE3" w14:textId="4DD26668" w:rsidR="00104DB3" w:rsidRPr="00104DB3" w:rsidRDefault="00104DB3" w:rsidP="00104DB3">
      <w:pPr>
        <w:jc w:val="center"/>
        <w:rPr>
          <w:rFonts w:ascii="Times New Roman" w:hAnsi="Times New Roman" w:cs="Times New Roman"/>
        </w:rPr>
      </w:pPr>
      <w:r w:rsidRPr="00104DB3">
        <w:rPr>
          <w:rFonts w:ascii="Times New Roman" w:hAnsi="Times New Roman" w:cs="Times New Roman"/>
        </w:rPr>
        <w:t>MAE 575 Term Paper</w:t>
      </w:r>
    </w:p>
    <w:p w14:paraId="64A7B5D1" w14:textId="00DAC6C6" w:rsidR="00104DB3" w:rsidRPr="00104DB3" w:rsidRDefault="00104DB3" w:rsidP="00104DB3">
      <w:pPr>
        <w:jc w:val="center"/>
        <w:rPr>
          <w:rFonts w:ascii="Times New Roman" w:hAnsi="Times New Roman" w:cs="Times New Roman"/>
        </w:rPr>
      </w:pPr>
      <w:r w:rsidRPr="00104DB3">
        <w:rPr>
          <w:rFonts w:ascii="Times New Roman" w:hAnsi="Times New Roman" w:cs="Times New Roman"/>
        </w:rPr>
        <w:t>Jared Brinkley</w:t>
      </w:r>
    </w:p>
    <w:p w14:paraId="2F462CAB" w14:textId="63965E02" w:rsidR="00104DB3" w:rsidRDefault="00104DB3" w:rsidP="00104DB3">
      <w:pPr>
        <w:jc w:val="center"/>
        <w:rPr>
          <w:rFonts w:ascii="Times New Roman" w:hAnsi="Times New Roman" w:cs="Times New Roman"/>
        </w:rPr>
      </w:pPr>
      <w:r w:rsidRPr="00104DB3">
        <w:rPr>
          <w:rFonts w:ascii="Times New Roman" w:hAnsi="Times New Roman" w:cs="Times New Roman"/>
        </w:rPr>
        <w:t>MM/DD/YYYY</w:t>
      </w:r>
    </w:p>
    <w:p w14:paraId="1AA16119" w14:textId="77777777" w:rsidR="00104DB3" w:rsidRDefault="00104DB3">
      <w:pPr>
        <w:rPr>
          <w:rFonts w:ascii="Times New Roman" w:hAnsi="Times New Roman" w:cs="Times New Roman"/>
        </w:rPr>
      </w:pPr>
      <w:r>
        <w:rPr>
          <w:rFonts w:ascii="Times New Roman" w:hAnsi="Times New Roman" w:cs="Times New Roman"/>
        </w:rPr>
        <w:br w:type="page"/>
      </w:r>
    </w:p>
    <w:p w14:paraId="404562C1"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lastRenderedPageBreak/>
        <w:t>1. Introduction (≈0.75 page)</w:t>
      </w:r>
    </w:p>
    <w:p w14:paraId="40EA5FF4"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Frame the problem in terms of propulsion efficiency limits under high-speed flight. Establish that conventional combustors are fundamentally constrained by constant-pressure heat addition, and that emerging concepts attempt to exploit pressure-gain combustion. Introduce scramjets, PDE, and RDE as distinct implementations of high-speed or detonation-based combustion, and state that the central question is not only performance potential but the engineering barriers preventing practical deployment.</w:t>
      </w:r>
    </w:p>
    <w:p w14:paraId="7A6FE54F"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1750E669">
          <v:rect id="_x0000_i1025" style="width:0;height:1.5pt" o:hralign="center" o:hrstd="t" o:hr="t" fillcolor="#a0a0a0" stroked="f"/>
        </w:pict>
      </w:r>
    </w:p>
    <w:p w14:paraId="31BD0774"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t>2. Thermodynamic and Physical Basis for High-Efficiency Combustion (≈1 page)</w:t>
      </w:r>
    </w:p>
    <w:p w14:paraId="3BD3BB71"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Establish the governing distinction between deflagrative and detonative combustion. Discuss how scramjets operate within a Brayton-like framework with unavoidable total pressure losses, whereas PDE and RDE approximate constant-volume or pressure-gain cycles. Introduce the Humphrey/Fickett–Jacobs cycle as a conceptual upper bound. This section should quantitatively connect pressure rise, entropy generation, and cycle efficiency, not just describe them qualitatively.</w:t>
      </w:r>
    </w:p>
    <w:p w14:paraId="44CAB0C6"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15A413A7">
          <v:rect id="_x0000_i1026" style="width:0;height:1.5pt" o:hralign="center" o:hrstd="t" o:hr="t" fillcolor="#a0a0a0" stroked="f"/>
        </w:pict>
      </w:r>
    </w:p>
    <w:p w14:paraId="2EEC63CA"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t>3. Scramjet Combustors (≈1.75 pages)</w:t>
      </w:r>
    </w:p>
    <w:p w14:paraId="3DBCF747"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Describe supersonic combustion constraints: short residence time, high convective Mach number, and limited mixing. Cover canonical design strategies such as cavity flameholders, transverse injection, and strut-based fuel delivery. Then shift quickly to limitations: mixing-limited combustion efficiency, total pressure losses from shocks and heat release, and strong coupling between combustor performance and inlet conditions. Emphasize that scramjets are relatively mature experimentally but have a hard efficiency ceiling due to their thermodynamic cycle and mixing physics.</w:t>
      </w:r>
    </w:p>
    <w:p w14:paraId="15672FCB"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5292A869">
          <v:rect id="_x0000_i1027" style="width:0;height:1.5pt" o:hralign="center" o:hrstd="t" o:hr="t" fillcolor="#a0a0a0" stroked="f"/>
        </w:pict>
      </w:r>
    </w:p>
    <w:p w14:paraId="32A13FC9"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t>4. Pulse Detonation Engines (≈1.25 pages)</w:t>
      </w:r>
    </w:p>
    <w:p w14:paraId="6F18CEF8"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Explain the unsteady detonation cycle: fill, deflagration-to-detonation transition, blowdown, purge. Relate this to constant-volume combustion and higher theoretical efficiency. Then focus on bottlenecks: reliable and fast DDT, limited cycle frequency, valving and mechanical complexity, and difficulty integrating with continuous-flow inlets. The key point is that PDEs demonstrate the thermodynamic advantage clearly but fail at system-level practicality.</w:t>
      </w:r>
    </w:p>
    <w:p w14:paraId="25C8EED7"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5F53AD91">
          <v:rect id="_x0000_i1028" style="width:0;height:1.5pt" o:hralign="center" o:hrstd="t" o:hr="t" fillcolor="#a0a0a0" stroked="f"/>
        </w:pict>
      </w:r>
    </w:p>
    <w:p w14:paraId="287F7391"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t>5. Rotating Detonation Engines (≈2 pages)</w:t>
      </w:r>
    </w:p>
    <w:p w14:paraId="3C8143C3"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lastRenderedPageBreak/>
        <w:t>Introduce RDEs as a quasi-steady realization of detonation-based combustion. Describe annular geometry, continuous injection, and rotating wave structure. Discuss why they are considered a viable path to pressure-gain combustion in practical systems. Then focus on current limitations: wave stability and mode locking, injector backflow and coupling, extreme thermal and structural loading, and incomplete understanding of loss mechanisms. This section should be the most detailed, since RDEs are the current research frontier.</w:t>
      </w:r>
    </w:p>
    <w:p w14:paraId="4611719F"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28368352">
          <v:rect id="_x0000_i1029" style="width:0;height:1.5pt" o:hralign="center" o:hrstd="t" o:hr="t" fillcolor="#a0a0a0" stroked="f"/>
        </w:pict>
      </w:r>
    </w:p>
    <w:p w14:paraId="2640BC2D"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t>6. Emerging and Hybrid Concepts (≈0.75 page)</w:t>
      </w:r>
    </w:p>
    <w:p w14:paraId="1C7FD4E7"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Briefly treat combined-cycle systems (TBCC/RBCC), rotating detonation ramjets, and other hybrid architectures. The purpose is not depth but to show that no single combustor concept spans all flight regimes, and that integration across Mach number is a central design problem.</w:t>
      </w:r>
    </w:p>
    <w:p w14:paraId="6F17717D"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4E58ACFE">
          <v:rect id="_x0000_i1030" style="width:0;height:1.5pt" o:hralign="center" o:hrstd="t" o:hr="t" fillcolor="#a0a0a0" stroked="f"/>
        </w:pict>
      </w:r>
    </w:p>
    <w:p w14:paraId="7169C4DD"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t>7. Cross-Cutting Technological Bottlenecks (≈1.25 pages)</w:t>
      </w:r>
    </w:p>
    <w:p w14:paraId="01B24741"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Synthesize across all combustor types. Focus on four recurring constraints: mixing and injection physics, combustion stability (flameholding vs detonation stability), thermal/material limits, and modeling limitations in high-speed reacting flows. This section should explicitly compare how each bottleneck manifests differently in scramjets, PDE, and RDE, rather than listing them independently.</w:t>
      </w:r>
    </w:p>
    <w:p w14:paraId="2F642A8F"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3AF15BB3">
          <v:rect id="_x0000_i1031" style="width:0;height:1.5pt" o:hralign="center" o:hrstd="t" o:hr="t" fillcolor="#a0a0a0" stroked="f"/>
        </w:pict>
      </w:r>
    </w:p>
    <w:p w14:paraId="30C16E4B"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t>8. Conclusion (≈0.5–0.75 page)</w:t>
      </w:r>
    </w:p>
    <w:p w14:paraId="07B10286"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Argue that the field is converging toward pressure-gain combustion as the only viable path to step-change efficiency improvements, but that implementation challenges shift from thermodynamics to fluid mechanics and materials. Position scramjets as mature but limited, PDEs as instructive but impractical, and RDEs as promising but unresolved.</w:t>
      </w:r>
    </w:p>
    <w:p w14:paraId="2CBA88E7"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5857AA2F">
          <v:rect id="_x0000_i1032" style="width:0;height:1.5pt" o:hralign="center" o:hrstd="t" o:hr="t" fillcolor="#a0a0a0" stroked="f"/>
        </w:pict>
      </w:r>
    </w:p>
    <w:p w14:paraId="0B22BE91"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t>Targeted Source Recommendations (mapped to sections)</w:t>
      </w:r>
    </w:p>
    <w:p w14:paraId="4EF58070"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The emphasis below is on peer-reviewed and high-authority technical sources that support specific sections of the outline.</w:t>
      </w:r>
    </w:p>
    <w:p w14:paraId="3B4D38A2"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3628A3D8">
          <v:rect id="_x0000_i1033" style="width:0;height:1.5pt" o:hralign="center" o:hrstd="t" o:hr="t" fillcolor="#a0a0a0" stroked="f"/>
        </w:pict>
      </w:r>
    </w:p>
    <w:p w14:paraId="1C826091"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For Sections 1–2 (thermodynamics and efficiency limits):</w:t>
      </w:r>
    </w:p>
    <w:p w14:paraId="50BF599D" w14:textId="77777777" w:rsidR="00397DE6" w:rsidRPr="00397DE6" w:rsidRDefault="00397DE6" w:rsidP="00397DE6">
      <w:pPr>
        <w:numPr>
          <w:ilvl w:val="0"/>
          <w:numId w:val="1"/>
        </w:numPr>
        <w:rPr>
          <w:rFonts w:ascii="Times New Roman" w:hAnsi="Times New Roman" w:cs="Times New Roman"/>
        </w:rPr>
      </w:pPr>
      <w:r w:rsidRPr="00397DE6">
        <w:rPr>
          <w:rFonts w:ascii="Times New Roman" w:hAnsi="Times New Roman" w:cs="Times New Roman"/>
        </w:rPr>
        <w:t xml:space="preserve">Heiser &amp; Pratt, </w:t>
      </w:r>
      <w:r w:rsidRPr="00397DE6">
        <w:rPr>
          <w:rFonts w:ascii="Times New Roman" w:hAnsi="Times New Roman" w:cs="Times New Roman"/>
          <w:i/>
          <w:iCs/>
        </w:rPr>
        <w:t>Hypersonic Airbreathing Propulsion</w:t>
      </w:r>
      <w:r w:rsidRPr="00397DE6">
        <w:rPr>
          <w:rFonts w:ascii="Times New Roman" w:hAnsi="Times New Roman" w:cs="Times New Roman"/>
        </w:rPr>
        <w:t>. This is still the most authoritative text for scramjet thermodynamics and cycle analysis. Use it to ground the Brayton-cycle limitations and inlet–combustor coupling.</w:t>
      </w:r>
    </w:p>
    <w:p w14:paraId="57DDCC0D" w14:textId="77777777" w:rsidR="00397DE6" w:rsidRPr="00397DE6" w:rsidRDefault="00397DE6" w:rsidP="00397DE6">
      <w:pPr>
        <w:numPr>
          <w:ilvl w:val="0"/>
          <w:numId w:val="1"/>
        </w:numPr>
        <w:rPr>
          <w:rFonts w:ascii="Times New Roman" w:hAnsi="Times New Roman" w:cs="Times New Roman"/>
        </w:rPr>
      </w:pPr>
      <w:r w:rsidRPr="00397DE6">
        <w:rPr>
          <w:rFonts w:ascii="Times New Roman" w:hAnsi="Times New Roman" w:cs="Times New Roman"/>
        </w:rPr>
        <w:lastRenderedPageBreak/>
        <w:t xml:space="preserve">Fickett &amp; Davis, </w:t>
      </w:r>
      <w:r w:rsidRPr="00397DE6">
        <w:rPr>
          <w:rFonts w:ascii="Times New Roman" w:hAnsi="Times New Roman" w:cs="Times New Roman"/>
          <w:i/>
          <w:iCs/>
        </w:rPr>
        <w:t>Detonation: Theory and Experiment</w:t>
      </w:r>
      <w:r w:rsidRPr="00397DE6">
        <w:rPr>
          <w:rFonts w:ascii="Times New Roman" w:hAnsi="Times New Roman" w:cs="Times New Roman"/>
        </w:rPr>
        <w:t>. Use selectively for detonation thermodynamics and the conceptual basis of pressure-gain combustion.</w:t>
      </w:r>
    </w:p>
    <w:p w14:paraId="72E9FDC3" w14:textId="77777777" w:rsidR="00397DE6" w:rsidRPr="00397DE6" w:rsidRDefault="00397DE6" w:rsidP="00397DE6">
      <w:pPr>
        <w:numPr>
          <w:ilvl w:val="0"/>
          <w:numId w:val="1"/>
        </w:numPr>
        <w:rPr>
          <w:rFonts w:ascii="Times New Roman" w:hAnsi="Times New Roman" w:cs="Times New Roman"/>
        </w:rPr>
      </w:pPr>
      <w:r w:rsidRPr="00397DE6">
        <w:rPr>
          <w:rFonts w:ascii="Times New Roman" w:hAnsi="Times New Roman" w:cs="Times New Roman"/>
        </w:rPr>
        <w:t xml:space="preserve">Kailasanath, “Review of propulsion applications of detonation waves,” </w:t>
      </w:r>
      <w:r w:rsidRPr="00397DE6">
        <w:rPr>
          <w:rFonts w:ascii="Times New Roman" w:hAnsi="Times New Roman" w:cs="Times New Roman"/>
          <w:i/>
          <w:iCs/>
        </w:rPr>
        <w:t>AIAA Journal</w:t>
      </w:r>
      <w:r w:rsidRPr="00397DE6">
        <w:rPr>
          <w:rFonts w:ascii="Times New Roman" w:hAnsi="Times New Roman" w:cs="Times New Roman"/>
        </w:rPr>
        <w:t>. This is a foundational review that bridges PDE and RDE concepts and explicitly discusses efficiency advantages.</w:t>
      </w:r>
    </w:p>
    <w:p w14:paraId="15B92963"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502255FB">
          <v:rect id="_x0000_i1034" style="width:0;height:1.5pt" o:hralign="center" o:hrstd="t" o:hr="t" fillcolor="#a0a0a0" stroked="f"/>
        </w:pict>
      </w:r>
    </w:p>
    <w:p w14:paraId="7B758511"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For Section 3 (scramjets):</w:t>
      </w:r>
    </w:p>
    <w:p w14:paraId="667ECFAA" w14:textId="77777777" w:rsidR="00397DE6" w:rsidRPr="00397DE6" w:rsidRDefault="00397DE6" w:rsidP="00397DE6">
      <w:pPr>
        <w:numPr>
          <w:ilvl w:val="0"/>
          <w:numId w:val="2"/>
        </w:numPr>
        <w:rPr>
          <w:rFonts w:ascii="Times New Roman" w:hAnsi="Times New Roman" w:cs="Times New Roman"/>
        </w:rPr>
      </w:pPr>
      <w:r w:rsidRPr="00397DE6">
        <w:rPr>
          <w:rFonts w:ascii="Times New Roman" w:hAnsi="Times New Roman" w:cs="Times New Roman"/>
        </w:rPr>
        <w:t xml:space="preserve">Curran &amp; Murthy (eds.), </w:t>
      </w:r>
      <w:r w:rsidRPr="00397DE6">
        <w:rPr>
          <w:rFonts w:ascii="Times New Roman" w:hAnsi="Times New Roman" w:cs="Times New Roman"/>
          <w:i/>
          <w:iCs/>
        </w:rPr>
        <w:t>Scramjet Propulsion</w:t>
      </w:r>
      <w:r w:rsidRPr="00397DE6">
        <w:rPr>
          <w:rFonts w:ascii="Times New Roman" w:hAnsi="Times New Roman" w:cs="Times New Roman"/>
        </w:rPr>
        <w:t>. This is the standard reference for combustor design, mixing strategies, and flameholding.</w:t>
      </w:r>
    </w:p>
    <w:p w14:paraId="29F19B94" w14:textId="77777777" w:rsidR="00397DE6" w:rsidRPr="00397DE6" w:rsidRDefault="00397DE6" w:rsidP="00397DE6">
      <w:pPr>
        <w:numPr>
          <w:ilvl w:val="0"/>
          <w:numId w:val="2"/>
        </w:numPr>
        <w:rPr>
          <w:rFonts w:ascii="Times New Roman" w:hAnsi="Times New Roman" w:cs="Times New Roman"/>
        </w:rPr>
      </w:pPr>
      <w:r w:rsidRPr="00397DE6">
        <w:rPr>
          <w:rFonts w:ascii="Times New Roman" w:hAnsi="Times New Roman" w:cs="Times New Roman"/>
        </w:rPr>
        <w:t xml:space="preserve">Micka &amp; Driscoll, “Strut-based fuel injection in scramjets,” </w:t>
      </w:r>
      <w:r w:rsidRPr="00397DE6">
        <w:rPr>
          <w:rFonts w:ascii="Times New Roman" w:hAnsi="Times New Roman" w:cs="Times New Roman"/>
          <w:i/>
          <w:iCs/>
        </w:rPr>
        <w:t>AIAA Journal</w:t>
      </w:r>
      <w:r w:rsidRPr="00397DE6">
        <w:rPr>
          <w:rFonts w:ascii="Times New Roman" w:hAnsi="Times New Roman" w:cs="Times New Roman"/>
        </w:rPr>
        <w:t>. Useful for detailed discussion of mixing enhancement.</w:t>
      </w:r>
    </w:p>
    <w:p w14:paraId="34EA490B" w14:textId="77777777" w:rsidR="00397DE6" w:rsidRPr="00397DE6" w:rsidRDefault="00397DE6" w:rsidP="00397DE6">
      <w:pPr>
        <w:numPr>
          <w:ilvl w:val="0"/>
          <w:numId w:val="2"/>
        </w:numPr>
        <w:rPr>
          <w:rFonts w:ascii="Times New Roman" w:hAnsi="Times New Roman" w:cs="Times New Roman"/>
        </w:rPr>
      </w:pPr>
      <w:r w:rsidRPr="00397DE6">
        <w:rPr>
          <w:rFonts w:ascii="Times New Roman" w:hAnsi="Times New Roman" w:cs="Times New Roman"/>
        </w:rPr>
        <w:t xml:space="preserve">Recent review articles in </w:t>
      </w:r>
      <w:r w:rsidRPr="00397DE6">
        <w:rPr>
          <w:rFonts w:ascii="Times New Roman" w:hAnsi="Times New Roman" w:cs="Times New Roman"/>
          <w:i/>
          <w:iCs/>
        </w:rPr>
        <w:t>Progress in Aerospace Sciences</w:t>
      </w:r>
      <w:r w:rsidRPr="00397DE6">
        <w:rPr>
          <w:rFonts w:ascii="Times New Roman" w:hAnsi="Times New Roman" w:cs="Times New Roman"/>
        </w:rPr>
        <w:t xml:space="preserve"> or </w:t>
      </w:r>
      <w:r w:rsidRPr="00397DE6">
        <w:rPr>
          <w:rFonts w:ascii="Times New Roman" w:hAnsi="Times New Roman" w:cs="Times New Roman"/>
          <w:i/>
          <w:iCs/>
        </w:rPr>
        <w:t>Acta Astronautica</w:t>
      </w:r>
      <w:r w:rsidRPr="00397DE6">
        <w:rPr>
          <w:rFonts w:ascii="Times New Roman" w:hAnsi="Times New Roman" w:cs="Times New Roman"/>
        </w:rPr>
        <w:t xml:space="preserve"> on scramjet combustion regimes and wide-Mach operability. These provide updated perspectives on mixing-limited efficiency.</w:t>
      </w:r>
    </w:p>
    <w:p w14:paraId="1B010164"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50496715">
          <v:rect id="_x0000_i1035" style="width:0;height:1.5pt" o:hralign="center" o:hrstd="t" o:hr="t" fillcolor="#a0a0a0" stroked="f"/>
        </w:pict>
      </w:r>
    </w:p>
    <w:p w14:paraId="109F1D5E"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For Section 4 (PDE):</w:t>
      </w:r>
    </w:p>
    <w:p w14:paraId="43364FED" w14:textId="77777777" w:rsidR="00397DE6" w:rsidRPr="00397DE6" w:rsidRDefault="00397DE6" w:rsidP="00397DE6">
      <w:pPr>
        <w:numPr>
          <w:ilvl w:val="0"/>
          <w:numId w:val="3"/>
        </w:numPr>
        <w:rPr>
          <w:rFonts w:ascii="Times New Roman" w:hAnsi="Times New Roman" w:cs="Times New Roman"/>
        </w:rPr>
      </w:pPr>
      <w:r w:rsidRPr="00397DE6">
        <w:rPr>
          <w:rFonts w:ascii="Times New Roman" w:hAnsi="Times New Roman" w:cs="Times New Roman"/>
        </w:rPr>
        <w:t>Kailasanath (again) for PDE fundamentals and limitations.</w:t>
      </w:r>
    </w:p>
    <w:p w14:paraId="15A51A75" w14:textId="77777777" w:rsidR="00397DE6" w:rsidRPr="00397DE6" w:rsidRDefault="00397DE6" w:rsidP="00397DE6">
      <w:pPr>
        <w:numPr>
          <w:ilvl w:val="0"/>
          <w:numId w:val="3"/>
        </w:numPr>
        <w:rPr>
          <w:rFonts w:ascii="Times New Roman" w:hAnsi="Times New Roman" w:cs="Times New Roman"/>
        </w:rPr>
      </w:pPr>
      <w:r w:rsidRPr="00397DE6">
        <w:rPr>
          <w:rFonts w:ascii="Times New Roman" w:hAnsi="Times New Roman" w:cs="Times New Roman"/>
        </w:rPr>
        <w:t xml:space="preserve">Roy, Frolov, Borisov, “Pulse detonation propulsion: challenges and opportunities,” </w:t>
      </w:r>
      <w:r w:rsidRPr="00397DE6">
        <w:rPr>
          <w:rFonts w:ascii="Times New Roman" w:hAnsi="Times New Roman" w:cs="Times New Roman"/>
          <w:i/>
          <w:iCs/>
        </w:rPr>
        <w:t>Progress in Energy and Combustion Science</w:t>
      </w:r>
      <w:r w:rsidRPr="00397DE6">
        <w:rPr>
          <w:rFonts w:ascii="Times New Roman" w:hAnsi="Times New Roman" w:cs="Times New Roman"/>
        </w:rPr>
        <w:t>. This is one of the most cited PDE reviews and directly addresses DDT and cycle limitations.</w:t>
      </w:r>
    </w:p>
    <w:p w14:paraId="79F4A86F"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2B0475DC">
          <v:rect id="_x0000_i1036" style="width:0;height:1.5pt" o:hralign="center" o:hrstd="t" o:hr="t" fillcolor="#a0a0a0" stroked="f"/>
        </w:pict>
      </w:r>
    </w:p>
    <w:p w14:paraId="39EE916D"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For Section 5 (RDE):</w:t>
      </w:r>
    </w:p>
    <w:p w14:paraId="104DDA0B" w14:textId="77777777" w:rsidR="00397DE6" w:rsidRPr="00397DE6" w:rsidRDefault="00397DE6" w:rsidP="00397DE6">
      <w:pPr>
        <w:numPr>
          <w:ilvl w:val="0"/>
          <w:numId w:val="4"/>
        </w:numPr>
        <w:rPr>
          <w:rFonts w:ascii="Times New Roman" w:hAnsi="Times New Roman" w:cs="Times New Roman"/>
        </w:rPr>
      </w:pPr>
      <w:r w:rsidRPr="00397DE6">
        <w:rPr>
          <w:rFonts w:ascii="Times New Roman" w:hAnsi="Times New Roman" w:cs="Times New Roman"/>
        </w:rPr>
        <w:t xml:space="preserve">Wolanski, “Detonative propulsion,” </w:t>
      </w:r>
      <w:r w:rsidRPr="00397DE6">
        <w:rPr>
          <w:rFonts w:ascii="Times New Roman" w:hAnsi="Times New Roman" w:cs="Times New Roman"/>
          <w:i/>
          <w:iCs/>
        </w:rPr>
        <w:t>Proceedings of the Combustion Institute</w:t>
      </w:r>
      <w:r w:rsidRPr="00397DE6">
        <w:rPr>
          <w:rFonts w:ascii="Times New Roman" w:hAnsi="Times New Roman" w:cs="Times New Roman"/>
        </w:rPr>
        <w:t>. Provides a high-level but rigorous overview of RDE physics.</w:t>
      </w:r>
    </w:p>
    <w:p w14:paraId="15B28A80" w14:textId="77777777" w:rsidR="00397DE6" w:rsidRPr="00397DE6" w:rsidRDefault="00397DE6" w:rsidP="00397DE6">
      <w:pPr>
        <w:numPr>
          <w:ilvl w:val="0"/>
          <w:numId w:val="4"/>
        </w:numPr>
        <w:rPr>
          <w:rFonts w:ascii="Times New Roman" w:hAnsi="Times New Roman" w:cs="Times New Roman"/>
        </w:rPr>
      </w:pPr>
      <w:r w:rsidRPr="00397DE6">
        <w:rPr>
          <w:rFonts w:ascii="Times New Roman" w:hAnsi="Times New Roman" w:cs="Times New Roman"/>
        </w:rPr>
        <w:t xml:space="preserve">Braun, Lu, Schwer, “Rotating detonation engines: A review,” </w:t>
      </w:r>
      <w:r w:rsidRPr="00397DE6">
        <w:rPr>
          <w:rFonts w:ascii="Times New Roman" w:hAnsi="Times New Roman" w:cs="Times New Roman"/>
          <w:i/>
          <w:iCs/>
        </w:rPr>
        <w:t>Progress in Aerospace Sciences</w:t>
      </w:r>
      <w:r w:rsidRPr="00397DE6">
        <w:rPr>
          <w:rFonts w:ascii="Times New Roman" w:hAnsi="Times New Roman" w:cs="Times New Roman"/>
        </w:rPr>
        <w:t>. This is one of the most comprehensive RDE reviews and should anchor this section.</w:t>
      </w:r>
    </w:p>
    <w:p w14:paraId="7D78144F" w14:textId="77777777" w:rsidR="00397DE6" w:rsidRPr="00397DE6" w:rsidRDefault="00397DE6" w:rsidP="00397DE6">
      <w:pPr>
        <w:numPr>
          <w:ilvl w:val="0"/>
          <w:numId w:val="4"/>
        </w:numPr>
        <w:rPr>
          <w:rFonts w:ascii="Times New Roman" w:hAnsi="Times New Roman" w:cs="Times New Roman"/>
        </w:rPr>
      </w:pPr>
      <w:r w:rsidRPr="00397DE6">
        <w:rPr>
          <w:rFonts w:ascii="Times New Roman" w:hAnsi="Times New Roman" w:cs="Times New Roman"/>
        </w:rPr>
        <w:t xml:space="preserve">Recent experimental and numerical RDE papers in </w:t>
      </w:r>
      <w:r w:rsidRPr="00397DE6">
        <w:rPr>
          <w:rFonts w:ascii="Times New Roman" w:hAnsi="Times New Roman" w:cs="Times New Roman"/>
          <w:i/>
          <w:iCs/>
        </w:rPr>
        <w:t>Combustion and Flame</w:t>
      </w:r>
      <w:r w:rsidRPr="00397DE6">
        <w:rPr>
          <w:rFonts w:ascii="Times New Roman" w:hAnsi="Times New Roman" w:cs="Times New Roman"/>
        </w:rPr>
        <w:t xml:space="preserve"> or </w:t>
      </w:r>
      <w:r w:rsidRPr="00397DE6">
        <w:rPr>
          <w:rFonts w:ascii="Times New Roman" w:hAnsi="Times New Roman" w:cs="Times New Roman"/>
          <w:i/>
          <w:iCs/>
        </w:rPr>
        <w:t>AIAA Journal</w:t>
      </w:r>
      <w:r w:rsidRPr="00397DE6">
        <w:rPr>
          <w:rFonts w:ascii="Times New Roman" w:hAnsi="Times New Roman" w:cs="Times New Roman"/>
        </w:rPr>
        <w:t>. Focus on injector design, wave stability, and loss mechanisms.</w:t>
      </w:r>
    </w:p>
    <w:p w14:paraId="02B0034E"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652A3B9B">
          <v:rect id="_x0000_i1037" style="width:0;height:1.5pt" o:hralign="center" o:hrstd="t" o:hr="t" fillcolor="#a0a0a0" stroked="f"/>
        </w:pict>
      </w:r>
    </w:p>
    <w:p w14:paraId="357B6A54"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For Section 6 (hybrid systems):</w:t>
      </w:r>
    </w:p>
    <w:p w14:paraId="5AAAEBB0" w14:textId="77777777" w:rsidR="00397DE6" w:rsidRPr="00397DE6" w:rsidRDefault="00397DE6" w:rsidP="00397DE6">
      <w:pPr>
        <w:numPr>
          <w:ilvl w:val="0"/>
          <w:numId w:val="5"/>
        </w:numPr>
        <w:rPr>
          <w:rFonts w:ascii="Times New Roman" w:hAnsi="Times New Roman" w:cs="Times New Roman"/>
        </w:rPr>
      </w:pPr>
      <w:r w:rsidRPr="00397DE6">
        <w:rPr>
          <w:rFonts w:ascii="Times New Roman" w:hAnsi="Times New Roman" w:cs="Times New Roman"/>
        </w:rPr>
        <w:lastRenderedPageBreak/>
        <w:t>Heiser &amp; Pratt (again) for combined-cycle engines (RBCC/TBCC).</w:t>
      </w:r>
    </w:p>
    <w:p w14:paraId="6A20A13E" w14:textId="77777777" w:rsidR="00397DE6" w:rsidRPr="00397DE6" w:rsidRDefault="00397DE6" w:rsidP="00397DE6">
      <w:pPr>
        <w:numPr>
          <w:ilvl w:val="0"/>
          <w:numId w:val="5"/>
        </w:numPr>
        <w:rPr>
          <w:rFonts w:ascii="Times New Roman" w:hAnsi="Times New Roman" w:cs="Times New Roman"/>
        </w:rPr>
      </w:pPr>
      <w:r w:rsidRPr="00397DE6">
        <w:rPr>
          <w:rFonts w:ascii="Times New Roman" w:hAnsi="Times New Roman" w:cs="Times New Roman"/>
        </w:rPr>
        <w:t xml:space="preserve">Papers on rotating detonation ramjets in </w:t>
      </w:r>
      <w:r w:rsidRPr="00397DE6">
        <w:rPr>
          <w:rFonts w:ascii="Times New Roman" w:hAnsi="Times New Roman" w:cs="Times New Roman"/>
          <w:i/>
          <w:iCs/>
        </w:rPr>
        <w:t>Acta Astronautica</w:t>
      </w:r>
      <w:r w:rsidRPr="00397DE6">
        <w:rPr>
          <w:rFonts w:ascii="Times New Roman" w:hAnsi="Times New Roman" w:cs="Times New Roman"/>
        </w:rPr>
        <w:t xml:space="preserve"> or </w:t>
      </w:r>
      <w:r w:rsidRPr="00397DE6">
        <w:rPr>
          <w:rFonts w:ascii="Times New Roman" w:hAnsi="Times New Roman" w:cs="Times New Roman"/>
          <w:i/>
          <w:iCs/>
        </w:rPr>
        <w:t>Aerospace Science and Technology</w:t>
      </w:r>
      <w:r w:rsidRPr="00397DE6">
        <w:rPr>
          <w:rFonts w:ascii="Times New Roman" w:hAnsi="Times New Roman" w:cs="Times New Roman"/>
        </w:rPr>
        <w:t>.</w:t>
      </w:r>
    </w:p>
    <w:p w14:paraId="00D6AD5B"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203D9C7A">
          <v:rect id="_x0000_i1038" style="width:0;height:1.5pt" o:hralign="center" o:hrstd="t" o:hr="t" fillcolor="#a0a0a0" stroked="f"/>
        </w:pict>
      </w:r>
    </w:p>
    <w:p w14:paraId="46C529C4"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For Section 7 (cross-cutting bottlenecks):</w:t>
      </w:r>
    </w:p>
    <w:p w14:paraId="14E01667" w14:textId="77777777" w:rsidR="00397DE6" w:rsidRPr="00397DE6" w:rsidRDefault="00397DE6" w:rsidP="00397DE6">
      <w:pPr>
        <w:numPr>
          <w:ilvl w:val="0"/>
          <w:numId w:val="6"/>
        </w:numPr>
        <w:rPr>
          <w:rFonts w:ascii="Times New Roman" w:hAnsi="Times New Roman" w:cs="Times New Roman"/>
        </w:rPr>
      </w:pPr>
      <w:r w:rsidRPr="00397DE6">
        <w:rPr>
          <w:rFonts w:ascii="Times New Roman" w:hAnsi="Times New Roman" w:cs="Times New Roman"/>
        </w:rPr>
        <w:t xml:space="preserve">Pope, </w:t>
      </w:r>
      <w:r w:rsidRPr="00397DE6">
        <w:rPr>
          <w:rFonts w:ascii="Times New Roman" w:hAnsi="Times New Roman" w:cs="Times New Roman"/>
          <w:i/>
          <w:iCs/>
        </w:rPr>
        <w:t>Turbulent Flows</w:t>
      </w:r>
      <w:r w:rsidRPr="00397DE6">
        <w:rPr>
          <w:rFonts w:ascii="Times New Roman" w:hAnsi="Times New Roman" w:cs="Times New Roman"/>
        </w:rPr>
        <w:t>, for mixing and turbulence–chemistry interaction (use selectively for theoretical grounding).</w:t>
      </w:r>
    </w:p>
    <w:p w14:paraId="73C83652" w14:textId="77777777" w:rsidR="00397DE6" w:rsidRPr="00397DE6" w:rsidRDefault="00397DE6" w:rsidP="00397DE6">
      <w:pPr>
        <w:numPr>
          <w:ilvl w:val="0"/>
          <w:numId w:val="6"/>
        </w:numPr>
        <w:rPr>
          <w:rFonts w:ascii="Times New Roman" w:hAnsi="Times New Roman" w:cs="Times New Roman"/>
        </w:rPr>
      </w:pPr>
      <w:r w:rsidRPr="00397DE6">
        <w:rPr>
          <w:rFonts w:ascii="Times New Roman" w:hAnsi="Times New Roman" w:cs="Times New Roman"/>
        </w:rPr>
        <w:t xml:space="preserve">Turns, </w:t>
      </w:r>
      <w:r w:rsidRPr="00397DE6">
        <w:rPr>
          <w:rFonts w:ascii="Times New Roman" w:hAnsi="Times New Roman" w:cs="Times New Roman"/>
          <w:i/>
          <w:iCs/>
        </w:rPr>
        <w:t>An Introduction to Combustion</w:t>
      </w:r>
      <w:r w:rsidRPr="00397DE6">
        <w:rPr>
          <w:rFonts w:ascii="Times New Roman" w:hAnsi="Times New Roman" w:cs="Times New Roman"/>
        </w:rPr>
        <w:t>, for reaction kinetics and flame stability context.</w:t>
      </w:r>
    </w:p>
    <w:p w14:paraId="62D8DDE0" w14:textId="77777777" w:rsidR="00397DE6" w:rsidRPr="00397DE6" w:rsidRDefault="00397DE6" w:rsidP="00397DE6">
      <w:pPr>
        <w:numPr>
          <w:ilvl w:val="0"/>
          <w:numId w:val="6"/>
        </w:numPr>
        <w:rPr>
          <w:rFonts w:ascii="Times New Roman" w:hAnsi="Times New Roman" w:cs="Times New Roman"/>
        </w:rPr>
      </w:pPr>
      <w:r w:rsidRPr="00397DE6">
        <w:rPr>
          <w:rFonts w:ascii="Times New Roman" w:hAnsi="Times New Roman" w:cs="Times New Roman"/>
        </w:rPr>
        <w:t xml:space="preserve">Recent CFD-focused papers in </w:t>
      </w:r>
      <w:r w:rsidRPr="00397DE6">
        <w:rPr>
          <w:rFonts w:ascii="Times New Roman" w:hAnsi="Times New Roman" w:cs="Times New Roman"/>
          <w:i/>
          <w:iCs/>
        </w:rPr>
        <w:t>Combustion and Flame</w:t>
      </w:r>
      <w:r w:rsidRPr="00397DE6">
        <w:rPr>
          <w:rFonts w:ascii="Times New Roman" w:hAnsi="Times New Roman" w:cs="Times New Roman"/>
        </w:rPr>
        <w:t xml:space="preserve"> or </w:t>
      </w:r>
      <w:r w:rsidRPr="00397DE6">
        <w:rPr>
          <w:rFonts w:ascii="Times New Roman" w:hAnsi="Times New Roman" w:cs="Times New Roman"/>
          <w:i/>
          <w:iCs/>
        </w:rPr>
        <w:t>Journal of Fluid Mechanics</w:t>
      </w:r>
      <w:r w:rsidRPr="00397DE6">
        <w:rPr>
          <w:rFonts w:ascii="Times New Roman" w:hAnsi="Times New Roman" w:cs="Times New Roman"/>
        </w:rPr>
        <w:t xml:space="preserve"> addressing high-speed reacting flow simulation limitations.</w:t>
      </w:r>
    </w:p>
    <w:p w14:paraId="34C4BE68"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pict w14:anchorId="76A8AEC3">
          <v:rect id="_x0000_i1039" style="width:0;height:1.5pt" o:hralign="center" o:hrstd="t" o:hr="t" fillcolor="#a0a0a0" stroked="f"/>
        </w:pict>
      </w:r>
    </w:p>
    <w:p w14:paraId="7AC96210" w14:textId="77777777" w:rsidR="00397DE6" w:rsidRPr="00397DE6" w:rsidRDefault="00397DE6" w:rsidP="00397DE6">
      <w:pPr>
        <w:rPr>
          <w:rFonts w:ascii="Times New Roman" w:hAnsi="Times New Roman" w:cs="Times New Roman"/>
          <w:b/>
          <w:bCs/>
        </w:rPr>
      </w:pPr>
      <w:r w:rsidRPr="00397DE6">
        <w:rPr>
          <w:rFonts w:ascii="Times New Roman" w:hAnsi="Times New Roman" w:cs="Times New Roman"/>
          <w:b/>
          <w:bCs/>
        </w:rPr>
        <w:t>Notes on building to ~20 sources</w:t>
      </w:r>
    </w:p>
    <w:p w14:paraId="1AC3E831"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You can reach the required count without diluting quality by:</w:t>
      </w:r>
    </w:p>
    <w:p w14:paraId="68AF5453" w14:textId="77777777" w:rsidR="00397DE6" w:rsidRPr="00397DE6" w:rsidRDefault="00397DE6" w:rsidP="00397DE6">
      <w:pPr>
        <w:numPr>
          <w:ilvl w:val="0"/>
          <w:numId w:val="7"/>
        </w:numPr>
        <w:rPr>
          <w:rFonts w:ascii="Times New Roman" w:hAnsi="Times New Roman" w:cs="Times New Roman"/>
        </w:rPr>
      </w:pPr>
      <w:r w:rsidRPr="00397DE6">
        <w:rPr>
          <w:rFonts w:ascii="Times New Roman" w:hAnsi="Times New Roman" w:cs="Times New Roman"/>
        </w:rPr>
        <w:t>Pulling multiple RDE experimental and numerical studies (these are abundant and current)</w:t>
      </w:r>
    </w:p>
    <w:p w14:paraId="2942DAA8" w14:textId="77777777" w:rsidR="00397DE6" w:rsidRPr="00397DE6" w:rsidRDefault="00397DE6" w:rsidP="00397DE6">
      <w:pPr>
        <w:numPr>
          <w:ilvl w:val="0"/>
          <w:numId w:val="7"/>
        </w:numPr>
        <w:rPr>
          <w:rFonts w:ascii="Times New Roman" w:hAnsi="Times New Roman" w:cs="Times New Roman"/>
        </w:rPr>
      </w:pPr>
      <w:r w:rsidRPr="00397DE6">
        <w:rPr>
          <w:rFonts w:ascii="Times New Roman" w:hAnsi="Times New Roman" w:cs="Times New Roman"/>
        </w:rPr>
        <w:t>Including 2–3 scramjet combustor experiments</w:t>
      </w:r>
    </w:p>
    <w:p w14:paraId="04CB2518" w14:textId="77777777" w:rsidR="00397DE6" w:rsidRPr="00397DE6" w:rsidRDefault="00397DE6" w:rsidP="00397DE6">
      <w:pPr>
        <w:numPr>
          <w:ilvl w:val="0"/>
          <w:numId w:val="7"/>
        </w:numPr>
        <w:rPr>
          <w:rFonts w:ascii="Times New Roman" w:hAnsi="Times New Roman" w:cs="Times New Roman"/>
        </w:rPr>
      </w:pPr>
      <w:r w:rsidRPr="00397DE6">
        <w:rPr>
          <w:rFonts w:ascii="Times New Roman" w:hAnsi="Times New Roman" w:cs="Times New Roman"/>
        </w:rPr>
        <w:t>Including 2 PDE-focused reviews</w:t>
      </w:r>
    </w:p>
    <w:p w14:paraId="005AB6D4" w14:textId="77777777" w:rsidR="00397DE6" w:rsidRPr="00397DE6" w:rsidRDefault="00397DE6" w:rsidP="00397DE6">
      <w:pPr>
        <w:numPr>
          <w:ilvl w:val="0"/>
          <w:numId w:val="7"/>
        </w:numPr>
        <w:rPr>
          <w:rFonts w:ascii="Times New Roman" w:hAnsi="Times New Roman" w:cs="Times New Roman"/>
        </w:rPr>
      </w:pPr>
      <w:r w:rsidRPr="00397DE6">
        <w:rPr>
          <w:rFonts w:ascii="Times New Roman" w:hAnsi="Times New Roman" w:cs="Times New Roman"/>
        </w:rPr>
        <w:t>Adding 3–4 modeling/CFD papers on high-speed reacting flows</w:t>
      </w:r>
    </w:p>
    <w:p w14:paraId="3324A3D4" w14:textId="77777777" w:rsidR="00397DE6" w:rsidRPr="00397DE6" w:rsidRDefault="00397DE6" w:rsidP="00397DE6">
      <w:pPr>
        <w:rPr>
          <w:rFonts w:ascii="Times New Roman" w:hAnsi="Times New Roman" w:cs="Times New Roman"/>
        </w:rPr>
      </w:pPr>
      <w:r w:rsidRPr="00397DE6">
        <w:rPr>
          <w:rFonts w:ascii="Times New Roman" w:hAnsi="Times New Roman" w:cs="Times New Roman"/>
        </w:rPr>
        <w:t>Avoid over-reliance on general web sources; use them only for orientation, not citation.</w:t>
      </w:r>
    </w:p>
    <w:p w14:paraId="4E0EDBE0" w14:textId="175E281C" w:rsidR="00FA6C36" w:rsidRDefault="00FA6C36">
      <w:pPr>
        <w:rPr>
          <w:rFonts w:ascii="Times New Roman" w:hAnsi="Times New Roman" w:cs="Times New Roman"/>
        </w:rPr>
      </w:pPr>
      <w:r>
        <w:rPr>
          <w:rFonts w:ascii="Times New Roman" w:hAnsi="Times New Roman" w:cs="Times New Roman"/>
        </w:rPr>
        <w:br w:type="page"/>
      </w:r>
    </w:p>
    <w:p w14:paraId="123584BB" w14:textId="78509CF6" w:rsidR="00104DB3" w:rsidRDefault="00087C9D" w:rsidP="00397DE6">
      <w:pPr>
        <w:rPr>
          <w:rFonts w:ascii="Times New Roman" w:hAnsi="Times New Roman" w:cs="Times New Roman"/>
        </w:rPr>
      </w:pPr>
      <w:r>
        <w:rPr>
          <w:rFonts w:ascii="Times New Roman" w:hAnsi="Times New Roman" w:cs="Times New Roman"/>
        </w:rPr>
        <w:lastRenderedPageBreak/>
        <w:t>Abstract</w:t>
      </w:r>
    </w:p>
    <w:p w14:paraId="7B78620A" w14:textId="0380B738" w:rsidR="00087C9D" w:rsidRDefault="00087C9D" w:rsidP="00087C9D">
      <w:pPr>
        <w:rPr>
          <w:rFonts w:ascii="Times New Roman" w:hAnsi="Times New Roman" w:cs="Times New Roman"/>
        </w:rPr>
      </w:pPr>
      <w:r>
        <w:rPr>
          <w:rFonts w:ascii="Times New Roman" w:hAnsi="Times New Roman" w:cs="Times New Roman"/>
        </w:rPr>
        <w:t xml:space="preserve">This paper is a technical overview of the combustion process in hypersonic propulsion plants. Scramjets, rotating detonation engines (RDEs,) pulse detonation engines (PDEs,) and experimental concepts will be covered. The paper will focus on the achievable efficiencies and technological bottlenecks of each design. The paper will be a synthesis of available sources, including academic journals, textbooks, and research papers relevant to the topic. The paper will maintain a wide lens, only delving into detailed mathematics when necessary for clarity. </w:t>
      </w:r>
    </w:p>
    <w:p w14:paraId="2FC08C89" w14:textId="38DC4BBB" w:rsidR="00FA6C36" w:rsidRDefault="007469BE" w:rsidP="00397DE6">
      <w:pPr>
        <w:rPr>
          <w:rFonts w:ascii="Times New Roman" w:hAnsi="Times New Roman" w:cs="Times New Roman"/>
        </w:rPr>
      </w:pPr>
      <w:r>
        <w:rPr>
          <w:rFonts w:ascii="Times New Roman" w:hAnsi="Times New Roman" w:cs="Times New Roman"/>
        </w:rPr>
        <w:t xml:space="preserve">Engine thermal efficiency </w:t>
      </w: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th</m:t>
            </m:r>
          </m:sub>
        </m:sSub>
      </m:oMath>
      <w:r>
        <w:rPr>
          <w:rFonts w:ascii="Times New Roman" w:eastAsiaTheme="minorEastAsia" w:hAnsi="Times New Roman" w:cs="Times New Roman"/>
        </w:rPr>
        <w:t xml:space="preserve"> in the context of airbreathing propulsion is a function of the fuel’s heating value</w:t>
      </w:r>
      <w:r w:rsidR="00344B2D">
        <w:rPr>
          <w:rFonts w:ascii="Times New Roman" w:eastAsiaTheme="minorEastAsia" w:hAnsi="Times New Roman" w:cs="Times New Roman"/>
        </w:rPr>
        <w:t xml:space="preserve"> and the ratio between heat added and heat rejected in the combustor [Heiser and Pratt section 4.2] It is important to recognize that the maximum work operating point and the maximum efficiency operating point are separate. The key concept for hypersonic combustion is the transformation from deflagration to detonation. Deflagration occurs when the flame speed is subsonic and is the traditional combustion method for internal combustion engines and gas turbines. Detonation occurs when the flame speed is higher than the speed of sound, and is accompanied by large pressure spikes and inherent instabilities. Despite these limitations, detonation engines </w:t>
      </w:r>
      <w:r w:rsidR="003C5E6C">
        <w:rPr>
          <w:rFonts w:ascii="Times New Roman" w:eastAsiaTheme="minorEastAsia" w:hAnsi="Times New Roman" w:cs="Times New Roman"/>
        </w:rPr>
        <w:t>can achieve higher thermodynamic efficiency than deflagration engines.</w:t>
      </w:r>
    </w:p>
    <w:p w14:paraId="08E34422" w14:textId="76522104" w:rsidR="00344B2D" w:rsidRDefault="00FA6C36">
      <w:pPr>
        <w:rPr>
          <w:rFonts w:ascii="Times New Roman" w:hAnsi="Times New Roman" w:cs="Times New Roman"/>
        </w:rPr>
      </w:pPr>
      <w:r>
        <w:rPr>
          <w:rFonts w:ascii="Times New Roman" w:hAnsi="Times New Roman" w:cs="Times New Roman"/>
        </w:rPr>
        <w:t xml:space="preserve">To understand the motivation for alternative combustor designs, we must understand the inherent efficiency limitations of the Brayton cycle (deflagration combustion) vs. pressure-gain combustion. Furthermore, we must understand the differences that occur when flying in the hypersonic regime. </w:t>
      </w:r>
      <w:r w:rsidR="00344B2D">
        <w:rPr>
          <w:rFonts w:ascii="Times New Roman" w:hAnsi="Times New Roman" w:cs="Times New Roman"/>
        </w:rPr>
        <w:br w:type="page"/>
      </w:r>
    </w:p>
    <w:p w14:paraId="0F5321BA" w14:textId="738DAB93" w:rsidR="00087C9D" w:rsidRDefault="00344B2D" w:rsidP="00397DE6">
      <w:pPr>
        <w:rPr>
          <w:rFonts w:ascii="Times New Roman" w:hAnsi="Times New Roman" w:cs="Times New Roman"/>
        </w:rPr>
      </w:pPr>
      <w:r>
        <w:rPr>
          <w:rFonts w:ascii="Times New Roman" w:hAnsi="Times New Roman" w:cs="Times New Roman"/>
        </w:rPr>
        <w:lastRenderedPageBreak/>
        <w:t>SOURCES</w:t>
      </w:r>
      <w:r>
        <w:rPr>
          <w:rFonts w:ascii="Times New Roman" w:hAnsi="Times New Roman" w:cs="Times New Roman"/>
        </w:rPr>
        <w:br/>
        <w:t>Heiser &amp; Pratt Hypersonic Airbreathing Propulsion</w:t>
      </w:r>
    </w:p>
    <w:p w14:paraId="315F50C1"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Hao-Yang Peng, Wei-Dong Liu, Shi-Jie Liu, Hai-Long Zhang, Si-Yuan Huang,</w:t>
      </w:r>
    </w:p>
    <w:p w14:paraId="30A9C8D7"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The competitive relationship between detonation and deflagration in the inner cylinder-variable continuous rotating detonation combustor,</w:t>
      </w:r>
    </w:p>
    <w:p w14:paraId="7C8AB9F1"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Aerospace Science and Technology,</w:t>
      </w:r>
    </w:p>
    <w:p w14:paraId="710C4A95"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Volume 107,</w:t>
      </w:r>
    </w:p>
    <w:p w14:paraId="7F963607"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2020,</w:t>
      </w:r>
    </w:p>
    <w:p w14:paraId="40A3AD25"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106263,</w:t>
      </w:r>
    </w:p>
    <w:p w14:paraId="62362EFE"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ISSN 1270-9638,</w:t>
      </w:r>
    </w:p>
    <w:p w14:paraId="53B5BC36"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https://doi.org/10.1016/j.ast.2020.106263.</w:t>
      </w:r>
    </w:p>
    <w:p w14:paraId="7E0239B5"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(https://www.sciencedirect.com/science/article/pii/S1270963820309457)</w:t>
      </w:r>
    </w:p>
    <w:p w14:paraId="366CC9A5" w14:textId="77777777" w:rsidR="003C5E6C" w:rsidRPr="003C5E6C" w:rsidRDefault="003C5E6C" w:rsidP="003C5E6C">
      <w:pPr>
        <w:rPr>
          <w:rFonts w:ascii="Times New Roman" w:hAnsi="Times New Roman" w:cs="Times New Roman"/>
        </w:rPr>
      </w:pPr>
      <w:r w:rsidRPr="003C5E6C">
        <w:rPr>
          <w:rFonts w:ascii="Times New Roman" w:hAnsi="Times New Roman" w:cs="Times New Roman"/>
        </w:rPr>
        <w:t>Abstract: To investigate the impact of the competitive relationship between detonation and deflagration on continuous rotating detonation, a series of ethylene-air and hydrogen-air rotating detonation tests are conducted by varying the inner cylinder length. In the experiments, ethylene-air detonation wave self-sustains in the hollow chamber part closely following the terminal of inner cylinder, instead of in the 5 mm-wide annulus. The deflagration in the upstream annulus combined with the deflagration prior to continuous rotating detonation wave in the hollow chamber part is supposed to be parasitic combustion, which destroys the accumulation of combustible mixture. The increase of intensity and longitudinal range of parasitic combustion makes the operating range, propagation frequency, and stability decrease. In contrast, hydrogen-air detonation wave can self-sustain in the 5 mm-wide annulus. However, the short annulus cannot hold the integrated detonation wave, and the separated structures of detonation wave make the ratio of commensal combustion increase. It is suggested that continuous rotating detonation should be quickly initiated within the short distance to reduce the impact of parasitic combustion, and the structural integrity of detonation wave should be maintained to reduce the ratio of commensal combustion. Besides, longitudinal pulsed deflagration mode is discovered and analyzed.</w:t>
      </w:r>
    </w:p>
    <w:p w14:paraId="0CCCE33D" w14:textId="06808035" w:rsidR="00344B2D" w:rsidRPr="00104DB3" w:rsidRDefault="003C5E6C" w:rsidP="003C5E6C">
      <w:pPr>
        <w:rPr>
          <w:rFonts w:ascii="Times New Roman" w:hAnsi="Times New Roman" w:cs="Times New Roman"/>
        </w:rPr>
      </w:pPr>
      <w:r w:rsidRPr="003C5E6C">
        <w:rPr>
          <w:rFonts w:ascii="Times New Roman" w:hAnsi="Times New Roman" w:cs="Times New Roman"/>
        </w:rPr>
        <w:t>Keywords: Continuous rotating detonation; Inner cylinder length; Combustor width; Optical observation; Self-sustaining location; Parasitic combustion</w:t>
      </w:r>
    </w:p>
    <w:sectPr w:rsidR="00344B2D" w:rsidRPr="00104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0F3"/>
    <w:multiLevelType w:val="multilevel"/>
    <w:tmpl w:val="377E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07074"/>
    <w:multiLevelType w:val="multilevel"/>
    <w:tmpl w:val="C92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821E3"/>
    <w:multiLevelType w:val="multilevel"/>
    <w:tmpl w:val="909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03A8D"/>
    <w:multiLevelType w:val="multilevel"/>
    <w:tmpl w:val="E50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FC420A"/>
    <w:multiLevelType w:val="multilevel"/>
    <w:tmpl w:val="7F34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202F08"/>
    <w:multiLevelType w:val="multilevel"/>
    <w:tmpl w:val="EDD4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C5C99"/>
    <w:multiLevelType w:val="multilevel"/>
    <w:tmpl w:val="30C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360683">
    <w:abstractNumId w:val="1"/>
  </w:num>
  <w:num w:numId="2" w16cid:durableId="1526213187">
    <w:abstractNumId w:val="4"/>
  </w:num>
  <w:num w:numId="3" w16cid:durableId="141041925">
    <w:abstractNumId w:val="6"/>
  </w:num>
  <w:num w:numId="4" w16cid:durableId="61803883">
    <w:abstractNumId w:val="5"/>
  </w:num>
  <w:num w:numId="5" w16cid:durableId="691153310">
    <w:abstractNumId w:val="3"/>
  </w:num>
  <w:num w:numId="6" w16cid:durableId="971712303">
    <w:abstractNumId w:val="2"/>
  </w:num>
  <w:num w:numId="7" w16cid:durableId="69299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B3"/>
    <w:rsid w:val="00087C9D"/>
    <w:rsid w:val="00104DB3"/>
    <w:rsid w:val="00146EB0"/>
    <w:rsid w:val="00204D16"/>
    <w:rsid w:val="00344B2D"/>
    <w:rsid w:val="00397DE6"/>
    <w:rsid w:val="003C5E6C"/>
    <w:rsid w:val="007469BE"/>
    <w:rsid w:val="00FA6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2569"/>
  <w15:chartTrackingRefBased/>
  <w15:docId w15:val="{B5C2F923-21AD-492F-82AE-AE9B49A59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DB3"/>
    <w:rPr>
      <w:rFonts w:eastAsiaTheme="majorEastAsia" w:cstheme="majorBidi"/>
      <w:color w:val="272727" w:themeColor="text1" w:themeTint="D8"/>
    </w:rPr>
  </w:style>
  <w:style w:type="paragraph" w:styleId="Title">
    <w:name w:val="Title"/>
    <w:basedOn w:val="Normal"/>
    <w:next w:val="Normal"/>
    <w:link w:val="TitleChar"/>
    <w:uiPriority w:val="10"/>
    <w:qFormat/>
    <w:rsid w:val="00104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DB3"/>
    <w:pPr>
      <w:spacing w:before="160"/>
      <w:jc w:val="center"/>
    </w:pPr>
    <w:rPr>
      <w:i/>
      <w:iCs/>
      <w:color w:val="404040" w:themeColor="text1" w:themeTint="BF"/>
    </w:rPr>
  </w:style>
  <w:style w:type="character" w:customStyle="1" w:styleId="QuoteChar">
    <w:name w:val="Quote Char"/>
    <w:basedOn w:val="DefaultParagraphFont"/>
    <w:link w:val="Quote"/>
    <w:uiPriority w:val="29"/>
    <w:rsid w:val="00104DB3"/>
    <w:rPr>
      <w:i/>
      <w:iCs/>
      <w:color w:val="404040" w:themeColor="text1" w:themeTint="BF"/>
    </w:rPr>
  </w:style>
  <w:style w:type="paragraph" w:styleId="ListParagraph">
    <w:name w:val="List Paragraph"/>
    <w:basedOn w:val="Normal"/>
    <w:uiPriority w:val="34"/>
    <w:qFormat/>
    <w:rsid w:val="00104DB3"/>
    <w:pPr>
      <w:ind w:left="720"/>
      <w:contextualSpacing/>
    </w:pPr>
  </w:style>
  <w:style w:type="character" w:styleId="IntenseEmphasis">
    <w:name w:val="Intense Emphasis"/>
    <w:basedOn w:val="DefaultParagraphFont"/>
    <w:uiPriority w:val="21"/>
    <w:qFormat/>
    <w:rsid w:val="00104DB3"/>
    <w:rPr>
      <w:i/>
      <w:iCs/>
      <w:color w:val="0F4761" w:themeColor="accent1" w:themeShade="BF"/>
    </w:rPr>
  </w:style>
  <w:style w:type="paragraph" w:styleId="IntenseQuote">
    <w:name w:val="Intense Quote"/>
    <w:basedOn w:val="Normal"/>
    <w:next w:val="Normal"/>
    <w:link w:val="IntenseQuoteChar"/>
    <w:uiPriority w:val="30"/>
    <w:qFormat/>
    <w:rsid w:val="00104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B3"/>
    <w:rPr>
      <w:i/>
      <w:iCs/>
      <w:color w:val="0F4761" w:themeColor="accent1" w:themeShade="BF"/>
    </w:rPr>
  </w:style>
  <w:style w:type="character" w:styleId="IntenseReference">
    <w:name w:val="Intense Reference"/>
    <w:basedOn w:val="DefaultParagraphFont"/>
    <w:uiPriority w:val="32"/>
    <w:qFormat/>
    <w:rsid w:val="00104DB3"/>
    <w:rPr>
      <w:b/>
      <w:bCs/>
      <w:smallCaps/>
      <w:color w:val="0F4761" w:themeColor="accent1" w:themeShade="BF"/>
      <w:spacing w:val="5"/>
    </w:rPr>
  </w:style>
  <w:style w:type="character" w:styleId="PlaceholderText">
    <w:name w:val="Placeholder Text"/>
    <w:basedOn w:val="DefaultParagraphFont"/>
    <w:uiPriority w:val="99"/>
    <w:semiHidden/>
    <w:rsid w:val="007469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4581</TotalTime>
  <Pages>7</Pages>
  <Words>1428</Words>
  <Characters>9334</Characters>
  <Application>Microsoft Office Word</Application>
  <DocSecurity>0</DocSecurity>
  <Lines>176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Brinkley</dc:creator>
  <cp:keywords/>
  <dc:description/>
  <cp:lastModifiedBy>Jared Brinkley</cp:lastModifiedBy>
  <cp:revision>1</cp:revision>
  <dcterms:created xsi:type="dcterms:W3CDTF">2026-03-18T01:14:00Z</dcterms:created>
  <dcterms:modified xsi:type="dcterms:W3CDTF">2026-03-22T18:57:00Z</dcterms:modified>
</cp:coreProperties>
</file>