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3FB4" w14:textId="77777777" w:rsidR="00F819DA" w:rsidRPr="00F819DA" w:rsidRDefault="00F819DA" w:rsidP="00F819DA">
      <w:pPr>
        <w:spacing w:line="240" w:lineRule="auto"/>
        <w:rPr>
          <w:rFonts w:ascii="Times New Roman" w:hAnsi="Times New Roman" w:cs="Times New Roman"/>
          <w:b/>
          <w:bCs/>
          <w:sz w:val="22"/>
          <w:szCs w:val="22"/>
        </w:rPr>
      </w:pPr>
      <w:r w:rsidRPr="00F819DA">
        <w:rPr>
          <w:rFonts w:ascii="Times New Roman" w:hAnsi="Times New Roman" w:cs="Times New Roman"/>
          <w:b/>
          <w:bCs/>
          <w:sz w:val="22"/>
          <w:szCs w:val="22"/>
        </w:rPr>
        <w:t>Abstract</w:t>
      </w:r>
    </w:p>
    <w:p w14:paraId="7435BC39" w14:textId="77777777" w:rsidR="00F819DA" w:rsidRPr="00F819DA" w:rsidRDefault="00F819DA" w:rsidP="00F819DA">
      <w:pPr>
        <w:spacing w:line="240" w:lineRule="auto"/>
        <w:rPr>
          <w:rFonts w:ascii="Times New Roman" w:hAnsi="Times New Roman" w:cs="Times New Roman"/>
          <w:sz w:val="22"/>
          <w:szCs w:val="22"/>
        </w:rPr>
      </w:pPr>
      <w:r w:rsidRPr="00F819DA">
        <w:rPr>
          <w:rFonts w:ascii="Times New Roman" w:hAnsi="Times New Roman" w:cs="Times New Roman"/>
          <w:b/>
          <w:bCs/>
          <w:sz w:val="22"/>
          <w:szCs w:val="22"/>
        </w:rPr>
        <w:t>Introduction</w:t>
      </w:r>
    </w:p>
    <w:p w14:paraId="4C82BCC2" w14:textId="77777777" w:rsidR="00F819DA" w:rsidRPr="00F819DA" w:rsidRDefault="00F819DA" w:rsidP="00F819DA">
      <w:pPr>
        <w:spacing w:line="240" w:lineRule="auto"/>
        <w:rPr>
          <w:rFonts w:ascii="Times New Roman" w:hAnsi="Times New Roman" w:cs="Times New Roman"/>
          <w:bCs/>
          <w:sz w:val="22"/>
          <w:szCs w:val="22"/>
        </w:rPr>
      </w:pPr>
      <w:r w:rsidRPr="00F819DA">
        <w:rPr>
          <w:rFonts w:ascii="Times New Roman" w:hAnsi="Times New Roman" w:cs="Times New Roman"/>
          <w:bCs/>
          <w:sz w:val="22"/>
          <w:szCs w:val="22"/>
        </w:rPr>
        <w:t xml:space="preserve">The hypersonic flight regime imposes strict demands on the combustion process. At flight Mach numbers greater than five, the core flow residence time in the combustor is on the millisecond scale, while temperatures and heat fluxes severely constrain material choice. Under these conditions, combustion is no longer solely a chemical process, but a coupled aerothermodynamic process in which mixing, reaction rates, and compressible flow effects all determine thermal efficiency. The central question is not simply how to sustain combustion, but how to do so while maintaining high thermodynamic efficiency across the flight envelope. </w:t>
      </w:r>
    </w:p>
    <w:p w14:paraId="4E90479A" w14:textId="77777777" w:rsidR="00F819DA" w:rsidRPr="00F819DA" w:rsidRDefault="00F819DA" w:rsidP="00F819DA">
      <w:pPr>
        <w:spacing w:line="240" w:lineRule="auto"/>
        <w:rPr>
          <w:rFonts w:ascii="Times New Roman" w:hAnsi="Times New Roman" w:cs="Times New Roman"/>
          <w:bCs/>
          <w:sz w:val="22"/>
          <w:szCs w:val="22"/>
        </w:rPr>
      </w:pPr>
      <w:r w:rsidRPr="00F819DA">
        <w:rPr>
          <w:rFonts w:ascii="Times New Roman" w:hAnsi="Times New Roman" w:cs="Times New Roman"/>
          <w:bCs/>
          <w:sz w:val="22"/>
          <w:szCs w:val="22"/>
        </w:rPr>
        <w:t xml:space="preserve">Conventional scramjet combustors address this problem using supersonic deflagration, extending constant-pressure </w:t>
      </w:r>
      <w:proofErr w:type="gramStart"/>
      <w:r w:rsidRPr="00F819DA">
        <w:rPr>
          <w:rFonts w:ascii="Times New Roman" w:hAnsi="Times New Roman" w:cs="Times New Roman"/>
          <w:bCs/>
          <w:sz w:val="22"/>
          <w:szCs w:val="22"/>
        </w:rPr>
        <w:t>heat</w:t>
      </w:r>
      <w:proofErr w:type="gramEnd"/>
      <w:r w:rsidRPr="00F819DA">
        <w:rPr>
          <w:rFonts w:ascii="Times New Roman" w:hAnsi="Times New Roman" w:cs="Times New Roman"/>
          <w:bCs/>
          <w:sz w:val="22"/>
          <w:szCs w:val="22"/>
        </w:rPr>
        <w:t xml:space="preserve"> addition to the supersonic regime. While this approach is sufficient for steady-state operation and relatively stable flowfields, it inherits the fundamental limitations of the Brayton cycle. Constant-pressure heat addition generates significant entropy, which directly reduces the thermal efficiency. As a result, even idealized scramjet cycles are bounded in achievable thermal efficiency, as shown in the closed cycle analysis in section 4.2.1 of [1.]</w:t>
      </w:r>
    </w:p>
    <w:p w14:paraId="1017B2B8" w14:textId="77777777" w:rsidR="00F819DA" w:rsidRPr="00F819DA" w:rsidRDefault="00F819DA" w:rsidP="00F819DA">
      <w:pPr>
        <w:spacing w:line="240" w:lineRule="auto"/>
        <w:rPr>
          <w:rFonts w:ascii="Times New Roman" w:hAnsi="Times New Roman" w:cs="Times New Roman"/>
          <w:bCs/>
          <w:sz w:val="22"/>
          <w:szCs w:val="22"/>
        </w:rPr>
      </w:pPr>
      <w:r w:rsidRPr="00F819DA">
        <w:rPr>
          <w:rFonts w:ascii="Times New Roman" w:hAnsi="Times New Roman" w:cs="Times New Roman"/>
          <w:bCs/>
          <w:sz w:val="22"/>
          <w:szCs w:val="22"/>
        </w:rPr>
        <w:t>Alternative concepts seek to overcome this limitation through pressure-gain combustion, most often detonation. In these systems, heat release occurs closer to constant-volume conditions, increasing the pressure rise across the combustor and reducing entropy generation. Pulse detonation engines (PDEs) achieve this process intermittently through repeated filling and detonation of a chamber, while rotating detonation engines (RDEs) attempt to sustain one or more continuously propagating detonation waves in an annular geometry. Although these approaches offer a higher theoretical efficiency ceiling, strong unsteadiness, shock-induced losses, and substantial integration challenges are inherent to their practical implementation [2.]</w:t>
      </w:r>
    </w:p>
    <w:p w14:paraId="7C53BF5D" w14:textId="77777777" w:rsidR="00E00E21" w:rsidRDefault="00F819DA" w:rsidP="00E00E21">
      <w:pPr>
        <w:spacing w:line="240" w:lineRule="auto"/>
        <w:rPr>
          <w:rFonts w:ascii="Times New Roman" w:hAnsi="Times New Roman" w:cs="Times New Roman"/>
          <w:sz w:val="22"/>
          <w:szCs w:val="22"/>
        </w:rPr>
      </w:pPr>
      <w:r w:rsidRPr="00F819DA">
        <w:rPr>
          <w:rFonts w:ascii="Times New Roman" w:hAnsi="Times New Roman" w:cs="Times New Roman"/>
          <w:sz w:val="22"/>
          <w:szCs w:val="22"/>
        </w:rPr>
        <w:t>A consistent evaluation of these architectures requires a framework that links combustion mode to efficiency and loss mechanisms. In the hypersonic regime, all combustor concepts are constrained by finite-rate mixing, limited residence time, total pressure losses, and extreme thermal loads that necessitate active cooling and restrict fuel selection. This paper examines conventional scramjet combustors, PDEs, RDEs, and emerging hybrid concepts within this framework, with the objective of identifying the dominant mechanisms that govern achievable efficiency and the technological bottlenecks that limit their realization.</w:t>
      </w:r>
    </w:p>
    <w:p w14:paraId="33E15F20" w14:textId="77777777" w:rsidR="00E00E21" w:rsidRDefault="00E00E21" w:rsidP="00E00E21">
      <w:pPr>
        <w:rPr>
          <w:rFonts w:ascii="Times New Roman" w:hAnsi="Times New Roman" w:cs="Times New Roman"/>
          <w:b/>
          <w:bCs/>
          <w:sz w:val="22"/>
          <w:szCs w:val="22"/>
        </w:rPr>
      </w:pPr>
      <w:r w:rsidRPr="00F819DA">
        <w:rPr>
          <w:rFonts w:ascii="Times New Roman" w:hAnsi="Times New Roman" w:cs="Times New Roman"/>
          <w:b/>
          <w:bCs/>
          <w:sz w:val="22"/>
          <w:szCs w:val="22"/>
        </w:rPr>
        <w:t>Thermodynamic and Physical Basis for High-Efficiency Combustion (≈1 page)</w:t>
      </w:r>
    </w:p>
    <w:p w14:paraId="013FFE7E" w14:textId="70004880" w:rsidR="00E00E21" w:rsidRDefault="00E00E21" w:rsidP="00E00E21">
      <w:pPr>
        <w:rPr>
          <w:rFonts w:ascii="Times New Roman" w:hAnsi="Times New Roman" w:cs="Times New Roman"/>
          <w:sz w:val="22"/>
          <w:szCs w:val="22"/>
        </w:rPr>
      </w:pPr>
      <w:r>
        <w:rPr>
          <w:rFonts w:ascii="Times New Roman" w:hAnsi="Times New Roman" w:cs="Times New Roman"/>
          <w:sz w:val="22"/>
          <w:szCs w:val="22"/>
        </w:rPr>
        <w:t>Efficiency</w:t>
      </w:r>
    </w:p>
    <w:p w14:paraId="15D439C4" w14:textId="617245D6" w:rsidR="00E00E21" w:rsidRDefault="00E00E21" w:rsidP="00E00E21">
      <w:pPr>
        <w:rPr>
          <w:rFonts w:ascii="Times New Roman" w:hAnsi="Times New Roman" w:cs="Times New Roman"/>
          <w:sz w:val="22"/>
          <w:szCs w:val="22"/>
        </w:rPr>
      </w:pPr>
      <w:r>
        <w:rPr>
          <w:rFonts w:ascii="Times New Roman" w:hAnsi="Times New Roman" w:cs="Times New Roman"/>
          <w:sz w:val="22"/>
          <w:szCs w:val="22"/>
        </w:rPr>
        <w:t>Brayton Cycle as Baseline</w:t>
      </w:r>
    </w:p>
    <w:p w14:paraId="041322DC" w14:textId="160EE833" w:rsidR="00E00E21" w:rsidRDefault="00E00E21" w:rsidP="00E00E21">
      <w:pPr>
        <w:rPr>
          <w:rFonts w:ascii="Times New Roman" w:hAnsi="Times New Roman" w:cs="Times New Roman"/>
          <w:sz w:val="22"/>
          <w:szCs w:val="22"/>
        </w:rPr>
      </w:pPr>
      <w:r>
        <w:rPr>
          <w:rFonts w:ascii="Times New Roman" w:hAnsi="Times New Roman" w:cs="Times New Roman"/>
          <w:sz w:val="22"/>
          <w:szCs w:val="22"/>
        </w:rPr>
        <w:t>Humphrey Cycle</w:t>
      </w:r>
    </w:p>
    <w:p w14:paraId="64E6F0B8" w14:textId="040BD36A" w:rsidR="00E00E21" w:rsidRDefault="00E00E21" w:rsidP="00E00E21">
      <w:pPr>
        <w:rPr>
          <w:rFonts w:ascii="Times New Roman" w:hAnsi="Times New Roman" w:cs="Times New Roman"/>
          <w:sz w:val="22"/>
          <w:szCs w:val="22"/>
        </w:rPr>
      </w:pPr>
      <w:r>
        <w:rPr>
          <w:rFonts w:ascii="Times New Roman" w:hAnsi="Times New Roman" w:cs="Times New Roman"/>
          <w:sz w:val="22"/>
          <w:szCs w:val="22"/>
        </w:rPr>
        <w:t>Physical combustion modes – detonation &amp; deflagration</w:t>
      </w:r>
    </w:p>
    <w:p w14:paraId="07D68051" w14:textId="727006A3" w:rsidR="00E00E21" w:rsidRDefault="00E00E21" w:rsidP="00E00E21">
      <w:pPr>
        <w:rPr>
          <w:rFonts w:ascii="Times New Roman" w:hAnsi="Times New Roman" w:cs="Times New Roman"/>
          <w:sz w:val="22"/>
          <w:szCs w:val="22"/>
        </w:rPr>
      </w:pPr>
      <w:r>
        <w:rPr>
          <w:rFonts w:ascii="Times New Roman" w:hAnsi="Times New Roman" w:cs="Times New Roman"/>
          <w:sz w:val="22"/>
          <w:szCs w:val="22"/>
        </w:rPr>
        <w:t xml:space="preserve">Role of </w:t>
      </w:r>
      <w:proofErr w:type="spellStart"/>
      <w:r>
        <w:rPr>
          <w:rFonts w:ascii="Times New Roman" w:hAnsi="Times New Roman" w:cs="Times New Roman"/>
          <w:sz w:val="22"/>
          <w:szCs w:val="22"/>
        </w:rPr>
        <w:t>irreversibilities</w:t>
      </w:r>
      <w:proofErr w:type="spellEnd"/>
      <w:r>
        <w:rPr>
          <w:rFonts w:ascii="Times New Roman" w:hAnsi="Times New Roman" w:cs="Times New Roman"/>
          <w:sz w:val="22"/>
          <w:szCs w:val="22"/>
        </w:rPr>
        <w:t xml:space="preserve"> * losses.</w:t>
      </w:r>
    </w:p>
    <w:p w14:paraId="0E770759" w14:textId="085DA7CE" w:rsidR="00E00E21" w:rsidRDefault="00E00E21" w:rsidP="00E00E21">
      <w:pPr>
        <w:rPr>
          <w:rFonts w:ascii="Times New Roman" w:hAnsi="Times New Roman" w:cs="Times New Roman"/>
          <w:sz w:val="22"/>
          <w:szCs w:val="22"/>
        </w:rPr>
      </w:pPr>
      <w:r>
        <w:rPr>
          <w:rFonts w:ascii="Times New Roman" w:hAnsi="Times New Roman" w:cs="Times New Roman"/>
          <w:sz w:val="22"/>
          <w:szCs w:val="22"/>
        </w:rPr>
        <w:t>Hypersonic-specific constraints</w:t>
      </w:r>
    </w:p>
    <w:p w14:paraId="645517CB" w14:textId="77777777" w:rsidR="00E00E21" w:rsidRDefault="00E00E21" w:rsidP="00E00E21">
      <w:pPr>
        <w:spacing w:line="240" w:lineRule="auto"/>
        <w:rPr>
          <w:rFonts w:ascii="Times New Roman" w:hAnsi="Times New Roman" w:cs="Times New Roman"/>
          <w:sz w:val="22"/>
          <w:szCs w:val="22"/>
        </w:rPr>
      </w:pPr>
      <w:r>
        <w:rPr>
          <w:rFonts w:ascii="Times New Roman" w:hAnsi="Times New Roman" w:cs="Times New Roman"/>
          <w:sz w:val="22"/>
          <w:szCs w:val="22"/>
        </w:rPr>
        <w:t>E</w:t>
      </w:r>
      <w:r w:rsidRPr="00E00E21">
        <w:rPr>
          <w:rFonts w:ascii="Times New Roman" w:hAnsi="Times New Roman" w:cs="Times New Roman"/>
          <w:sz w:val="22"/>
          <w:szCs w:val="22"/>
        </w:rPr>
        <w:t xml:space="preserve">valuation framework </w:t>
      </w:r>
      <w:r>
        <w:rPr>
          <w:rFonts w:ascii="Times New Roman" w:hAnsi="Times New Roman" w:cs="Times New Roman"/>
          <w:sz w:val="22"/>
          <w:szCs w:val="22"/>
        </w:rPr>
        <w:t>used</w:t>
      </w:r>
      <w:r w:rsidRPr="00E00E21">
        <w:rPr>
          <w:rFonts w:ascii="Times New Roman" w:hAnsi="Times New Roman" w:cs="Times New Roman"/>
          <w:sz w:val="22"/>
          <w:szCs w:val="22"/>
        </w:rPr>
        <w:t xml:space="preserve"> in the rest of the paper. Something along the lines </w:t>
      </w:r>
      <w:proofErr w:type="gramStart"/>
      <w:r w:rsidRPr="00E00E21">
        <w:rPr>
          <w:rFonts w:ascii="Times New Roman" w:hAnsi="Times New Roman" w:cs="Times New Roman"/>
          <w:sz w:val="22"/>
          <w:szCs w:val="22"/>
        </w:rPr>
        <w:t>of:</w:t>
      </w:r>
      <w:proofErr w:type="gramEnd"/>
      <w:r w:rsidRPr="00E00E21">
        <w:rPr>
          <w:rFonts w:ascii="Times New Roman" w:hAnsi="Times New Roman" w:cs="Times New Roman"/>
          <w:sz w:val="22"/>
          <w:szCs w:val="22"/>
        </w:rPr>
        <w:t xml:space="preserve"> each combustor concept will be assessed based on how closely it approaches pressure-gain heat addition while managing losses associated with mixing, unsteadiness, and total pressure degradation. </w:t>
      </w:r>
    </w:p>
    <w:p w14:paraId="7060E03E" w14:textId="5C2DCE6D" w:rsidR="00D14B45" w:rsidRDefault="00E00E21" w:rsidP="00E00E21">
      <w:pPr>
        <w:spacing w:line="240" w:lineRule="auto"/>
        <w:rPr>
          <w:rFonts w:ascii="Times New Roman" w:hAnsi="Times New Roman" w:cs="Times New Roman"/>
          <w:sz w:val="22"/>
          <w:szCs w:val="22"/>
        </w:rPr>
      </w:pPr>
      <w:r w:rsidRPr="00F819DA">
        <w:rPr>
          <w:rFonts w:ascii="Times New Roman" w:hAnsi="Times New Roman" w:cs="Times New Roman"/>
          <w:b/>
          <w:bCs/>
          <w:sz w:val="22"/>
          <w:szCs w:val="22"/>
        </w:rPr>
        <w:t>Traditional Scramjet Combustors (≈1.75 pages)</w:t>
      </w:r>
      <w:r w:rsidR="00D14B45">
        <w:rPr>
          <w:rFonts w:ascii="Times New Roman" w:hAnsi="Times New Roman" w:cs="Times New Roman"/>
          <w:sz w:val="22"/>
          <w:szCs w:val="22"/>
        </w:rPr>
        <w:br w:type="page"/>
      </w:r>
    </w:p>
    <w:p w14:paraId="498CCDEC" w14:textId="77777777" w:rsidR="00C860B8" w:rsidRDefault="00C860B8" w:rsidP="00C860B8">
      <w:pPr>
        <w:spacing w:line="240" w:lineRule="auto"/>
        <w:rPr>
          <w:rFonts w:ascii="Times New Roman" w:hAnsi="Times New Roman" w:cs="Times New Roman"/>
          <w:sz w:val="22"/>
          <w:szCs w:val="22"/>
        </w:rPr>
      </w:pPr>
      <w:r w:rsidRPr="00D27BDC">
        <w:rPr>
          <w:rFonts w:ascii="Times New Roman" w:hAnsi="Times New Roman" w:cs="Times New Roman"/>
          <w:sz w:val="22"/>
          <w:szCs w:val="22"/>
        </w:rPr>
        <w:lastRenderedPageBreak/>
        <w:t>PDEs</w:t>
      </w:r>
    </w:p>
    <w:p w14:paraId="39C4AA48" w14:textId="77777777" w:rsidR="00C860B8" w:rsidRDefault="00C860B8" w:rsidP="00C860B8">
      <w:pPr>
        <w:spacing w:line="240" w:lineRule="auto"/>
        <w:rPr>
          <w:rFonts w:ascii="Times New Roman" w:hAnsi="Times New Roman" w:cs="Times New Roman"/>
          <w:sz w:val="22"/>
          <w:szCs w:val="22"/>
        </w:rPr>
      </w:pPr>
      <w:r>
        <w:rPr>
          <w:rFonts w:ascii="Times New Roman" w:hAnsi="Times New Roman" w:cs="Times New Roman"/>
          <w:sz w:val="22"/>
          <w:szCs w:val="22"/>
        </w:rPr>
        <w:t>The concept of pulsed combustion dates to the late nineteenth century, with its first large-scale aerospace application coming during World War II in the pulsejet-powered V-1 flying bomb. PDEs extend this concept into the detonation regime, representing a class of pressure-gain combustors that seek to provide thermodynamic efficiency gains through unsteady detonation rather than steady deflagration. In a PDE, a fuel-air mixture is periodically detonated, producing a shock front that propagates through the chamber and generates a rapid non-uniform pressure rise. This process more closely approximates constant-volume heat addition than the approximately constant-pressure combustion of conventional scramjets, reducing entropy generation and increasing theoretical cycle efficiency. The engine operates in a cycle of intake, ignition, detonation, and expansion, with thrust produced from the high-pressure exhaust following each cycle. While the underlying concept is straightforward, the requirement to reliably initiate detonation in a high-speed flow introduces significant unsteadiness and imposes constraints on mixing, timing, and structural design that separate PDEs from both traditional airbreathing engines and other detonation engines.</w:t>
      </w:r>
    </w:p>
    <w:p w14:paraId="48C553F0" w14:textId="2D5C0DB3" w:rsidR="00C860B8" w:rsidRDefault="00C860B8" w:rsidP="00C860B8">
      <w:pPr>
        <w:spacing w:line="240" w:lineRule="auto"/>
        <w:rPr>
          <w:rFonts w:ascii="Times New Roman" w:eastAsiaTheme="minorEastAsia" w:hAnsi="Times New Roman" w:cs="Times New Roman"/>
          <w:sz w:val="22"/>
          <w:szCs w:val="22"/>
        </w:rPr>
      </w:pPr>
      <w:r>
        <w:rPr>
          <w:rFonts w:ascii="Times New Roman" w:hAnsi="Times New Roman" w:cs="Times New Roman"/>
          <w:sz w:val="22"/>
          <w:szCs w:val="22"/>
        </w:rPr>
        <w:t xml:space="preserve">PDE development is motivated by the thermodynamic advantage of detonation-based cycles. As discussed in section </w:t>
      </w:r>
      <w:r w:rsidR="00E00E21">
        <w:rPr>
          <w:rFonts w:ascii="Times New Roman" w:hAnsi="Times New Roman" w:cs="Times New Roman"/>
          <w:sz w:val="22"/>
          <w:szCs w:val="22"/>
        </w:rPr>
        <w:t>T</w:t>
      </w:r>
      <w:r>
        <w:rPr>
          <w:rFonts w:ascii="Times New Roman" w:hAnsi="Times New Roman" w:cs="Times New Roman"/>
          <w:sz w:val="22"/>
          <w:szCs w:val="22"/>
        </w:rPr>
        <w:t xml:space="preserve">wo, this advantage arises from reduced entropy generation associated with approximately constant-volume heat addition. In contrast to </w:t>
      </w:r>
      <w:r w:rsidR="00E00E21">
        <w:rPr>
          <w:rFonts w:ascii="Times New Roman" w:hAnsi="Times New Roman" w:cs="Times New Roman"/>
          <w:sz w:val="22"/>
          <w:szCs w:val="22"/>
        </w:rPr>
        <w:t>deflagration-based</w:t>
      </w:r>
      <w:r>
        <w:rPr>
          <w:rFonts w:ascii="Times New Roman" w:hAnsi="Times New Roman" w:cs="Times New Roman"/>
          <w:sz w:val="22"/>
          <w:szCs w:val="22"/>
        </w:rPr>
        <w:t xml:space="preserve"> systems, where heat addition occurs at approximately constant pressure conditions, the detonation process produces a rapid, nonuniform pressure rise within the combustor. The resulting cycle is referred to as the Humphrey cycle, which exhibits higher thermal efficiency than the Brayton cycle for a given operating point. The increase in efficiency is a consequence of the different thermodynamic </w:t>
      </w:r>
      <w:proofErr w:type="gramStart"/>
      <w:r>
        <w:rPr>
          <w:rFonts w:ascii="Times New Roman" w:hAnsi="Times New Roman" w:cs="Times New Roman"/>
          <w:sz w:val="22"/>
          <w:szCs w:val="22"/>
        </w:rPr>
        <w:t>path,</w:t>
      </w:r>
      <w:proofErr w:type="gramEnd"/>
      <w:r>
        <w:rPr>
          <w:rFonts w:ascii="Times New Roman" w:hAnsi="Times New Roman" w:cs="Times New Roman"/>
          <w:sz w:val="22"/>
          <w:szCs w:val="22"/>
        </w:rPr>
        <w:t xml:space="preserve"> by increasing pressure during heat addition, a larger fraction of the fuel’s latent chemical energy is converted into useful work. This efficiency gain provides the primary impetus for PDE research, despite the significant integration challenges. </w:t>
      </w:r>
    </w:p>
    <w:p w14:paraId="5531F87A" w14:textId="3F865D8D" w:rsidR="00C860B8" w:rsidRDefault="00C860B8" w:rsidP="00C860B8">
      <w:pPr>
        <w:spacing w:line="24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The remaining development challenges for PDEs are a direct consequence of the unsteady detonation process at the core of their thermodynamic advantage. Reliable detonation initiation remains a primary obstacle. Practical systems must repeatedly transition from a deflagration process to fully developed detonation within very short timescales, which typically </w:t>
      </w:r>
      <w:proofErr w:type="gramStart"/>
      <w:r>
        <w:rPr>
          <w:rFonts w:ascii="Times New Roman" w:eastAsiaTheme="minorEastAsia" w:hAnsi="Times New Roman" w:cs="Times New Roman"/>
          <w:sz w:val="22"/>
          <w:szCs w:val="22"/>
        </w:rPr>
        <w:t>requires</w:t>
      </w:r>
      <w:proofErr w:type="gramEnd"/>
      <w:r>
        <w:rPr>
          <w:rFonts w:ascii="Times New Roman" w:eastAsiaTheme="minorEastAsia" w:hAnsi="Times New Roman" w:cs="Times New Roman"/>
          <w:sz w:val="22"/>
          <w:szCs w:val="22"/>
        </w:rPr>
        <w:t xml:space="preserve"> long deflagration-to-detonation transition (DDT) regions or supplementary ignition systems. Both approaches impose penalties in system size, complexity, and weight. Even when suitable initiators are employed, variability in ignition and wave propagation from cycle to cycle can degrade performance and complicate control.</w:t>
      </w:r>
    </w:p>
    <w:p w14:paraId="79163570" w14:textId="64E38A54" w:rsidR="00C860B8" w:rsidRDefault="00C860B8" w:rsidP="00C860B8">
      <w:pPr>
        <w:spacing w:line="24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 xml:space="preserve">Mixture preparation </w:t>
      </w:r>
      <w:r w:rsidR="00E00E21">
        <w:rPr>
          <w:rFonts w:ascii="Times New Roman" w:eastAsiaTheme="minorEastAsia" w:hAnsi="Times New Roman" w:cs="Times New Roman"/>
          <w:sz w:val="22"/>
          <w:szCs w:val="22"/>
        </w:rPr>
        <w:t>presents</w:t>
      </w:r>
      <w:r>
        <w:rPr>
          <w:rFonts w:ascii="Times New Roman" w:eastAsiaTheme="minorEastAsia" w:hAnsi="Times New Roman" w:cs="Times New Roman"/>
          <w:sz w:val="22"/>
          <w:szCs w:val="22"/>
        </w:rPr>
        <w:t xml:space="preserve"> additional challenges. Detonation requires a relatively narrow envelope of fuel-air conditions, so the filling process must produce a sufficiently homogeneous and reactive mixture in the brief window between detonations. This requirement becomes increasingly difficult as operating frequency rises, since incomplete mixing can lead to failed detonations or reduced wave strength. These failures are directly linked to thrust production, meaning that the average thrust of a poorly conditioned PDE can vary unpredictably, leading to undesirable flight characteristics. </w:t>
      </w:r>
    </w:p>
    <w:p w14:paraId="640CF0B6" w14:textId="77777777" w:rsidR="00C860B8" w:rsidRDefault="00C860B8" w:rsidP="00C860B8">
      <w:pPr>
        <w:spacing w:line="240" w:lineRule="auto"/>
        <w:rPr>
          <w:rFonts w:ascii="Times New Roman" w:eastAsiaTheme="minorEastAsia" w:hAnsi="Times New Roman" w:cs="Times New Roman"/>
          <w:sz w:val="22"/>
          <w:szCs w:val="22"/>
        </w:rPr>
      </w:pPr>
      <w:r w:rsidRPr="00AA7F29">
        <w:rPr>
          <w:rFonts w:ascii="Times New Roman" w:eastAsiaTheme="minorEastAsia" w:hAnsi="Times New Roman" w:cs="Times New Roman"/>
          <w:sz w:val="22"/>
          <w:szCs w:val="22"/>
        </w:rPr>
        <w:t xml:space="preserve">The structural and fluid dynamic </w:t>
      </w:r>
      <w:r>
        <w:rPr>
          <w:rFonts w:ascii="Times New Roman" w:eastAsiaTheme="minorEastAsia" w:hAnsi="Times New Roman" w:cs="Times New Roman"/>
          <w:sz w:val="22"/>
          <w:szCs w:val="22"/>
        </w:rPr>
        <w:t>conditions</w:t>
      </w:r>
      <w:r w:rsidRPr="00AA7F29">
        <w:rPr>
          <w:rFonts w:ascii="Times New Roman" w:eastAsiaTheme="minorEastAsia" w:hAnsi="Times New Roman" w:cs="Times New Roman"/>
          <w:sz w:val="22"/>
          <w:szCs w:val="22"/>
        </w:rPr>
        <w:t xml:space="preserve"> within the detonation chamber </w:t>
      </w:r>
      <w:r>
        <w:rPr>
          <w:rFonts w:ascii="Times New Roman" w:eastAsiaTheme="minorEastAsia" w:hAnsi="Times New Roman" w:cs="Times New Roman"/>
          <w:sz w:val="22"/>
          <w:szCs w:val="22"/>
        </w:rPr>
        <w:t>are</w:t>
      </w:r>
      <w:r w:rsidRPr="00AA7F29">
        <w:rPr>
          <w:rFonts w:ascii="Times New Roman" w:eastAsiaTheme="minorEastAsia" w:hAnsi="Times New Roman" w:cs="Times New Roman"/>
          <w:sz w:val="22"/>
          <w:szCs w:val="22"/>
        </w:rPr>
        <w:t xml:space="preserve"> also severe. The detonation wave produces steep pressure and temperature gradients, followed by rapid blowdown, subjecting the chamber to cyclic thermal and mechanical loading. This raises concerns regarding fatigue, sealing, and the transmission of unsteady thrust loads to the airframe. Downstream, nozzle integration is complicated by the inherently unsteady exhaust. Maintaining choked flow at the throat in the presence of oscillatory back pressure is</w:t>
      </w:r>
      <w:r>
        <w:rPr>
          <w:rFonts w:ascii="Times New Roman" w:eastAsiaTheme="minorEastAsia" w:hAnsi="Times New Roman" w:cs="Times New Roman"/>
          <w:sz w:val="22"/>
          <w:szCs w:val="22"/>
        </w:rPr>
        <w:t xml:space="preserve"> challenging,</w:t>
      </w:r>
      <w:r w:rsidRPr="00AA7F29">
        <w:rPr>
          <w:rFonts w:ascii="Times New Roman" w:eastAsiaTheme="minorEastAsia" w:hAnsi="Times New Roman" w:cs="Times New Roman"/>
          <w:sz w:val="22"/>
          <w:szCs w:val="22"/>
        </w:rPr>
        <w:t xml:space="preserve"> and poorly matched nozzle geometries can reflect pressure waves back into the chamber, disrupting subsequent cycles and</w:t>
      </w:r>
      <w:r>
        <w:rPr>
          <w:rFonts w:ascii="Times New Roman" w:eastAsiaTheme="minorEastAsia" w:hAnsi="Times New Roman" w:cs="Times New Roman"/>
          <w:sz w:val="22"/>
          <w:szCs w:val="22"/>
        </w:rPr>
        <w:t>,</w:t>
      </w:r>
      <w:r w:rsidRPr="00AA7F29">
        <w:rPr>
          <w:rFonts w:ascii="Times New Roman" w:eastAsiaTheme="minorEastAsia" w:hAnsi="Times New Roman" w:cs="Times New Roman"/>
          <w:sz w:val="22"/>
          <w:szCs w:val="22"/>
        </w:rPr>
        <w:t xml:space="preserve"> in extreme cases</w:t>
      </w:r>
      <w:r>
        <w:rPr>
          <w:rFonts w:ascii="Times New Roman" w:eastAsiaTheme="minorEastAsia" w:hAnsi="Times New Roman" w:cs="Times New Roman"/>
          <w:sz w:val="22"/>
          <w:szCs w:val="22"/>
        </w:rPr>
        <w:t>,</w:t>
      </w:r>
      <w:r w:rsidRPr="00AA7F29">
        <w:rPr>
          <w:rFonts w:ascii="Times New Roman" w:eastAsiaTheme="minorEastAsia" w:hAnsi="Times New Roman" w:cs="Times New Roman"/>
          <w:sz w:val="22"/>
          <w:szCs w:val="22"/>
        </w:rPr>
        <w:t xml:space="preserve"> inducing backfiring. These effects introduce additional losses that offset the theoretical efficiency gains of the detonation cycle.</w:t>
      </w:r>
      <w:r>
        <w:rPr>
          <w:rFonts w:ascii="Times New Roman" w:eastAsiaTheme="minorEastAsia" w:hAnsi="Times New Roman" w:cs="Times New Roman"/>
          <w:sz w:val="22"/>
          <w:szCs w:val="22"/>
        </w:rPr>
        <w:t xml:space="preserve"> </w:t>
      </w:r>
    </w:p>
    <w:p w14:paraId="5F7B6D07" w14:textId="32FF2BFC" w:rsidR="00C860B8" w:rsidRDefault="00E00E21" w:rsidP="00C860B8">
      <w:pPr>
        <w:spacing w:line="240" w:lineRule="auto"/>
        <w:rPr>
          <w:rFonts w:ascii="Times New Roman" w:eastAsiaTheme="minorEastAsia" w:hAnsi="Times New Roman" w:cs="Times New Roman"/>
          <w:sz w:val="22"/>
          <w:szCs w:val="22"/>
        </w:rPr>
      </w:pPr>
      <w:r>
        <w:rPr>
          <w:rFonts w:ascii="Times New Roman" w:eastAsiaTheme="minorEastAsia" w:hAnsi="Times New Roman" w:cs="Times New Roman"/>
          <w:sz w:val="22"/>
          <w:szCs w:val="22"/>
        </w:rPr>
        <w:t>These</w:t>
      </w:r>
      <w:r w:rsidR="00C860B8">
        <w:rPr>
          <w:rFonts w:ascii="Times New Roman" w:eastAsiaTheme="minorEastAsia" w:hAnsi="Times New Roman" w:cs="Times New Roman"/>
          <w:sz w:val="22"/>
          <w:szCs w:val="22"/>
        </w:rPr>
        <w:t xml:space="preserve"> challenges limit the practical operating region of PDE-based propulsion. The need for discrete filling and detonation cycles constrains operating frequency and the smoothness of the thrust curve, while </w:t>
      </w:r>
      <w:r w:rsidR="00C860B8">
        <w:rPr>
          <w:rFonts w:ascii="Times New Roman" w:eastAsiaTheme="minorEastAsia" w:hAnsi="Times New Roman" w:cs="Times New Roman"/>
          <w:sz w:val="22"/>
          <w:szCs w:val="22"/>
        </w:rPr>
        <w:lastRenderedPageBreak/>
        <w:t xml:space="preserve">mixing requirements become increasingly </w:t>
      </w:r>
      <w:proofErr w:type="gramStart"/>
      <w:r w:rsidR="00C860B8">
        <w:rPr>
          <w:rFonts w:ascii="Times New Roman" w:eastAsiaTheme="minorEastAsia" w:hAnsi="Times New Roman" w:cs="Times New Roman"/>
          <w:sz w:val="22"/>
          <w:szCs w:val="22"/>
        </w:rPr>
        <w:t>constraining</w:t>
      </w:r>
      <w:proofErr w:type="gramEnd"/>
      <w:r w:rsidR="00C860B8">
        <w:rPr>
          <w:rFonts w:ascii="Times New Roman" w:eastAsiaTheme="minorEastAsia" w:hAnsi="Times New Roman" w:cs="Times New Roman"/>
          <w:sz w:val="22"/>
          <w:szCs w:val="22"/>
        </w:rPr>
        <w:t xml:space="preserve"> at higher flight speeds. As a result, PDE concepts are generally limited to the mid-supersonic regime, with performance degrading as conditions approach the hypersonic regime at Mach 5. For this reason, PDEs are often proposed as components in a combined cycle, where they serve as a transition between lower speeds and alternative combustion modes at higher Mach numbers. </w:t>
      </w:r>
    </w:p>
    <w:p w14:paraId="3AB84070" w14:textId="6D545F44" w:rsidR="00C860B8" w:rsidRPr="00C860B8" w:rsidRDefault="00C860B8" w:rsidP="00C860B8">
      <w:pPr>
        <w:spacing w:line="240" w:lineRule="auto"/>
        <w:rPr>
          <w:rFonts w:ascii="Times New Roman" w:eastAsiaTheme="minorEastAsia" w:hAnsi="Times New Roman" w:cs="Times New Roman"/>
          <w:sz w:val="22"/>
          <w:szCs w:val="22"/>
        </w:rPr>
      </w:pPr>
      <w:r w:rsidRPr="00AA7F29">
        <w:rPr>
          <w:rFonts w:ascii="Times New Roman" w:eastAsiaTheme="minorEastAsia" w:hAnsi="Times New Roman" w:cs="Times New Roman"/>
          <w:sz w:val="22"/>
          <w:szCs w:val="22"/>
        </w:rPr>
        <w:t>These limitations motivate the development of rotating detonation engines, which seek to retain the thermodynamic advantages of detonation while eliminating the inherently intermittent nature of the PDE cycle.</w:t>
      </w:r>
    </w:p>
    <w:p w14:paraId="59B01005" w14:textId="40E20A77" w:rsidR="00D14B45" w:rsidRPr="00F819DA" w:rsidRDefault="00D14B45" w:rsidP="00D14B45">
      <w:pPr>
        <w:rPr>
          <w:rFonts w:ascii="Times New Roman" w:hAnsi="Times New Roman" w:cs="Times New Roman"/>
          <w:b/>
          <w:bCs/>
          <w:sz w:val="22"/>
          <w:szCs w:val="22"/>
        </w:rPr>
      </w:pPr>
      <w:r w:rsidRPr="00F819DA">
        <w:rPr>
          <w:rFonts w:ascii="Times New Roman" w:hAnsi="Times New Roman" w:cs="Times New Roman"/>
          <w:b/>
          <w:bCs/>
          <w:sz w:val="22"/>
          <w:szCs w:val="22"/>
        </w:rPr>
        <w:t>Rotating Detonation Engines (≈2 pages)</w:t>
      </w:r>
    </w:p>
    <w:p w14:paraId="526362D6" w14:textId="0C41BB35" w:rsidR="00D14B45" w:rsidRDefault="00D14B45" w:rsidP="00D14B45">
      <w:pPr>
        <w:rPr>
          <w:rFonts w:ascii="Times New Roman" w:hAnsi="Times New Roman" w:cs="Times New Roman"/>
          <w:b/>
          <w:bCs/>
          <w:sz w:val="22"/>
          <w:szCs w:val="22"/>
        </w:rPr>
      </w:pPr>
      <w:r w:rsidRPr="00F819DA">
        <w:rPr>
          <w:rFonts w:ascii="Times New Roman" w:hAnsi="Times New Roman" w:cs="Times New Roman"/>
          <w:b/>
          <w:bCs/>
          <w:sz w:val="22"/>
          <w:szCs w:val="22"/>
        </w:rPr>
        <w:t xml:space="preserve">Emerging and Hybrid Concepts </w:t>
      </w:r>
    </w:p>
    <w:p w14:paraId="75465A12" w14:textId="745FB69F" w:rsidR="00FD654F" w:rsidRDefault="00FD654F" w:rsidP="00D14B45">
      <w:pPr>
        <w:rPr>
          <w:rFonts w:ascii="Times New Roman" w:hAnsi="Times New Roman" w:cs="Times New Roman"/>
          <w:sz w:val="22"/>
          <w:szCs w:val="22"/>
        </w:rPr>
      </w:pPr>
      <w:r>
        <w:rPr>
          <w:rFonts w:ascii="Times New Roman" w:hAnsi="Times New Roman" w:cs="Times New Roman"/>
          <w:sz w:val="22"/>
          <w:szCs w:val="22"/>
        </w:rPr>
        <w:t>Emerging combu</w:t>
      </w:r>
      <w:r w:rsidR="00B904AD">
        <w:rPr>
          <w:rFonts w:ascii="Times New Roman" w:hAnsi="Times New Roman" w:cs="Times New Roman"/>
          <w:sz w:val="22"/>
          <w:szCs w:val="22"/>
        </w:rPr>
        <w:t xml:space="preserve">stor concepts largely seek to close the gap between the thermodynamic potential of pressure-gain combustion and the practical limitations identified in existing methods. Rather than introducing entirely new cycle concepts, most recent efforts attempt to combine the positives of multiple combustion methods or to distribute heat losses in a way that mitigates mixing or unsteadiness degradation. The result is a set of hybrid architecture that </w:t>
      </w:r>
      <w:proofErr w:type="gramStart"/>
      <w:r w:rsidR="00B904AD">
        <w:rPr>
          <w:rFonts w:ascii="Times New Roman" w:hAnsi="Times New Roman" w:cs="Times New Roman"/>
          <w:sz w:val="22"/>
          <w:szCs w:val="22"/>
        </w:rPr>
        <w:t>attempt</w:t>
      </w:r>
      <w:proofErr w:type="gramEnd"/>
      <w:r w:rsidR="00B904AD">
        <w:rPr>
          <w:rFonts w:ascii="Times New Roman" w:hAnsi="Times New Roman" w:cs="Times New Roman"/>
          <w:sz w:val="22"/>
          <w:szCs w:val="22"/>
        </w:rPr>
        <w:t xml:space="preserve"> to improve operability and more effectively integrate with the flight vehicle.</w:t>
      </w:r>
    </w:p>
    <w:p w14:paraId="3EC7C0BD" w14:textId="5F1C642E" w:rsidR="00B904AD" w:rsidRDefault="00B904AD" w:rsidP="00D14B45">
      <w:pPr>
        <w:rPr>
          <w:rFonts w:ascii="Times New Roman" w:hAnsi="Times New Roman" w:cs="Times New Roman"/>
          <w:sz w:val="22"/>
          <w:szCs w:val="22"/>
        </w:rPr>
      </w:pPr>
      <w:r>
        <w:rPr>
          <w:rFonts w:ascii="Times New Roman" w:hAnsi="Times New Roman" w:cs="Times New Roman"/>
          <w:sz w:val="22"/>
          <w:szCs w:val="22"/>
        </w:rPr>
        <w:t xml:space="preserve">At the system level, combined cycle propulsion remains the most popular approach to developing efficient operation across the flight envelope. Turbine based combined cycle (TBCC) and rocket based combined cycle (RBCC) engines employ multiple propulsion modes, transitioning between modes to maximize efficiency at a given flight condition. In these architectures, conventional turbomachinery or rocket operation supports low speed operation, while ramjet or scramjet combustion becomes dominant at higher Mach numbers. A famous, early example of combined cycle operation is the SR-71 Blackbird, whose Pratt &amp; Whitney J58 turbojet engine functioned as a ramjet to speed the Blackbird </w:t>
      </w:r>
      <w:proofErr w:type="gramStart"/>
      <w:r>
        <w:rPr>
          <w:rFonts w:ascii="Times New Roman" w:hAnsi="Times New Roman" w:cs="Times New Roman"/>
          <w:sz w:val="22"/>
          <w:szCs w:val="22"/>
        </w:rPr>
        <w:t>in excess of</w:t>
      </w:r>
      <w:proofErr w:type="gramEnd"/>
      <w:r>
        <w:rPr>
          <w:rFonts w:ascii="Times New Roman" w:hAnsi="Times New Roman" w:cs="Times New Roman"/>
          <w:sz w:val="22"/>
          <w:szCs w:val="22"/>
        </w:rPr>
        <w:t xml:space="preserve"> Mach 3.2 [Cite.] </w:t>
      </w:r>
      <w:r w:rsidR="00826712" w:rsidRPr="00826712">
        <w:rPr>
          <w:rFonts w:ascii="Times New Roman" w:hAnsi="Times New Roman" w:cs="Times New Roman"/>
          <w:sz w:val="22"/>
          <w:szCs w:val="22"/>
        </w:rPr>
        <w:t>The relevance to high-efficiency combustion lies in how these systems manage heat addition across regimes where neither pure deflagration nor detonation-based operation is optimal. In particular, the limitations of PDEs at higher Mach numbers and the poor low-speed performance of scramjets motivate architectures in which different combustion modes are used sequentially rather than forced to operate outside their effective range. However, these systems introduce significant integration challenges, including mode transition stability, inlet</w:t>
      </w:r>
      <w:r w:rsidR="00826712">
        <w:rPr>
          <w:rFonts w:ascii="Times New Roman" w:hAnsi="Times New Roman" w:cs="Times New Roman"/>
          <w:sz w:val="22"/>
          <w:szCs w:val="22"/>
        </w:rPr>
        <w:t xml:space="preserve"> </w:t>
      </w:r>
      <w:r w:rsidR="00826712" w:rsidRPr="00826712">
        <w:rPr>
          <w:rFonts w:ascii="Times New Roman" w:hAnsi="Times New Roman" w:cs="Times New Roman"/>
          <w:sz w:val="22"/>
          <w:szCs w:val="22"/>
        </w:rPr>
        <w:t>combustor coupling, and overall system weight.</w:t>
      </w:r>
    </w:p>
    <w:p w14:paraId="1F418CA8" w14:textId="4DD0CCEE" w:rsidR="00826712" w:rsidRDefault="00826712" w:rsidP="00D14B45">
      <w:pPr>
        <w:rPr>
          <w:rFonts w:ascii="Times New Roman" w:hAnsi="Times New Roman" w:cs="Times New Roman"/>
          <w:sz w:val="22"/>
          <w:szCs w:val="22"/>
        </w:rPr>
      </w:pPr>
      <w:r>
        <w:rPr>
          <w:rFonts w:ascii="Times New Roman" w:hAnsi="Times New Roman" w:cs="Times New Roman"/>
          <w:sz w:val="22"/>
          <w:szCs w:val="22"/>
        </w:rPr>
        <w:t xml:space="preserve">In the combustor specifically, hybrid concepts attempt to capture some of the efficiency benefits of pressure-gain combustion while avoiding the strong unsteadiness associated with fully intermittent detonation cycles. These approaches include staged combustors in which localized regions of high reactivity support detonation processes embedded in otherwise continuous flow. The intent is to increase pressure during heat addition without global detonation. In practice, these configurations face competing requirements: maintaining sufficient stability for steady state operation while achieving significant pressure gain. As a result, they often realize only a portion of </w:t>
      </w:r>
      <w:proofErr w:type="gramStart"/>
      <w:r>
        <w:rPr>
          <w:rFonts w:ascii="Times New Roman" w:hAnsi="Times New Roman" w:cs="Times New Roman"/>
          <w:sz w:val="22"/>
          <w:szCs w:val="22"/>
        </w:rPr>
        <w:t>the theoretical</w:t>
      </w:r>
      <w:proofErr w:type="gramEnd"/>
      <w:r>
        <w:rPr>
          <w:rFonts w:ascii="Times New Roman" w:hAnsi="Times New Roman" w:cs="Times New Roman"/>
          <w:sz w:val="22"/>
          <w:szCs w:val="22"/>
        </w:rPr>
        <w:t xml:space="preserve"> efficiency </w:t>
      </w:r>
      <w:proofErr w:type="gramStart"/>
      <w:r>
        <w:rPr>
          <w:rFonts w:ascii="Times New Roman" w:hAnsi="Times New Roman" w:cs="Times New Roman"/>
          <w:sz w:val="22"/>
          <w:szCs w:val="22"/>
        </w:rPr>
        <w:t>improvement, but</w:t>
      </w:r>
      <w:proofErr w:type="gramEnd"/>
      <w:r>
        <w:rPr>
          <w:rFonts w:ascii="Times New Roman" w:hAnsi="Times New Roman" w:cs="Times New Roman"/>
          <w:sz w:val="22"/>
          <w:szCs w:val="22"/>
        </w:rPr>
        <w:t xml:space="preserve"> offer much improved controllability relative to PDEs. </w:t>
      </w:r>
    </w:p>
    <w:p w14:paraId="0425E26B" w14:textId="0BE4CC3F" w:rsidR="00826712" w:rsidRDefault="00826712" w:rsidP="00D14B45">
      <w:pPr>
        <w:rPr>
          <w:rFonts w:ascii="Times New Roman" w:hAnsi="Times New Roman" w:cs="Times New Roman"/>
          <w:sz w:val="22"/>
          <w:szCs w:val="22"/>
        </w:rPr>
      </w:pPr>
      <w:r w:rsidRPr="00826712">
        <w:rPr>
          <w:rFonts w:ascii="Times New Roman" w:hAnsi="Times New Roman" w:cs="Times New Roman"/>
          <w:sz w:val="22"/>
          <w:szCs w:val="22"/>
        </w:rPr>
        <w:t xml:space="preserve">In parallel, </w:t>
      </w:r>
      <w:r w:rsidRPr="00826712">
        <w:rPr>
          <w:rFonts w:ascii="Times New Roman" w:hAnsi="Times New Roman" w:cs="Times New Roman"/>
          <w:sz w:val="22"/>
          <w:szCs w:val="22"/>
        </w:rPr>
        <w:t>several</w:t>
      </w:r>
      <w:r w:rsidRPr="00826712">
        <w:rPr>
          <w:rFonts w:ascii="Times New Roman" w:hAnsi="Times New Roman" w:cs="Times New Roman"/>
          <w:sz w:val="22"/>
          <w:szCs w:val="22"/>
        </w:rPr>
        <w:t xml:space="preserve"> enabling technologies have emerged that support both conventional and detonation-based combustors. High-speed mixing strategies, including enhanced fuel injection schemes and geometric features that promote rapid shear-layer growth</w:t>
      </w:r>
      <w:r>
        <w:rPr>
          <w:rFonts w:ascii="Times New Roman" w:hAnsi="Times New Roman" w:cs="Times New Roman"/>
          <w:sz w:val="22"/>
          <w:szCs w:val="22"/>
        </w:rPr>
        <w:t xml:space="preserve"> </w:t>
      </w:r>
      <w:r w:rsidRPr="00826712">
        <w:rPr>
          <w:rFonts w:ascii="Times New Roman" w:hAnsi="Times New Roman" w:cs="Times New Roman"/>
          <w:sz w:val="22"/>
          <w:szCs w:val="22"/>
        </w:rPr>
        <w:t xml:space="preserve">aim to </w:t>
      </w:r>
      <w:r>
        <w:rPr>
          <w:rFonts w:ascii="Times New Roman" w:hAnsi="Times New Roman" w:cs="Times New Roman"/>
          <w:sz w:val="22"/>
          <w:szCs w:val="22"/>
        </w:rPr>
        <w:t>mitigate</w:t>
      </w:r>
      <w:r w:rsidRPr="00826712">
        <w:rPr>
          <w:rFonts w:ascii="Times New Roman" w:hAnsi="Times New Roman" w:cs="Times New Roman"/>
          <w:sz w:val="22"/>
          <w:szCs w:val="22"/>
        </w:rPr>
        <w:t xml:space="preserve"> the </w:t>
      </w:r>
      <w:r>
        <w:rPr>
          <w:rFonts w:ascii="Times New Roman" w:hAnsi="Times New Roman" w:cs="Times New Roman"/>
          <w:sz w:val="22"/>
          <w:szCs w:val="22"/>
        </w:rPr>
        <w:t>mixing constraint</w:t>
      </w:r>
      <w:r w:rsidRPr="00826712">
        <w:rPr>
          <w:rFonts w:ascii="Times New Roman" w:hAnsi="Times New Roman" w:cs="Times New Roman"/>
          <w:sz w:val="22"/>
          <w:szCs w:val="22"/>
        </w:rPr>
        <w:t xml:space="preserve"> of hypersonic combustion. Advances in ignition systems target reliable and repeatable detonation initiation </w:t>
      </w:r>
      <w:r>
        <w:rPr>
          <w:rFonts w:ascii="Times New Roman" w:hAnsi="Times New Roman" w:cs="Times New Roman"/>
          <w:sz w:val="22"/>
          <w:szCs w:val="22"/>
        </w:rPr>
        <w:lastRenderedPageBreak/>
        <w:t>with minimal additional</w:t>
      </w:r>
      <w:r w:rsidRPr="00826712">
        <w:rPr>
          <w:rFonts w:ascii="Times New Roman" w:hAnsi="Times New Roman" w:cs="Times New Roman"/>
          <w:sz w:val="22"/>
          <w:szCs w:val="22"/>
        </w:rPr>
        <w:t xml:space="preserve"> energy input or system complexity. Active flow control</w:t>
      </w:r>
      <w:r>
        <w:rPr>
          <w:rFonts w:ascii="Times New Roman" w:hAnsi="Times New Roman" w:cs="Times New Roman"/>
          <w:sz w:val="22"/>
          <w:szCs w:val="22"/>
        </w:rPr>
        <w:t xml:space="preserve"> (AFC)</w:t>
      </w:r>
      <w:r w:rsidRPr="00826712">
        <w:rPr>
          <w:rFonts w:ascii="Times New Roman" w:hAnsi="Times New Roman" w:cs="Times New Roman"/>
          <w:sz w:val="22"/>
          <w:szCs w:val="22"/>
        </w:rPr>
        <w:t xml:space="preserve"> techniques have also been investigated to manage unsteady interactions between shocks, reaction zones, and boundary layers. While these developments do not constitute new engine cycles, </w:t>
      </w:r>
      <w:r>
        <w:rPr>
          <w:rFonts w:ascii="Times New Roman" w:hAnsi="Times New Roman" w:cs="Times New Roman"/>
          <w:sz w:val="22"/>
          <w:szCs w:val="22"/>
        </w:rPr>
        <w:t>they go a long way towards practical detonation combustion cycles.</w:t>
      </w:r>
    </w:p>
    <w:p w14:paraId="2651D3D0" w14:textId="252D5A1A" w:rsidR="00826712" w:rsidRPr="00FD654F" w:rsidRDefault="00826712" w:rsidP="00D14B45">
      <w:pPr>
        <w:rPr>
          <w:rFonts w:ascii="Times New Roman" w:hAnsi="Times New Roman" w:cs="Times New Roman"/>
          <w:sz w:val="22"/>
          <w:szCs w:val="22"/>
        </w:rPr>
      </w:pPr>
      <w:r>
        <w:rPr>
          <w:rFonts w:ascii="Times New Roman" w:hAnsi="Times New Roman" w:cs="Times New Roman"/>
          <w:sz w:val="22"/>
          <w:szCs w:val="22"/>
        </w:rPr>
        <w:t>Taken together, these emerging and hybrid approaches demonstrate incremental progress towards practical pressure-gain combustion in airbreathing propulsion systems. However, they do not circumvent the fundamental limitations imposed by finite-time mixing, total pressure losses, and extreme environments. Instead, they redistribute these challenges in ways that improve operability and extend the feasible flight envelope.</w:t>
      </w:r>
    </w:p>
    <w:p w14:paraId="5433E5BB" w14:textId="77777777" w:rsidR="00D14B45" w:rsidRPr="00F819DA" w:rsidRDefault="00D14B45" w:rsidP="00D14B45">
      <w:pPr>
        <w:rPr>
          <w:rFonts w:ascii="Times New Roman" w:hAnsi="Times New Roman" w:cs="Times New Roman"/>
          <w:b/>
          <w:bCs/>
          <w:sz w:val="22"/>
          <w:szCs w:val="22"/>
        </w:rPr>
      </w:pPr>
      <w:r w:rsidRPr="00F819DA">
        <w:rPr>
          <w:rFonts w:ascii="Times New Roman" w:hAnsi="Times New Roman" w:cs="Times New Roman"/>
          <w:b/>
          <w:bCs/>
          <w:sz w:val="22"/>
          <w:szCs w:val="22"/>
        </w:rPr>
        <w:t>Conclusion (≈0.5–0.75 page)</w:t>
      </w:r>
    </w:p>
    <w:p w14:paraId="48FA8700" w14:textId="0E243BE1" w:rsidR="00D14B45" w:rsidRPr="000E3928" w:rsidRDefault="00D14B45" w:rsidP="00D14B45">
      <w:pPr>
        <w:rPr>
          <w:rFonts w:ascii="Times New Roman" w:hAnsi="Times New Roman" w:cs="Times New Roman"/>
          <w:sz w:val="22"/>
          <w:szCs w:val="22"/>
        </w:rPr>
      </w:pPr>
    </w:p>
    <w:p w14:paraId="4E19EC2E" w14:textId="77777777" w:rsidR="00D14B45" w:rsidRPr="00D27BDC" w:rsidRDefault="00D14B45" w:rsidP="00D14B45">
      <w:pPr>
        <w:spacing w:line="240" w:lineRule="auto"/>
        <w:rPr>
          <w:rFonts w:ascii="Times New Roman" w:hAnsi="Times New Roman" w:cs="Times New Roman"/>
          <w:sz w:val="22"/>
          <w:szCs w:val="22"/>
        </w:rPr>
      </w:pPr>
    </w:p>
    <w:p w14:paraId="5386911A" w14:textId="77777777" w:rsidR="00D14B45" w:rsidRPr="00D27BDC" w:rsidRDefault="00D14B45" w:rsidP="00D14B45">
      <w:pPr>
        <w:spacing w:line="240" w:lineRule="auto"/>
        <w:rPr>
          <w:rFonts w:ascii="Times New Roman" w:hAnsi="Times New Roman" w:cs="Times New Roman"/>
          <w:sz w:val="22"/>
          <w:szCs w:val="22"/>
        </w:rPr>
      </w:pPr>
    </w:p>
    <w:p w14:paraId="405C048E" w14:textId="77777777" w:rsidR="00D14B45" w:rsidRDefault="00D14B45">
      <w:pPr>
        <w:rPr>
          <w:rFonts w:ascii="Times New Roman" w:hAnsi="Times New Roman" w:cs="Times New Roman"/>
          <w:b/>
          <w:bCs/>
          <w:sz w:val="22"/>
          <w:szCs w:val="22"/>
        </w:rPr>
      </w:pPr>
      <w:r>
        <w:rPr>
          <w:rFonts w:ascii="Times New Roman" w:hAnsi="Times New Roman" w:cs="Times New Roman"/>
          <w:b/>
          <w:bCs/>
          <w:sz w:val="22"/>
          <w:szCs w:val="22"/>
        </w:rPr>
        <w:br w:type="page"/>
      </w:r>
    </w:p>
    <w:p w14:paraId="6290868B" w14:textId="1F19EB13" w:rsidR="00F819DA" w:rsidRPr="00F819DA" w:rsidRDefault="00F819DA" w:rsidP="00F819DA">
      <w:pPr>
        <w:spacing w:line="240" w:lineRule="auto"/>
        <w:rPr>
          <w:rFonts w:ascii="Times New Roman" w:hAnsi="Times New Roman" w:cs="Times New Roman"/>
          <w:b/>
          <w:bCs/>
          <w:sz w:val="22"/>
          <w:szCs w:val="22"/>
        </w:rPr>
      </w:pPr>
      <w:r w:rsidRPr="00F819DA">
        <w:rPr>
          <w:rFonts w:ascii="Times New Roman" w:hAnsi="Times New Roman" w:cs="Times New Roman"/>
          <w:b/>
          <w:bCs/>
          <w:sz w:val="22"/>
          <w:szCs w:val="22"/>
        </w:rPr>
        <w:lastRenderedPageBreak/>
        <w:t>Bibliography</w:t>
      </w:r>
    </w:p>
    <w:p w14:paraId="5D867F1A" w14:textId="77777777" w:rsidR="00F819DA" w:rsidRPr="00F819DA" w:rsidRDefault="00F819DA" w:rsidP="00F819DA">
      <w:pPr>
        <w:spacing w:line="240" w:lineRule="auto"/>
        <w:rPr>
          <w:rFonts w:ascii="Times New Roman" w:hAnsi="Times New Roman" w:cs="Times New Roman"/>
          <w:sz w:val="22"/>
          <w:szCs w:val="22"/>
        </w:rPr>
      </w:pPr>
      <w:r w:rsidRPr="00F819DA">
        <w:rPr>
          <w:rFonts w:ascii="Times New Roman" w:hAnsi="Times New Roman" w:cs="Times New Roman"/>
          <w:sz w:val="22"/>
          <w:szCs w:val="22"/>
        </w:rPr>
        <w:t>[</w:t>
      </w:r>
      <w:r w:rsidRPr="00E7516E">
        <w:rPr>
          <w:rFonts w:ascii="Times New Roman" w:hAnsi="Times New Roman" w:cs="Times New Roman"/>
          <w:sz w:val="22"/>
          <w:szCs w:val="22"/>
        </w:rPr>
        <w:t>1</w:t>
      </w:r>
      <w:r w:rsidRPr="00F819DA">
        <w:rPr>
          <w:rFonts w:ascii="Times New Roman" w:hAnsi="Times New Roman" w:cs="Times New Roman"/>
          <w:sz w:val="22"/>
          <w:szCs w:val="22"/>
        </w:rPr>
        <w:t xml:space="preserve">] </w:t>
      </w:r>
      <w:r w:rsidRPr="00E7516E">
        <w:rPr>
          <w:rFonts w:ascii="Times New Roman" w:hAnsi="Times New Roman" w:cs="Times New Roman"/>
          <w:sz w:val="22"/>
          <w:szCs w:val="22"/>
        </w:rPr>
        <w:t xml:space="preserve">Heiser, W. H., and Pratt, D. T., </w:t>
      </w:r>
      <w:r w:rsidRPr="00E7516E">
        <w:rPr>
          <w:rFonts w:ascii="Times New Roman" w:hAnsi="Times New Roman" w:cs="Times New Roman"/>
          <w:i/>
          <w:iCs/>
          <w:sz w:val="22"/>
          <w:szCs w:val="22"/>
        </w:rPr>
        <w:t>Hypersonic airbreathing propulsion</w:t>
      </w:r>
      <w:r w:rsidRPr="00E7516E">
        <w:rPr>
          <w:rFonts w:ascii="Times New Roman" w:hAnsi="Times New Roman" w:cs="Times New Roman"/>
          <w:sz w:val="22"/>
          <w:szCs w:val="22"/>
        </w:rPr>
        <w:t xml:space="preserve">, Washington, D.C.: American Institute of Aeronautics and Astronautics, 1994. </w:t>
      </w:r>
    </w:p>
    <w:p w14:paraId="0BC6E4E9" w14:textId="77777777" w:rsidR="00F819DA" w:rsidRDefault="00F819DA" w:rsidP="00F819DA">
      <w:pPr>
        <w:spacing w:line="240" w:lineRule="auto"/>
        <w:rPr>
          <w:rFonts w:ascii="Times New Roman" w:hAnsi="Times New Roman" w:cs="Times New Roman"/>
          <w:sz w:val="22"/>
          <w:szCs w:val="22"/>
        </w:rPr>
      </w:pPr>
      <w:r w:rsidRPr="00F819DA">
        <w:rPr>
          <w:rFonts w:ascii="Times New Roman" w:hAnsi="Times New Roman" w:cs="Times New Roman"/>
          <w:sz w:val="22"/>
          <w:szCs w:val="22"/>
        </w:rPr>
        <w:t xml:space="preserve">[2] </w:t>
      </w:r>
      <w:proofErr w:type="spellStart"/>
      <w:r w:rsidRPr="00E7516E">
        <w:rPr>
          <w:rFonts w:ascii="Times New Roman" w:hAnsi="Times New Roman" w:cs="Times New Roman"/>
          <w:sz w:val="22"/>
          <w:szCs w:val="22"/>
        </w:rPr>
        <w:t>Wolański</w:t>
      </w:r>
      <w:proofErr w:type="spellEnd"/>
      <w:r w:rsidRPr="00E7516E">
        <w:rPr>
          <w:rFonts w:ascii="Times New Roman" w:hAnsi="Times New Roman" w:cs="Times New Roman"/>
          <w:sz w:val="22"/>
          <w:szCs w:val="22"/>
        </w:rPr>
        <w:t xml:space="preserve">, P., “Detonative propulsion,” </w:t>
      </w:r>
      <w:r w:rsidRPr="00E7516E">
        <w:rPr>
          <w:rFonts w:ascii="Times New Roman" w:hAnsi="Times New Roman" w:cs="Times New Roman"/>
          <w:i/>
          <w:iCs/>
          <w:sz w:val="22"/>
          <w:szCs w:val="22"/>
        </w:rPr>
        <w:t>Proceedings of the Combustion Institute</w:t>
      </w:r>
      <w:r w:rsidRPr="00E7516E">
        <w:rPr>
          <w:rFonts w:ascii="Times New Roman" w:hAnsi="Times New Roman" w:cs="Times New Roman"/>
          <w:sz w:val="22"/>
          <w:szCs w:val="22"/>
        </w:rPr>
        <w:t>, vol. 34,</w:t>
      </w:r>
      <w:r w:rsidRPr="00F819DA">
        <w:rPr>
          <w:rFonts w:ascii="Times New Roman" w:hAnsi="Times New Roman" w:cs="Times New Roman"/>
          <w:sz w:val="22"/>
          <w:szCs w:val="22"/>
        </w:rPr>
        <w:t xml:space="preserve"> issue 1,</w:t>
      </w:r>
      <w:r w:rsidRPr="00E7516E">
        <w:rPr>
          <w:rFonts w:ascii="Times New Roman" w:hAnsi="Times New Roman" w:cs="Times New Roman"/>
          <w:sz w:val="22"/>
          <w:szCs w:val="22"/>
        </w:rPr>
        <w:t xml:space="preserve"> 2013. </w:t>
      </w:r>
    </w:p>
    <w:p w14:paraId="48F8E0A0" w14:textId="77777777" w:rsidR="00D14B45" w:rsidRDefault="00D14B45" w:rsidP="00D14B45">
      <w:pPr>
        <w:spacing w:line="240" w:lineRule="auto"/>
        <w:rPr>
          <w:rFonts w:ascii="Times New Roman" w:hAnsi="Times New Roman" w:cs="Times New Roman"/>
          <w:sz w:val="22"/>
          <w:szCs w:val="22"/>
        </w:rPr>
      </w:pPr>
      <w:r>
        <w:rPr>
          <w:rFonts w:ascii="Times New Roman" w:hAnsi="Times New Roman" w:cs="Times New Roman"/>
          <w:sz w:val="22"/>
          <w:szCs w:val="22"/>
        </w:rPr>
        <w:t xml:space="preserve">[1] </w:t>
      </w:r>
      <w:r w:rsidRPr="00D27BDC">
        <w:rPr>
          <w:rFonts w:ascii="Times New Roman" w:hAnsi="Times New Roman" w:cs="Times New Roman"/>
          <w:sz w:val="22"/>
          <w:szCs w:val="22"/>
        </w:rPr>
        <w:t>Cooper </w:t>
      </w:r>
      <w:r w:rsidRPr="00D27BDC">
        <w:rPr>
          <w:rFonts w:ascii="Times New Roman" w:hAnsi="Times New Roman" w:cs="Times New Roman"/>
          <w:i/>
          <w:iCs/>
          <w:sz w:val="22"/>
          <w:szCs w:val="22"/>
        </w:rPr>
        <w:t>Flight</w:t>
      </w:r>
      <w:r w:rsidRPr="00D27BDC">
        <w:rPr>
          <w:rFonts w:ascii="Times New Roman" w:hAnsi="Times New Roman" w:cs="Times New Roman"/>
          <w:sz w:val="22"/>
          <w:szCs w:val="22"/>
        </w:rPr>
        <w:t> 25 May 1951, p. 619.</w:t>
      </w:r>
    </w:p>
    <w:p w14:paraId="0ECE2BE0" w14:textId="77777777" w:rsidR="00D14B45" w:rsidRPr="00D27BDC" w:rsidRDefault="00D14B45" w:rsidP="00D14B45">
      <w:pPr>
        <w:spacing w:line="240" w:lineRule="auto"/>
        <w:rPr>
          <w:rFonts w:ascii="Times New Roman" w:hAnsi="Times New Roman" w:cs="Times New Roman"/>
          <w:sz w:val="22"/>
          <w:szCs w:val="22"/>
        </w:rPr>
      </w:pPr>
      <w:r>
        <w:rPr>
          <w:rFonts w:ascii="Times New Roman" w:hAnsi="Times New Roman" w:cs="Times New Roman"/>
          <w:sz w:val="22"/>
          <w:szCs w:val="22"/>
        </w:rPr>
        <w:t xml:space="preserve">[2] </w:t>
      </w:r>
      <w:r w:rsidRPr="00D27BDC">
        <w:rPr>
          <w:rFonts w:ascii="Times New Roman" w:hAnsi="Times New Roman" w:cs="Times New Roman"/>
          <w:sz w:val="22"/>
          <w:szCs w:val="22"/>
        </w:rPr>
        <w:t>A.A. Putnam, F.E. Belles, J.A.C. Kentfield,</w:t>
      </w:r>
    </w:p>
    <w:p w14:paraId="1675EA5F"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Pulse combustion,</w:t>
      </w:r>
    </w:p>
    <w:p w14:paraId="44AD089E"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Progress in Energy and Combustion Science,</w:t>
      </w:r>
    </w:p>
    <w:p w14:paraId="3D306187"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Volume 12, Issue 1,</w:t>
      </w:r>
    </w:p>
    <w:p w14:paraId="041A4081"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1986,</w:t>
      </w:r>
    </w:p>
    <w:p w14:paraId="7E293AC6"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Pages 43-79,</w:t>
      </w:r>
    </w:p>
    <w:p w14:paraId="0EC0BAB0"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ISSN 0360-1285,</w:t>
      </w:r>
    </w:p>
    <w:p w14:paraId="12C6B60D" w14:textId="77777777" w:rsidR="00D14B45" w:rsidRPr="00D27BDC" w:rsidRDefault="00D14B45" w:rsidP="00D14B45">
      <w:pPr>
        <w:spacing w:line="240" w:lineRule="auto"/>
        <w:rPr>
          <w:rFonts w:ascii="Times New Roman" w:hAnsi="Times New Roman" w:cs="Times New Roman"/>
          <w:sz w:val="22"/>
          <w:szCs w:val="22"/>
        </w:rPr>
      </w:pPr>
      <w:hyperlink r:id="rId4" w:history="1">
        <w:r w:rsidRPr="00D27BDC">
          <w:rPr>
            <w:rStyle w:val="Hyperlink"/>
            <w:rFonts w:ascii="Times New Roman" w:hAnsi="Times New Roman" w:cs="Times New Roman"/>
            <w:sz w:val="22"/>
            <w:szCs w:val="22"/>
          </w:rPr>
          <w:t>https://doi.org/10.1016/0360-1285(86)90013-4</w:t>
        </w:r>
      </w:hyperlink>
      <w:r w:rsidRPr="00D27BDC">
        <w:rPr>
          <w:rFonts w:ascii="Times New Roman" w:hAnsi="Times New Roman" w:cs="Times New Roman"/>
          <w:sz w:val="22"/>
          <w:szCs w:val="22"/>
        </w:rPr>
        <w:t>.</w:t>
      </w:r>
    </w:p>
    <w:p w14:paraId="6C42C878" w14:textId="77777777" w:rsidR="00D14B45" w:rsidRPr="00D27BDC"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w:t>
      </w:r>
      <w:hyperlink r:id="rId5" w:history="1">
        <w:r w:rsidRPr="00D27BDC">
          <w:rPr>
            <w:rStyle w:val="Hyperlink"/>
            <w:rFonts w:ascii="Times New Roman" w:hAnsi="Times New Roman" w:cs="Times New Roman"/>
            <w:sz w:val="22"/>
            <w:szCs w:val="22"/>
          </w:rPr>
          <w:t>https://www.sciencedirect.com/science/article/pii/0360128586900134</w:t>
        </w:r>
      </w:hyperlink>
      <w:r w:rsidRPr="00D27BDC">
        <w:rPr>
          <w:rFonts w:ascii="Times New Roman" w:hAnsi="Times New Roman" w:cs="Times New Roman"/>
          <w:sz w:val="22"/>
          <w:szCs w:val="22"/>
        </w:rPr>
        <w:t>)</w:t>
      </w:r>
    </w:p>
    <w:p w14:paraId="591182D4" w14:textId="77777777" w:rsidR="00D14B45" w:rsidRDefault="00D14B45" w:rsidP="00D14B45">
      <w:pPr>
        <w:spacing w:line="240" w:lineRule="auto"/>
        <w:rPr>
          <w:rFonts w:ascii="Times New Roman" w:hAnsi="Times New Roman" w:cs="Times New Roman"/>
          <w:sz w:val="22"/>
          <w:szCs w:val="22"/>
        </w:rPr>
      </w:pPr>
      <w:r w:rsidRPr="00D27BDC">
        <w:rPr>
          <w:rFonts w:ascii="Times New Roman" w:hAnsi="Times New Roman" w:cs="Times New Roman"/>
          <w:sz w:val="22"/>
          <w:szCs w:val="22"/>
        </w:rPr>
        <w:t xml:space="preserve">Abstract: Pulse combustors, first recorded in the literature in 1906, initially reached prominence as the propulsive engine for the V-1 in World War II. While various uses followed in small quantities, it was not until the successful marketing of the Lennox Pulse warm-air furnace and the Hydro-Pulse hydronic heating unit for residential heating in the early 1980's that the concept really gained credibility. This study first attempts to follow the meandering history of development through the years. Then several examples are presented of modern test results applicable to pulse combustion in general, to </w:t>
      </w:r>
      <w:proofErr w:type="gramStart"/>
      <w:r w:rsidRPr="00D27BDC">
        <w:rPr>
          <w:rFonts w:ascii="Times New Roman" w:hAnsi="Times New Roman" w:cs="Times New Roman"/>
          <w:sz w:val="22"/>
          <w:szCs w:val="22"/>
        </w:rPr>
        <w:t>mechanically-valved</w:t>
      </w:r>
      <w:proofErr w:type="gramEnd"/>
      <w:r w:rsidRPr="00D27BDC">
        <w:rPr>
          <w:rFonts w:ascii="Times New Roman" w:hAnsi="Times New Roman" w:cs="Times New Roman"/>
          <w:sz w:val="22"/>
          <w:szCs w:val="22"/>
        </w:rPr>
        <w:t xml:space="preserve"> units, and to </w:t>
      </w:r>
      <w:proofErr w:type="spellStart"/>
      <w:r w:rsidRPr="00D27BDC">
        <w:rPr>
          <w:rFonts w:ascii="Times New Roman" w:hAnsi="Times New Roman" w:cs="Times New Roman"/>
          <w:sz w:val="22"/>
          <w:szCs w:val="22"/>
        </w:rPr>
        <w:t>aerovalved</w:t>
      </w:r>
      <w:proofErr w:type="spellEnd"/>
      <w:r w:rsidRPr="00D27BDC">
        <w:rPr>
          <w:rFonts w:ascii="Times New Roman" w:hAnsi="Times New Roman" w:cs="Times New Roman"/>
          <w:sz w:val="22"/>
          <w:szCs w:val="22"/>
        </w:rPr>
        <w:t xml:space="preserve"> units. The concluding remarks concentrate on the large variety of possible uses of pulse combustors, including many that are in the developmental stage at the present time.</w:t>
      </w:r>
    </w:p>
    <w:p w14:paraId="0FD4D3C3" w14:textId="77777777" w:rsidR="00D14B45" w:rsidRDefault="00D14B45" w:rsidP="00D14B45">
      <w:pPr>
        <w:spacing w:line="240" w:lineRule="auto"/>
        <w:rPr>
          <w:rFonts w:ascii="Times New Roman" w:hAnsi="Times New Roman" w:cs="Times New Roman"/>
          <w:sz w:val="22"/>
          <w:szCs w:val="22"/>
        </w:rPr>
      </w:pPr>
      <w:r>
        <w:rPr>
          <w:rFonts w:ascii="Times New Roman" w:hAnsi="Times New Roman" w:cs="Times New Roman"/>
          <w:sz w:val="22"/>
          <w:szCs w:val="22"/>
        </w:rPr>
        <w:t xml:space="preserve">[3] </w:t>
      </w:r>
      <w:r w:rsidRPr="00A52A8B">
        <w:rPr>
          <w:rFonts w:ascii="Times New Roman" w:hAnsi="Times New Roman" w:cs="Times New Roman"/>
          <w:sz w:val="22"/>
          <w:szCs w:val="22"/>
        </w:rPr>
        <w:t>Werrell, Kenneth P. (1985), </w:t>
      </w:r>
      <w:hyperlink r:id="rId6" w:history="1">
        <w:r w:rsidRPr="00A52A8B">
          <w:rPr>
            <w:rStyle w:val="Hyperlink"/>
            <w:rFonts w:ascii="Times New Roman" w:hAnsi="Times New Roman" w:cs="Times New Roman"/>
            <w:i/>
            <w:iCs/>
            <w:sz w:val="22"/>
            <w:szCs w:val="22"/>
          </w:rPr>
          <w:t>The Evolution of the Cruise Missile</w:t>
        </w:r>
      </w:hyperlink>
      <w:r w:rsidRPr="00A52A8B">
        <w:rPr>
          <w:rFonts w:ascii="Times New Roman" w:hAnsi="Times New Roman" w:cs="Times New Roman"/>
          <w:sz w:val="22"/>
          <w:szCs w:val="22"/>
        </w:rPr>
        <w:t> (PDF), Maxwell Air Force Base, AL: Air University Press</w:t>
      </w:r>
    </w:p>
    <w:p w14:paraId="72CCA406" w14:textId="77777777" w:rsidR="00D14B45" w:rsidRDefault="00D14B45" w:rsidP="00D14B45">
      <w:pPr>
        <w:spacing w:line="240" w:lineRule="auto"/>
        <w:rPr>
          <w:rFonts w:ascii="Times New Roman" w:hAnsi="Times New Roman" w:cs="Times New Roman"/>
          <w:sz w:val="22"/>
          <w:szCs w:val="22"/>
        </w:rPr>
      </w:pPr>
      <w:r>
        <w:rPr>
          <w:rFonts w:ascii="Times New Roman" w:hAnsi="Times New Roman" w:cs="Times New Roman"/>
          <w:sz w:val="22"/>
          <w:szCs w:val="22"/>
        </w:rPr>
        <w:t xml:space="preserve">[4] </w:t>
      </w:r>
      <w:r w:rsidRPr="000E3928">
        <w:rPr>
          <w:rFonts w:ascii="Times New Roman" w:hAnsi="Times New Roman" w:cs="Times New Roman"/>
          <w:sz w:val="22"/>
          <w:szCs w:val="22"/>
        </w:rPr>
        <w:t>GB190727724A</w:t>
      </w:r>
      <w:r>
        <w:rPr>
          <w:rFonts w:ascii="Times New Roman" w:hAnsi="Times New Roman" w:cs="Times New Roman"/>
          <w:sz w:val="22"/>
          <w:szCs w:val="22"/>
        </w:rPr>
        <w:t xml:space="preserve"> 1906 Patent for explosive combustor</w:t>
      </w:r>
    </w:p>
    <w:p w14:paraId="2FBD5F42" w14:textId="77777777" w:rsidR="00D14B45" w:rsidRDefault="00D14B45" w:rsidP="00D14B45">
      <w:pPr>
        <w:spacing w:line="240" w:lineRule="auto"/>
        <w:rPr>
          <w:rFonts w:ascii="Times New Roman" w:hAnsi="Times New Roman" w:cs="Times New Roman"/>
          <w:sz w:val="22"/>
          <w:szCs w:val="22"/>
        </w:rPr>
      </w:pPr>
      <w:r>
        <w:rPr>
          <w:rFonts w:ascii="Times New Roman" w:hAnsi="Times New Roman" w:cs="Times New Roman"/>
          <w:sz w:val="22"/>
          <w:szCs w:val="22"/>
        </w:rPr>
        <w:t xml:space="preserve">[5] </w:t>
      </w:r>
      <w:hyperlink r:id="rId7" w:history="1">
        <w:r w:rsidRPr="009C4FEE">
          <w:rPr>
            <w:rStyle w:val="Hyperlink"/>
            <w:rFonts w:ascii="Times New Roman" w:hAnsi="Times New Roman" w:cs="Times New Roman"/>
            <w:sz w:val="22"/>
            <w:szCs w:val="22"/>
          </w:rPr>
          <w:t>https://apps.dtic.mil/sti/tr/pdf/ADA390257.pdf</w:t>
        </w:r>
      </w:hyperlink>
    </w:p>
    <w:p w14:paraId="0EFC422B" w14:textId="77777777" w:rsidR="00D14B45" w:rsidRDefault="00D14B45" w:rsidP="00D14B45">
      <w:pPr>
        <w:spacing w:line="240" w:lineRule="auto"/>
        <w:rPr>
          <w:rFonts w:ascii="Times New Roman" w:hAnsi="Times New Roman" w:cs="Times New Roman"/>
          <w:sz w:val="22"/>
          <w:szCs w:val="22"/>
        </w:rPr>
      </w:pPr>
      <w:r>
        <w:rPr>
          <w:rFonts w:ascii="Times New Roman" w:hAnsi="Times New Roman" w:cs="Times New Roman"/>
          <w:sz w:val="22"/>
          <w:szCs w:val="22"/>
        </w:rPr>
        <w:t xml:space="preserve">[6] </w:t>
      </w:r>
      <w:r w:rsidRPr="003732ED">
        <w:rPr>
          <w:rFonts w:ascii="Times New Roman" w:hAnsi="Times New Roman" w:cs="Times New Roman"/>
          <w:sz w:val="22"/>
          <w:szCs w:val="22"/>
        </w:rPr>
        <w:t xml:space="preserve">T. </w:t>
      </w:r>
      <w:proofErr w:type="spellStart"/>
      <w:r w:rsidRPr="003732ED">
        <w:rPr>
          <w:rFonts w:ascii="Times New Roman" w:hAnsi="Times New Roman" w:cs="Times New Roman"/>
          <w:sz w:val="22"/>
          <w:szCs w:val="22"/>
        </w:rPr>
        <w:t>Bussings</w:t>
      </w:r>
      <w:proofErr w:type="spellEnd"/>
      <w:r w:rsidRPr="003732ED">
        <w:rPr>
          <w:rFonts w:ascii="Times New Roman" w:hAnsi="Times New Roman" w:cs="Times New Roman"/>
          <w:sz w:val="22"/>
          <w:szCs w:val="22"/>
        </w:rPr>
        <w:t xml:space="preserve"> and G. Pappas, Adroit Systems, Inc., "Pulse Detonation Engine Theory and Concepts," Developments in High-Speed-Vehicle Propulsion Systems, AIAA Progress in Astronautics and Aeronautics, Vol. 165, pp. 421-472 (1996), U-A.</w:t>
      </w:r>
    </w:p>
    <w:p w14:paraId="7E832144" w14:textId="77777777" w:rsidR="00D14B45" w:rsidRDefault="00D14B45" w:rsidP="00D14B45">
      <w:pPr>
        <w:spacing w:line="240" w:lineRule="auto"/>
      </w:pPr>
      <w:r>
        <w:rPr>
          <w:rFonts w:ascii="Times New Roman" w:hAnsi="Times New Roman" w:cs="Times New Roman"/>
          <w:sz w:val="22"/>
          <w:szCs w:val="22"/>
        </w:rPr>
        <w:t xml:space="preserve">[7] </w:t>
      </w:r>
      <w:hyperlink r:id="rId8" w:history="1">
        <w:r w:rsidRPr="00957F8E">
          <w:rPr>
            <w:rStyle w:val="Hyperlink"/>
            <w:rFonts w:ascii="Times New Roman" w:hAnsi="Times New Roman" w:cs="Times New Roman"/>
            <w:sz w:val="22"/>
            <w:szCs w:val="22"/>
          </w:rPr>
          <w:t>Impulsno-detonacijni-dviguni-sucasnij-stan-i-rezultati-doslidzenna-C1-Sucasnij-stan-Pulse-Detonation-Engines-Current-State-and-Results-of-Studies-Part-1-Current-State-Ukrainian-Edition.pdf</w:t>
        </w:r>
      </w:hyperlink>
    </w:p>
    <w:p w14:paraId="18994E10" w14:textId="6CDD7D10" w:rsidR="00FD654F" w:rsidRDefault="00FD654F" w:rsidP="00D14B45">
      <w:pPr>
        <w:spacing w:line="240" w:lineRule="auto"/>
        <w:rPr>
          <w:rFonts w:ascii="Times New Roman" w:hAnsi="Times New Roman" w:cs="Times New Roman"/>
          <w:sz w:val="22"/>
          <w:szCs w:val="22"/>
        </w:rPr>
      </w:pPr>
      <w:proofErr w:type="spellStart"/>
      <w:r w:rsidRPr="00FD654F">
        <w:rPr>
          <w:rFonts w:ascii="Times New Roman" w:hAnsi="Times New Roman" w:cs="Times New Roman"/>
          <w:sz w:val="22"/>
          <w:szCs w:val="22"/>
        </w:rPr>
        <w:t>Kaemming</w:t>
      </w:r>
      <w:proofErr w:type="spellEnd"/>
      <w:r w:rsidRPr="00FD654F">
        <w:rPr>
          <w:rFonts w:ascii="Times New Roman" w:hAnsi="Times New Roman" w:cs="Times New Roman"/>
          <w:sz w:val="22"/>
          <w:szCs w:val="22"/>
        </w:rPr>
        <w:t xml:space="preserve"> et al., “Pressure-Gain Combustion for Propulsion and Power,” </w:t>
      </w:r>
      <w:r w:rsidRPr="00FD654F">
        <w:rPr>
          <w:rFonts w:ascii="Times New Roman" w:hAnsi="Times New Roman" w:cs="Times New Roman"/>
          <w:i/>
          <w:iCs/>
          <w:sz w:val="22"/>
          <w:szCs w:val="22"/>
        </w:rPr>
        <w:t>Progress in Aerospace Sciences</w:t>
      </w:r>
      <w:r w:rsidRPr="00FD654F">
        <w:rPr>
          <w:rFonts w:ascii="Times New Roman" w:hAnsi="Times New Roman" w:cs="Times New Roman"/>
          <w:sz w:val="22"/>
          <w:szCs w:val="22"/>
        </w:rPr>
        <w:t xml:space="preserve"> (2017).</w:t>
      </w:r>
    </w:p>
    <w:p w14:paraId="7990F44B" w14:textId="77777777" w:rsidR="00D14B45" w:rsidRPr="00E7516E" w:rsidRDefault="00D14B45" w:rsidP="00F819DA">
      <w:pPr>
        <w:spacing w:line="240" w:lineRule="auto"/>
        <w:rPr>
          <w:rFonts w:ascii="Times New Roman" w:hAnsi="Times New Roman" w:cs="Times New Roman"/>
          <w:sz w:val="22"/>
          <w:szCs w:val="22"/>
        </w:rPr>
      </w:pPr>
    </w:p>
    <w:p w14:paraId="568AF44D" w14:textId="7D990EEE" w:rsidR="00906F13" w:rsidRPr="00F819DA" w:rsidRDefault="00906F13">
      <w:pPr>
        <w:rPr>
          <w:sz w:val="22"/>
          <w:szCs w:val="22"/>
        </w:rPr>
      </w:pPr>
    </w:p>
    <w:sectPr w:rsidR="00906F13" w:rsidRPr="00F819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F13"/>
    <w:rsid w:val="00826712"/>
    <w:rsid w:val="00906F13"/>
    <w:rsid w:val="00B904AD"/>
    <w:rsid w:val="00C22BE0"/>
    <w:rsid w:val="00C860B8"/>
    <w:rsid w:val="00D14B45"/>
    <w:rsid w:val="00E00E21"/>
    <w:rsid w:val="00F819DA"/>
    <w:rsid w:val="00FD6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BDE97"/>
  <w15:chartTrackingRefBased/>
  <w15:docId w15:val="{79BB03D2-1E56-4C97-8633-8DFC70BB0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9DA"/>
  </w:style>
  <w:style w:type="paragraph" w:styleId="Heading1">
    <w:name w:val="heading 1"/>
    <w:basedOn w:val="Normal"/>
    <w:next w:val="Normal"/>
    <w:link w:val="Heading1Char"/>
    <w:uiPriority w:val="9"/>
    <w:qFormat/>
    <w:rsid w:val="00906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6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6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F13"/>
    <w:rPr>
      <w:rFonts w:eastAsiaTheme="majorEastAsia" w:cstheme="majorBidi"/>
      <w:color w:val="272727" w:themeColor="text1" w:themeTint="D8"/>
    </w:rPr>
  </w:style>
  <w:style w:type="paragraph" w:styleId="Title">
    <w:name w:val="Title"/>
    <w:basedOn w:val="Normal"/>
    <w:next w:val="Normal"/>
    <w:link w:val="TitleChar"/>
    <w:uiPriority w:val="10"/>
    <w:qFormat/>
    <w:rsid w:val="00906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F13"/>
    <w:pPr>
      <w:spacing w:before="160"/>
      <w:jc w:val="center"/>
    </w:pPr>
    <w:rPr>
      <w:i/>
      <w:iCs/>
      <w:color w:val="404040" w:themeColor="text1" w:themeTint="BF"/>
    </w:rPr>
  </w:style>
  <w:style w:type="character" w:customStyle="1" w:styleId="QuoteChar">
    <w:name w:val="Quote Char"/>
    <w:basedOn w:val="DefaultParagraphFont"/>
    <w:link w:val="Quote"/>
    <w:uiPriority w:val="29"/>
    <w:rsid w:val="00906F13"/>
    <w:rPr>
      <w:i/>
      <w:iCs/>
      <w:color w:val="404040" w:themeColor="text1" w:themeTint="BF"/>
    </w:rPr>
  </w:style>
  <w:style w:type="paragraph" w:styleId="ListParagraph">
    <w:name w:val="List Paragraph"/>
    <w:basedOn w:val="Normal"/>
    <w:uiPriority w:val="34"/>
    <w:qFormat/>
    <w:rsid w:val="00906F13"/>
    <w:pPr>
      <w:ind w:left="720"/>
      <w:contextualSpacing/>
    </w:pPr>
  </w:style>
  <w:style w:type="character" w:styleId="IntenseEmphasis">
    <w:name w:val="Intense Emphasis"/>
    <w:basedOn w:val="DefaultParagraphFont"/>
    <w:uiPriority w:val="21"/>
    <w:qFormat/>
    <w:rsid w:val="00906F13"/>
    <w:rPr>
      <w:i/>
      <w:iCs/>
      <w:color w:val="0F4761" w:themeColor="accent1" w:themeShade="BF"/>
    </w:rPr>
  </w:style>
  <w:style w:type="paragraph" w:styleId="IntenseQuote">
    <w:name w:val="Intense Quote"/>
    <w:basedOn w:val="Normal"/>
    <w:next w:val="Normal"/>
    <w:link w:val="IntenseQuoteChar"/>
    <w:uiPriority w:val="30"/>
    <w:qFormat/>
    <w:rsid w:val="00906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F13"/>
    <w:rPr>
      <w:i/>
      <w:iCs/>
      <w:color w:val="0F4761" w:themeColor="accent1" w:themeShade="BF"/>
    </w:rPr>
  </w:style>
  <w:style w:type="character" w:styleId="IntenseReference">
    <w:name w:val="Intense Reference"/>
    <w:basedOn w:val="DefaultParagraphFont"/>
    <w:uiPriority w:val="32"/>
    <w:qFormat/>
    <w:rsid w:val="00906F13"/>
    <w:rPr>
      <w:b/>
      <w:bCs/>
      <w:smallCaps/>
      <w:color w:val="0F4761" w:themeColor="accent1" w:themeShade="BF"/>
      <w:spacing w:val="5"/>
    </w:rPr>
  </w:style>
  <w:style w:type="character" w:styleId="Hyperlink">
    <w:name w:val="Hyperlink"/>
    <w:basedOn w:val="DefaultParagraphFont"/>
    <w:uiPriority w:val="99"/>
    <w:unhideWhenUsed/>
    <w:rsid w:val="00D14B4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rofile/Sergiy-Kobzar/publication/384061610_Impulsno-detonacijni_dviguni_sucasnij_stan_i_rezultati_doslidzenna_C1_Sucasnij_stan_Pulse_Detonation_Engines_Current_State_and_Results_of_Studies_Part_1_Current_State_Ukrainian_Edition/links/68484cbe6b5a287c304a5361/Impulsno-detonacijni-dviguni-sucasnij-stan-i-rezultati-doslidzenna-C1-Sucasnij-stan-Pulse-Detonation-Engines-Current-State-and-Results-of-Studies-Part-1-Current-State-Ukrainian-Edition.pdf" TargetMode="External"/><Relationship Id="rId3" Type="http://schemas.openxmlformats.org/officeDocument/2006/relationships/webSettings" Target="webSettings.xml"/><Relationship Id="rId7" Type="http://schemas.openxmlformats.org/officeDocument/2006/relationships/hyperlink" Target="https://apps.dtic.mil/sti/tr/pdf/ADA390257.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edia.defense.gov/2017/Apr/07/2001728474/-1/-1/0/B_0006_WERRELL_EVOLUTION_CRUISE_MISSILE.PDF" TargetMode="External"/><Relationship Id="rId5" Type="http://schemas.openxmlformats.org/officeDocument/2006/relationships/hyperlink" Target="https://www.sciencedirect.com/science/article/pii/0360128586900134" TargetMode="External"/><Relationship Id="rId10" Type="http://schemas.openxmlformats.org/officeDocument/2006/relationships/theme" Target="theme/theme1.xml"/><Relationship Id="rId4" Type="http://schemas.openxmlformats.org/officeDocument/2006/relationships/hyperlink" Target="https://doi.org/10.1016/0360-1285(86)90013-4"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1298</TotalTime>
  <Pages>5</Pages>
  <Words>2265</Words>
  <Characters>12916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Brinkley</dc:creator>
  <cp:keywords/>
  <dc:description/>
  <cp:lastModifiedBy>Jared Brinkley</cp:lastModifiedBy>
  <cp:revision>2</cp:revision>
  <dcterms:created xsi:type="dcterms:W3CDTF">2026-04-20T02:12:00Z</dcterms:created>
  <dcterms:modified xsi:type="dcterms:W3CDTF">2026-04-21T00:46:00Z</dcterms:modified>
</cp:coreProperties>
</file>